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374"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580" w:type="dxa"/>
            <w:vAlign w:val="bottom"/>
          </w:tcPr>
          <w:p>
            <w:pPr>
              <w:jc w:val="center"/>
              <w:ind w:left="145"/>
              <w:spacing w:after="0"/>
              <w:rPr>
                <w:sz w:val="20"/>
                <w:szCs w:val="20"/>
                <w:color w:val="auto"/>
              </w:rPr>
            </w:pPr>
            <w:r>
              <w:rPr>
                <w:rFonts w:ascii="Arial" w:cs="Arial" w:eastAsia="Arial" w:hAnsi="Arial"/>
                <w:sz w:val="14"/>
                <w:szCs w:val="14"/>
                <w:color w:val="auto"/>
                <w:w w:val="90"/>
              </w:rPr>
              <w:t>(State or Other</w:t>
            </w:r>
          </w:p>
        </w:tc>
        <w:tc>
          <w:tcPr>
            <w:tcW w:w="1300" w:type="dxa"/>
            <w:vAlign w:val="bottom"/>
          </w:tcPr>
          <w:p>
            <w:pPr>
              <w:spacing w:after="0"/>
              <w:rPr>
                <w:sz w:val="14"/>
                <w:szCs w:val="14"/>
                <w:color w:val="auto"/>
              </w:rPr>
            </w:pPr>
          </w:p>
        </w:tc>
      </w:tr>
      <w:tr>
        <w:trPr>
          <w:trHeight w:val="149"/>
        </w:trPr>
        <w:tc>
          <w:tcPr>
            <w:tcW w:w="2200" w:type="dxa"/>
            <w:vAlign w:val="bottom"/>
          </w:tcPr>
          <w:p>
            <w:pPr>
              <w:spacing w:after="0"/>
              <w:rPr>
                <w:sz w:val="12"/>
                <w:szCs w:val="12"/>
                <w:color w:val="auto"/>
              </w:rPr>
            </w:pPr>
          </w:p>
        </w:tc>
        <w:tc>
          <w:tcPr>
            <w:tcW w:w="5300" w:type="dxa"/>
            <w:vAlign w:val="bottom"/>
          </w:tcPr>
          <w:p>
            <w:pPr>
              <w:jc w:val="center"/>
              <w:ind w:left="95"/>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1580" w:type="dxa"/>
            <w:vAlign w:val="bottom"/>
          </w:tcPr>
          <w:p>
            <w:pPr>
              <w:jc w:val="center"/>
              <w:ind w:left="145"/>
              <w:spacing w:after="0" w:line="149" w:lineRule="exact"/>
              <w:rPr>
                <w:sz w:val="20"/>
                <w:szCs w:val="20"/>
                <w:color w:val="auto"/>
              </w:rPr>
            </w:pPr>
            <w:r>
              <w:rPr>
                <w:rFonts w:ascii="Arial" w:cs="Arial" w:eastAsia="Arial" w:hAnsi="Arial"/>
                <w:sz w:val="14"/>
                <w:szCs w:val="14"/>
                <w:color w:val="auto"/>
                <w:w w:val="98"/>
              </w:rPr>
              <w:t>Jurisdiction of</w:t>
            </w:r>
          </w:p>
        </w:tc>
        <w:tc>
          <w:tcPr>
            <w:tcW w:w="1300" w:type="dxa"/>
            <w:vAlign w:val="bottom"/>
          </w:tcPr>
          <w:p>
            <w:pPr>
              <w:spacing w:after="0"/>
              <w:rPr>
                <w:sz w:val="12"/>
                <w:szCs w:val="12"/>
                <w:color w:val="auto"/>
              </w:rPr>
            </w:pPr>
          </w:p>
        </w:tc>
      </w:tr>
      <w:tr>
        <w:trPr>
          <w:trHeight w:val="149"/>
        </w:trPr>
        <w:tc>
          <w:tcPr>
            <w:tcW w:w="2200" w:type="dxa"/>
            <w:vAlign w:val="bottom"/>
          </w:tcPr>
          <w:p>
            <w:pPr>
              <w:spacing w:after="0"/>
              <w:rPr>
                <w:sz w:val="12"/>
                <w:szCs w:val="12"/>
                <w:color w:val="auto"/>
              </w:rPr>
            </w:pPr>
          </w:p>
        </w:tc>
        <w:tc>
          <w:tcPr>
            <w:tcW w:w="5300" w:type="dxa"/>
            <w:vAlign w:val="bottom"/>
          </w:tcPr>
          <w:p>
            <w:pPr>
              <w:jc w:val="center"/>
              <w:ind w:left="75"/>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1580" w:type="dxa"/>
            <w:vAlign w:val="bottom"/>
          </w:tcPr>
          <w:p>
            <w:pPr>
              <w:jc w:val="center"/>
              <w:ind w:left="125"/>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2200" w:type="dxa"/>
            <w:vAlign w:val="bottom"/>
          </w:tcPr>
          <w:p>
            <w:pPr>
              <w:spacing w:after="0"/>
              <w:rPr>
                <w:sz w:val="20"/>
                <w:szCs w:val="20"/>
                <w:color w:val="auto"/>
              </w:rPr>
            </w:pPr>
            <w:r>
              <w:rPr>
                <w:rFonts w:ascii="Arial" w:cs="Arial" w:eastAsia="Arial" w:hAnsi="Arial"/>
                <w:sz w:val="14"/>
                <w:szCs w:val="14"/>
                <w:color w:val="auto"/>
              </w:rPr>
              <w:t>(Commission File Number)</w:t>
            </w:r>
          </w:p>
        </w:tc>
        <w:tc>
          <w:tcPr>
            <w:tcW w:w="5300" w:type="dxa"/>
            <w:vAlign w:val="bottom"/>
          </w:tcPr>
          <w:p>
            <w:pPr>
              <w:jc w:val="center"/>
              <w:ind w:left="95"/>
              <w:spacing w:after="0"/>
              <w:rPr>
                <w:sz w:val="20"/>
                <w:szCs w:val="20"/>
                <w:color w:val="auto"/>
              </w:rPr>
            </w:pPr>
            <w:r>
              <w:rPr>
                <w:rFonts w:ascii="Arial" w:cs="Arial" w:eastAsia="Arial" w:hAnsi="Arial"/>
                <w:sz w:val="14"/>
                <w:szCs w:val="14"/>
                <w:color w:val="auto"/>
                <w:w w:val="92"/>
              </w:rPr>
              <w:t>(Telephone Number)</w:t>
            </w:r>
          </w:p>
        </w:tc>
        <w:tc>
          <w:tcPr>
            <w:tcW w:w="1580" w:type="dxa"/>
            <w:vAlign w:val="bottom"/>
          </w:tcPr>
          <w:p>
            <w:pPr>
              <w:jc w:val="center"/>
              <w:ind w:left="145"/>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ind w:left="143"/>
              <w:spacing w:after="0"/>
              <w:rPr>
                <w:sz w:val="20"/>
                <w:szCs w:val="20"/>
                <w:color w:val="auto"/>
              </w:rPr>
            </w:pPr>
            <w:r>
              <w:rPr>
                <w:rFonts w:ascii="Arial" w:cs="Arial" w:eastAsia="Arial" w:hAnsi="Arial"/>
                <w:sz w:val="14"/>
                <w:szCs w:val="14"/>
                <w:color w:val="auto"/>
                <w:w w:val="99"/>
              </w:rPr>
              <w:t>Identification No.)</w:t>
            </w:r>
          </w:p>
        </w:tc>
      </w:tr>
      <w:tr>
        <w:trPr>
          <w:trHeight w:val="312"/>
        </w:trPr>
        <w:tc>
          <w:tcPr>
            <w:tcW w:w="2200" w:type="dxa"/>
            <w:vAlign w:val="bottom"/>
          </w:tcPr>
          <w:p>
            <w:pPr>
              <w:jc w:val="right"/>
              <w:ind w:right="1102"/>
              <w:spacing w:after="0"/>
              <w:rPr>
                <w:sz w:val="20"/>
                <w:szCs w:val="20"/>
                <w:color w:val="auto"/>
              </w:rPr>
            </w:pPr>
            <w:r>
              <w:rPr>
                <w:rFonts w:ascii="Arial" w:cs="Arial" w:eastAsia="Arial" w:hAnsi="Arial"/>
                <w:sz w:val="16"/>
                <w:szCs w:val="16"/>
                <w:b w:val="1"/>
                <w:bCs w:val="1"/>
                <w:color w:val="auto"/>
              </w:rPr>
              <w:t>1-9516</w:t>
            </w:r>
          </w:p>
        </w:tc>
        <w:tc>
          <w:tcPr>
            <w:tcW w:w="5300" w:type="dxa"/>
            <w:vAlign w:val="bottom"/>
          </w:tcPr>
          <w:p>
            <w:pPr>
              <w:jc w:val="center"/>
              <w:ind w:left="95"/>
              <w:spacing w:after="0"/>
              <w:rPr>
                <w:sz w:val="20"/>
                <w:szCs w:val="20"/>
                <w:color w:val="auto"/>
              </w:rPr>
            </w:pPr>
            <w:r>
              <w:rPr>
                <w:rFonts w:ascii="Arial" w:cs="Arial" w:eastAsia="Arial" w:hAnsi="Arial"/>
                <w:sz w:val="23"/>
                <w:szCs w:val="23"/>
                <w:b w:val="1"/>
                <w:bCs w:val="1"/>
                <w:color w:val="auto"/>
              </w:rPr>
              <w:t>ICAHN ENTERPRISES L.P.</w:t>
            </w:r>
          </w:p>
        </w:tc>
        <w:tc>
          <w:tcPr>
            <w:tcW w:w="1580" w:type="dxa"/>
            <w:vAlign w:val="bottom"/>
          </w:tcPr>
          <w:p>
            <w:pPr>
              <w:jc w:val="center"/>
              <w:ind w:left="145"/>
              <w:spacing w:after="0"/>
              <w:rPr>
                <w:sz w:val="20"/>
                <w:szCs w:val="20"/>
                <w:color w:val="auto"/>
              </w:rPr>
            </w:pPr>
            <w:r>
              <w:rPr>
                <w:rFonts w:ascii="Arial" w:cs="Arial" w:eastAsia="Arial" w:hAnsi="Arial"/>
                <w:sz w:val="16"/>
                <w:szCs w:val="16"/>
                <w:b w:val="1"/>
                <w:bCs w:val="1"/>
                <w:color w:val="auto"/>
                <w:w w:val="91"/>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13-3398766</w:t>
            </w:r>
          </w:p>
        </w:tc>
      </w:tr>
      <w:tr>
        <w:trPr>
          <w:trHeight w:val="240"/>
        </w:trPr>
        <w:tc>
          <w:tcPr>
            <w:tcW w:w="2200" w:type="dxa"/>
            <w:vAlign w:val="bottom"/>
          </w:tcPr>
          <w:p>
            <w:pPr>
              <w:spacing w:after="0"/>
              <w:rPr>
                <w:sz w:val="20"/>
                <w:szCs w:val="20"/>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1"/>
              </w:rPr>
              <w:t>767 Fifth Avenue, Suite 4700</w:t>
            </w:r>
          </w:p>
        </w:tc>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00" w:type="dxa"/>
            <w:vAlign w:val="bottom"/>
          </w:tcPr>
          <w:p>
            <w:pPr>
              <w:spacing w:after="0"/>
              <w:rPr>
                <w:sz w:val="17"/>
                <w:szCs w:val="17"/>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5"/>
              </w:rPr>
              <w:t>New York, NY 10153</w:t>
            </w: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00" w:type="dxa"/>
            <w:vAlign w:val="bottom"/>
          </w:tcPr>
          <w:p>
            <w:pPr>
              <w:spacing w:after="0"/>
              <w:rPr>
                <w:sz w:val="18"/>
                <w:szCs w:val="18"/>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3"/>
              </w:rPr>
              <w:t>(212) 702-4300</w:t>
            </w: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738"/>
        </w:trPr>
        <w:tc>
          <w:tcPr>
            <w:tcW w:w="2200" w:type="dxa"/>
            <w:vAlign w:val="bottom"/>
          </w:tcPr>
          <w:p>
            <w:pPr>
              <w:jc w:val="right"/>
              <w:ind w:right="842"/>
              <w:spacing w:after="0"/>
              <w:rPr>
                <w:sz w:val="20"/>
                <w:szCs w:val="20"/>
                <w:color w:val="auto"/>
              </w:rPr>
            </w:pPr>
            <w:r>
              <w:rPr>
                <w:rFonts w:ascii="Arial" w:cs="Arial" w:eastAsia="Arial" w:hAnsi="Arial"/>
                <w:sz w:val="16"/>
                <w:szCs w:val="16"/>
                <w:b w:val="1"/>
                <w:bCs w:val="1"/>
                <w:color w:val="auto"/>
              </w:rPr>
              <w:t>333-118021-01</w:t>
            </w:r>
          </w:p>
        </w:tc>
        <w:tc>
          <w:tcPr>
            <w:tcW w:w="5300" w:type="dxa"/>
            <w:vAlign w:val="bottom"/>
          </w:tcPr>
          <w:p>
            <w:pPr>
              <w:jc w:val="center"/>
              <w:ind w:left="95"/>
              <w:spacing w:after="0"/>
              <w:rPr>
                <w:sz w:val="20"/>
                <w:szCs w:val="20"/>
                <w:color w:val="auto"/>
              </w:rPr>
            </w:pPr>
            <w:r>
              <w:rPr>
                <w:rFonts w:ascii="Arial" w:cs="Arial" w:eastAsia="Arial" w:hAnsi="Arial"/>
                <w:sz w:val="23"/>
                <w:szCs w:val="23"/>
                <w:b w:val="1"/>
                <w:bCs w:val="1"/>
                <w:color w:val="auto"/>
              </w:rPr>
              <w:t>ICAHN ENTERPRISES HOLDINGS L.P.</w:t>
            </w:r>
          </w:p>
        </w:tc>
        <w:tc>
          <w:tcPr>
            <w:tcW w:w="1580" w:type="dxa"/>
            <w:vAlign w:val="bottom"/>
          </w:tcPr>
          <w:p>
            <w:pPr>
              <w:jc w:val="center"/>
              <w:ind w:left="145"/>
              <w:spacing w:after="0"/>
              <w:rPr>
                <w:sz w:val="20"/>
                <w:szCs w:val="20"/>
                <w:color w:val="auto"/>
              </w:rPr>
            </w:pPr>
            <w:r>
              <w:rPr>
                <w:rFonts w:ascii="Arial" w:cs="Arial" w:eastAsia="Arial" w:hAnsi="Arial"/>
                <w:sz w:val="16"/>
                <w:szCs w:val="16"/>
                <w:b w:val="1"/>
                <w:bCs w:val="1"/>
                <w:color w:val="auto"/>
                <w:w w:val="91"/>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13-3398767</w:t>
            </w:r>
          </w:p>
        </w:tc>
      </w:tr>
      <w:tr>
        <w:trPr>
          <w:trHeight w:val="240"/>
        </w:trPr>
        <w:tc>
          <w:tcPr>
            <w:tcW w:w="2200" w:type="dxa"/>
            <w:vAlign w:val="bottom"/>
          </w:tcPr>
          <w:p>
            <w:pPr>
              <w:spacing w:after="0"/>
              <w:rPr>
                <w:sz w:val="20"/>
                <w:szCs w:val="20"/>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1"/>
              </w:rPr>
              <w:t>767 Fifth Avenue, Suite 4700</w:t>
            </w:r>
          </w:p>
        </w:tc>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00" w:type="dxa"/>
            <w:vAlign w:val="bottom"/>
          </w:tcPr>
          <w:p>
            <w:pPr>
              <w:spacing w:after="0"/>
              <w:rPr>
                <w:sz w:val="17"/>
                <w:szCs w:val="17"/>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5"/>
              </w:rPr>
              <w:t>New York, NY 10153</w:t>
            </w: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00" w:type="dxa"/>
            <w:vAlign w:val="bottom"/>
          </w:tcPr>
          <w:p>
            <w:pPr>
              <w:spacing w:after="0"/>
              <w:rPr>
                <w:sz w:val="18"/>
                <w:szCs w:val="18"/>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3"/>
              </w:rPr>
              <w:t>(212) 702-4300</w:t>
            </w: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97" w:lineRule="exact"/>
        <w:rPr>
          <w:sz w:val="24"/>
          <w:szCs w:val="24"/>
          <w:color w:val="auto"/>
        </w:rPr>
      </w:pPr>
    </w:p>
    <w:p>
      <w:pPr>
        <w:ind w:right="40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ind w:right="220"/>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6"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 (Check One):</w:t>
      </w:r>
    </w:p>
    <w:p>
      <w:pPr>
        <w:spacing w:after="0" w:line="110"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1600" w:type="dxa"/>
            <w:vAlign w:val="bottom"/>
          </w:tcPr>
          <w:p>
            <w:pPr>
              <w:spacing w:after="0"/>
              <w:rPr>
                <w:sz w:val="18"/>
                <w:szCs w:val="18"/>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Icahn Enterprises L.P.</w:t>
            </w:r>
          </w:p>
        </w:tc>
        <w:tc>
          <w:tcPr>
            <w:tcW w:w="2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Icahn Enterprises Holdings L.P.</w:t>
            </w:r>
          </w:p>
        </w:tc>
        <w:tc>
          <w:tcPr>
            <w:tcW w:w="1240" w:type="dxa"/>
            <w:vAlign w:val="bottom"/>
          </w:tcPr>
          <w:p>
            <w:pPr>
              <w:spacing w:after="0"/>
              <w:rPr>
                <w:sz w:val="18"/>
                <w:szCs w:val="18"/>
                <w:color w:val="auto"/>
              </w:rPr>
            </w:pPr>
          </w:p>
        </w:tc>
      </w:tr>
      <w:tr>
        <w:trPr>
          <w:trHeight w:val="291"/>
        </w:trPr>
        <w:tc>
          <w:tcPr>
            <w:tcW w:w="2240" w:type="dxa"/>
            <w:vAlign w:val="bottom"/>
            <w:gridSpan w:val="2"/>
          </w:tcPr>
          <w:p>
            <w:pPr>
              <w:jc w:val="center"/>
              <w:ind w:right="310"/>
              <w:spacing w:after="0"/>
              <w:rPr>
                <w:sz w:val="20"/>
                <w:szCs w:val="20"/>
                <w:color w:val="auto"/>
              </w:rPr>
            </w:pPr>
            <w:r>
              <w:rPr>
                <w:rFonts w:ascii="Arial" w:cs="Arial" w:eastAsia="Arial" w:hAnsi="Arial"/>
                <w:sz w:val="18"/>
                <w:szCs w:val="18"/>
                <w:color w:val="auto"/>
                <w:w w:val="91"/>
              </w:rPr>
              <w:t>Large Accelerated Filer x</w:t>
            </w:r>
          </w:p>
        </w:tc>
        <w:tc>
          <w:tcPr>
            <w:tcW w:w="30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Accelerated Filer o</w:t>
            </w: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1"/>
              </w:rPr>
              <w:t>Large Accelerated Filer o</w:t>
            </w:r>
          </w:p>
        </w:tc>
        <w:tc>
          <w:tcPr>
            <w:tcW w:w="256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Accelerated Filer o</w:t>
            </w:r>
          </w:p>
        </w:tc>
      </w:tr>
      <w:tr>
        <w:trPr>
          <w:trHeight w:val="270"/>
        </w:trPr>
        <w:tc>
          <w:tcPr>
            <w:tcW w:w="2240" w:type="dxa"/>
            <w:vAlign w:val="bottom"/>
            <w:gridSpan w:val="2"/>
          </w:tcPr>
          <w:p>
            <w:pPr>
              <w:jc w:val="center"/>
              <w:ind w:right="290"/>
              <w:spacing w:after="0"/>
              <w:rPr>
                <w:sz w:val="20"/>
                <w:szCs w:val="20"/>
                <w:color w:val="auto"/>
              </w:rPr>
            </w:pPr>
            <w:r>
              <w:rPr>
                <w:rFonts w:ascii="Arial" w:cs="Arial" w:eastAsia="Arial" w:hAnsi="Arial"/>
                <w:sz w:val="18"/>
                <w:szCs w:val="18"/>
                <w:color w:val="auto"/>
                <w:w w:val="90"/>
              </w:rPr>
              <w:t>Non-accelerated Filer o</w:t>
            </w:r>
          </w:p>
        </w:tc>
        <w:tc>
          <w:tcPr>
            <w:tcW w:w="30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Smaller Reporting Company o</w:t>
            </w: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1"/>
              </w:rPr>
              <w:t>Non-accelerated Filer x</w:t>
            </w:r>
          </w:p>
        </w:tc>
        <w:tc>
          <w:tcPr>
            <w:tcW w:w="256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Smaller Reporting Company o</w:t>
            </w:r>
          </w:p>
        </w:tc>
      </w:tr>
      <w:tr>
        <w:trPr>
          <w:trHeight w:val="270"/>
        </w:trPr>
        <w:tc>
          <w:tcPr>
            <w:tcW w:w="5240" w:type="dxa"/>
            <w:vAlign w:val="bottom"/>
            <w:gridSpan w:val="4"/>
          </w:tcPr>
          <w:p>
            <w:pPr>
              <w:jc w:val="center"/>
              <w:ind w:right="460"/>
              <w:spacing w:after="0"/>
              <w:rPr>
                <w:sz w:val="20"/>
                <w:szCs w:val="20"/>
                <w:color w:val="auto"/>
              </w:rPr>
            </w:pPr>
            <w:r>
              <w:rPr>
                <w:rFonts w:ascii="Arial" w:cs="Arial" w:eastAsia="Arial" w:hAnsi="Arial"/>
                <w:sz w:val="18"/>
                <w:szCs w:val="18"/>
                <w:color w:val="auto"/>
                <w:w w:val="91"/>
              </w:rPr>
              <w:t>Emerging Growth Company o</w:t>
            </w:r>
          </w:p>
        </w:tc>
        <w:tc>
          <w:tcPr>
            <w:tcW w:w="1640" w:type="dxa"/>
            <w:vAlign w:val="bottom"/>
          </w:tcPr>
          <w:p>
            <w:pPr>
              <w:spacing w:after="0"/>
              <w:rPr>
                <w:sz w:val="23"/>
                <w:szCs w:val="23"/>
                <w:color w:val="auto"/>
              </w:rPr>
            </w:pPr>
          </w:p>
        </w:tc>
        <w:tc>
          <w:tcPr>
            <w:tcW w:w="3540" w:type="dxa"/>
            <w:vAlign w:val="bottom"/>
            <w:gridSpan w:val="3"/>
          </w:tcPr>
          <w:p>
            <w:pPr>
              <w:jc w:val="center"/>
              <w:ind w:right="1240"/>
              <w:spacing w:after="0"/>
              <w:rPr>
                <w:sz w:val="20"/>
                <w:szCs w:val="20"/>
                <w:color w:val="auto"/>
              </w:rPr>
            </w:pPr>
            <w:r>
              <w:rPr>
                <w:rFonts w:ascii="Arial" w:cs="Arial" w:eastAsia="Arial" w:hAnsi="Arial"/>
                <w:sz w:val="18"/>
                <w:szCs w:val="18"/>
                <w:color w:val="auto"/>
                <w:w w:val="91"/>
              </w:rPr>
              <w:t>Emerging Growth Company o</w:t>
            </w:r>
          </w:p>
        </w:tc>
      </w:tr>
    </w:tbl>
    <w:p>
      <w:pPr>
        <w:spacing w:after="0" w:line="12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ind w:left="3040"/>
        <w:spacing w:after="0"/>
        <w:tabs>
          <w:tab w:leader="none" w:pos="5900" w:val="left"/>
        </w:tabs>
        <w:rPr>
          <w:sz w:val="20"/>
          <w:szCs w:val="20"/>
          <w:color w:val="auto"/>
        </w:rPr>
      </w:pPr>
      <w:r>
        <w:rPr>
          <w:rFonts w:ascii="Arial" w:cs="Arial" w:eastAsia="Arial" w:hAnsi="Arial"/>
          <w:sz w:val="18"/>
          <w:szCs w:val="18"/>
          <w:color w:val="auto"/>
        </w:rPr>
        <w:t>Icahn Enterprises L.P. Yes o No x</w:t>
      </w:r>
      <w:r>
        <w:rPr>
          <w:sz w:val="20"/>
          <w:szCs w:val="20"/>
          <w:color w:val="auto"/>
        </w:rPr>
        <w:tab/>
      </w:r>
      <w:r>
        <w:rPr>
          <w:rFonts w:ascii="Arial" w:cs="Arial" w:eastAsia="Arial" w:hAnsi="Arial"/>
          <w:sz w:val="16"/>
          <w:szCs w:val="16"/>
          <w:color w:val="auto"/>
        </w:rPr>
        <w:t>Icahn Enterprises Holdings L.P. Yes o No x</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8, 2018, there were 186,650,073 of Icahn Enterprises' depositary units outstanding.</w:t>
      </w:r>
    </w:p>
    <w:p>
      <w:pPr>
        <w:sectPr>
          <w:pgSz w:w="11900" w:h="16838" w:orient="portrait"/>
          <w:cols w:equalWidth="0" w:num="1">
            <w:col w:w="11340"/>
          </w:cols>
          <w:pgMar w:left="240" w:top="229"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100" w:type="dxa"/>
            <w:vAlign w:val="bottom"/>
            <w:tcBorders>
              <w:bottom w:val="single" w:sz="8" w:color="CCEEFF"/>
            </w:tcBorders>
          </w:tcPr>
          <w:p>
            <w:pPr>
              <w:spacing w:after="0"/>
              <w:rPr>
                <w:sz w:val="16"/>
                <w:szCs w:val="16"/>
                <w:color w:val="auto"/>
              </w:rPr>
            </w:pPr>
          </w:p>
        </w:tc>
        <w:tc>
          <w:tcPr>
            <w:tcW w:w="27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No</w:t>
            </w:r>
            <w:r>
              <w:rPr>
                <w:rFonts w:ascii="Arial" w:cs="Arial" w:eastAsia="Arial" w:hAnsi="Arial"/>
                <w:sz w:val="14"/>
                <w:szCs w:val="14"/>
                <w:color w:val="auto"/>
                <w:w w:val="97"/>
              </w:rPr>
              <w:t>.</w:t>
            </w: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200" w:type="dxa"/>
            <w:vAlign w:val="bottom"/>
            <w:gridSpan w:val="9"/>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Explanatory Note and Forward-Looking Statements</w:t>
              </w:r>
            </w:hyperlink>
          </w:p>
        </w:tc>
        <w:tc>
          <w:tcPr>
            <w:tcW w:w="540" w:type="dxa"/>
            <w:vAlign w:val="bottom"/>
            <w:tcBorders>
              <w:right w:val="single" w:sz="8" w:color="CCEEFF"/>
            </w:tcBorders>
            <w:gridSpan w:val="2"/>
            <w:shd w:val="clear" w:color="auto" w:fill="CCEEFF"/>
          </w:tcPr>
          <w:p>
            <w:pPr>
              <w:jc w:val="center"/>
              <w:ind w:left="275"/>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360" w:type="dxa"/>
            <w:vAlign w:val="bottom"/>
            <w:shd w:val="clear" w:color="auto" w:fill="CCEEFF"/>
          </w:tcPr>
          <w:p>
            <w:pPr>
              <w:spacing w:after="0"/>
              <w:rPr>
                <w:sz w:val="21"/>
                <w:szCs w:val="21"/>
                <w:color w:val="auto"/>
              </w:rPr>
            </w:pPr>
          </w:p>
        </w:tc>
      </w:tr>
      <w:tr>
        <w:trPr>
          <w:trHeight w:val="338"/>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4"/>
            <w:shd w:val="clear" w:color="auto" w:fill="CCEEFF"/>
          </w:tcPr>
          <w:p>
            <w:pPr>
              <w:jc w:val="center"/>
              <w:ind w:right="1840"/>
              <w:spacing w:after="0"/>
              <w:rPr>
                <w:sz w:val="20"/>
                <w:szCs w:val="20"/>
                <w:color w:val="auto"/>
              </w:rPr>
            </w:pPr>
            <w:r>
              <w:rPr>
                <w:rFonts w:ascii="Arial" w:cs="Arial" w:eastAsia="Arial" w:hAnsi="Arial"/>
                <w:sz w:val="18"/>
                <w:szCs w:val="18"/>
                <w:b w:val="1"/>
                <w:bCs w:val="1"/>
                <w:color w:val="auto"/>
              </w:rPr>
              <w:t>PART I. FINANCIAL INFORMATION</w:t>
            </w: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60" w:type="dxa"/>
            <w:vAlign w:val="bottom"/>
            <w:gridSpan w:val="3"/>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200" w:type="dxa"/>
            <w:vAlign w:val="bottom"/>
            <w:gridSpan w:val="9"/>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40" w:type="dxa"/>
            <w:vAlign w:val="bottom"/>
            <w:gridSpan w:val="2"/>
          </w:tcPr>
          <w:p>
            <w:pPr>
              <w:jc w:val="center"/>
              <w:ind w:left="275"/>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3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Item 2.</w:t>
              </w:r>
            </w:hyperlink>
          </w:p>
        </w:tc>
        <w:tc>
          <w:tcPr>
            <w:tcW w:w="740" w:type="dxa"/>
            <w:vAlign w:val="bottom"/>
            <w:gridSpan w:val="2"/>
            <w:shd w:val="clear" w:color="auto" w:fill="CCEEFF"/>
          </w:tcPr>
          <w:p>
            <w:pPr>
              <w:spacing w:after="0"/>
              <w:rPr>
                <w:sz w:val="17"/>
                <w:szCs w:val="17"/>
                <w:color w:val="auto"/>
              </w:rPr>
            </w:pPr>
          </w:p>
        </w:tc>
        <w:tc>
          <w:tcPr>
            <w:tcW w:w="6500" w:type="dxa"/>
            <w:vAlign w:val="bottom"/>
            <w:gridSpan w:val="8"/>
            <w:shd w:val="clear" w:color="auto" w:fill="CCEEFF"/>
          </w:tcPr>
          <w:p>
            <w:pPr>
              <w:spacing w:after="0" w:line="202"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Management's Discussion and Analysis of Financial Condition and Results of Operations.</w:t>
              </w:r>
            </w:hyperlink>
          </w:p>
        </w:tc>
        <w:tc>
          <w:tcPr>
            <w:tcW w:w="270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2"/>
            <w:shd w:val="clear" w:color="auto" w:fill="CCEEFF"/>
          </w:tcPr>
          <w:p>
            <w:pPr>
              <w:jc w:val="center"/>
              <w:ind w:right="360"/>
              <w:spacing w:after="0"/>
              <w:rPr>
                <w:rFonts w:ascii="Arial" w:cs="Arial" w:eastAsia="Arial" w:hAnsi="Arial"/>
                <w:sz w:val="17"/>
                <w:szCs w:val="17"/>
                <w:color w:val="0000EE"/>
                <w:w w:val="73"/>
              </w:rPr>
            </w:pPr>
            <w:hyperlink w:anchor="page47">
              <w:r>
                <w:rPr>
                  <w:rFonts w:ascii="Arial" w:cs="Arial" w:eastAsia="Arial" w:hAnsi="Arial"/>
                  <w:sz w:val="17"/>
                  <w:szCs w:val="17"/>
                  <w:color w:val="0000EE"/>
                  <w:w w:val="73"/>
                </w:rPr>
                <w:t>44</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92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Item 3.</w:t>
              </w:r>
            </w:hyperlink>
          </w:p>
        </w:tc>
        <w:tc>
          <w:tcPr>
            <w:tcW w:w="740" w:type="dxa"/>
            <w:vAlign w:val="bottom"/>
            <w:gridSpan w:val="2"/>
          </w:tcPr>
          <w:p>
            <w:pPr>
              <w:spacing w:after="0"/>
              <w:rPr>
                <w:sz w:val="17"/>
                <w:szCs w:val="17"/>
                <w:color w:val="auto"/>
              </w:rPr>
            </w:pPr>
          </w:p>
        </w:tc>
        <w:tc>
          <w:tcPr>
            <w:tcW w:w="6500" w:type="dxa"/>
            <w:vAlign w:val="bottom"/>
            <w:gridSpan w:val="8"/>
          </w:tcPr>
          <w:p>
            <w:pPr>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Quantitative and Qualitative Disclosures About Market Risk.</w:t>
              </w:r>
            </w:hyperlink>
          </w:p>
        </w:tc>
        <w:tc>
          <w:tcPr>
            <w:tcW w:w="2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gridSpan w:val="2"/>
          </w:tcPr>
          <w:p>
            <w:pPr>
              <w:jc w:val="center"/>
              <w:ind w:right="360"/>
              <w:spacing w:after="0"/>
              <w:rPr>
                <w:rFonts w:ascii="Arial" w:cs="Arial" w:eastAsia="Arial" w:hAnsi="Arial"/>
                <w:sz w:val="17"/>
                <w:szCs w:val="17"/>
                <w:color w:val="0000EE"/>
                <w:w w:val="73"/>
              </w:rPr>
            </w:pPr>
            <w:hyperlink w:anchor="page66">
              <w:r>
                <w:rPr>
                  <w:rFonts w:ascii="Arial" w:cs="Arial" w:eastAsia="Arial" w:hAnsi="Arial"/>
                  <w:sz w:val="17"/>
                  <w:szCs w:val="17"/>
                  <w:color w:val="0000EE"/>
                  <w:w w:val="73"/>
                </w:rPr>
                <w:t>63</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92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Item 4.</w:t>
              </w:r>
            </w:hyperlink>
          </w:p>
        </w:tc>
        <w:tc>
          <w:tcPr>
            <w:tcW w:w="9200" w:type="dxa"/>
            <w:vAlign w:val="bottom"/>
            <w:gridSpan w:val="9"/>
            <w:shd w:val="clear" w:color="auto" w:fill="CCEEFF"/>
          </w:tcPr>
          <w:p>
            <w:pPr>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Controls and Procedures.</w:t>
              </w:r>
            </w:hyperlink>
          </w:p>
        </w:tc>
        <w:tc>
          <w:tcPr>
            <w:tcW w:w="900" w:type="dxa"/>
            <w:vAlign w:val="bottom"/>
            <w:gridSpan w:val="3"/>
            <w:shd w:val="clear" w:color="auto" w:fill="CCEEFF"/>
          </w:tcPr>
          <w:p>
            <w:pPr>
              <w:jc w:val="center"/>
              <w:spacing w:after="0" w:line="202"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63</w:t>
              </w:r>
            </w:hyperlink>
          </w:p>
        </w:tc>
      </w:tr>
      <w:tr>
        <w:trPr>
          <w:trHeight w:val="338"/>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9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4"/>
            <w:shd w:val="clear" w:color="auto" w:fill="CCEEFF"/>
          </w:tcPr>
          <w:p>
            <w:pPr>
              <w:jc w:val="center"/>
              <w:ind w:right="1840"/>
              <w:spacing w:after="0"/>
              <w:rPr>
                <w:sz w:val="20"/>
                <w:szCs w:val="20"/>
                <w:color w:val="auto"/>
              </w:rPr>
            </w:pPr>
            <w:r>
              <w:rPr>
                <w:rFonts w:ascii="Arial" w:cs="Arial" w:eastAsia="Arial" w:hAnsi="Arial"/>
                <w:sz w:val="18"/>
                <w:szCs w:val="18"/>
                <w:b w:val="1"/>
                <w:bCs w:val="1"/>
                <w:color w:val="auto"/>
              </w:rPr>
              <w:t>PART II. OTHER INFORMATION</w:t>
            </w: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60" w:type="dxa"/>
            <w:vAlign w:val="bottom"/>
            <w:gridSpan w:val="3"/>
          </w:tcPr>
          <w:p>
            <w:pPr>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Item 1.</w:t>
              </w:r>
            </w:hyperlink>
          </w:p>
        </w:tc>
        <w:tc>
          <w:tcPr>
            <w:tcW w:w="9200" w:type="dxa"/>
            <w:vAlign w:val="bottom"/>
            <w:gridSpan w:val="9"/>
          </w:tcPr>
          <w:p>
            <w:pPr>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Legal Proceedings.</w:t>
              </w:r>
            </w:hyperlink>
          </w:p>
        </w:tc>
        <w:tc>
          <w:tcPr>
            <w:tcW w:w="900" w:type="dxa"/>
            <w:vAlign w:val="bottom"/>
            <w:gridSpan w:val="3"/>
          </w:tcPr>
          <w:p>
            <w:pPr>
              <w:jc w:val="center"/>
              <w:spacing w:after="0" w:line="202"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64</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Item 1A.</w:t>
              </w:r>
            </w:hyperlink>
          </w:p>
        </w:tc>
        <w:tc>
          <w:tcPr>
            <w:tcW w:w="9200" w:type="dxa"/>
            <w:vAlign w:val="bottom"/>
            <w:gridSpan w:val="9"/>
            <w:shd w:val="clear" w:color="auto" w:fill="CCEEFF"/>
          </w:tcPr>
          <w:p>
            <w:pPr>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Risk Factors.</w:t>
              </w:r>
            </w:hyperlink>
          </w:p>
        </w:tc>
        <w:tc>
          <w:tcPr>
            <w:tcW w:w="900" w:type="dxa"/>
            <w:vAlign w:val="bottom"/>
            <w:gridSpan w:val="3"/>
            <w:shd w:val="clear" w:color="auto" w:fill="CCEEFF"/>
          </w:tcPr>
          <w:p>
            <w:pPr>
              <w:jc w:val="center"/>
              <w:spacing w:after="0" w:line="202"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64</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Item 6.</w:t>
              </w:r>
            </w:hyperlink>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gridSpan w:val="2"/>
          </w:tcPr>
          <w:p>
            <w:pPr>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Exhibits.</w:t>
              </w:r>
            </w:hyperlink>
          </w:p>
        </w:tc>
        <w:tc>
          <w:tcPr>
            <w:tcW w:w="8240" w:type="dxa"/>
            <w:vAlign w:val="bottom"/>
            <w:gridSpan w:val="7"/>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gridSpan w:val="2"/>
          </w:tcPr>
          <w:p>
            <w:pPr>
              <w:jc w:val="center"/>
              <w:ind w:right="360"/>
              <w:spacing w:after="0"/>
              <w:rPr>
                <w:rFonts w:ascii="Arial" w:cs="Arial" w:eastAsia="Arial" w:hAnsi="Arial"/>
                <w:sz w:val="17"/>
                <w:szCs w:val="17"/>
                <w:color w:val="0000EE"/>
                <w:w w:val="73"/>
              </w:rPr>
            </w:pPr>
            <w:hyperlink w:anchor="page68">
              <w:r>
                <w:rPr>
                  <w:rFonts w:ascii="Arial" w:cs="Arial" w:eastAsia="Arial" w:hAnsi="Arial"/>
                  <w:sz w:val="17"/>
                  <w:szCs w:val="17"/>
                  <w:color w:val="0000EE"/>
                  <w:w w:val="73"/>
                </w:rPr>
                <w:t>65</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60" w:top="36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Public Law 104-67.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74" w:lineRule="exact"/>
        <w:rPr>
          <w:sz w:val="20"/>
          <w:szCs w:val="20"/>
          <w:color w:val="auto"/>
        </w:rPr>
      </w:pPr>
    </w:p>
    <w:p>
      <w:pPr>
        <w:ind w:right="60" w:firstLine="378"/>
        <w:spacing w:after="0" w:line="291" w:lineRule="auto"/>
        <w:rPr>
          <w:sz w:val="20"/>
          <w:szCs w:val="20"/>
          <w:color w:val="auto"/>
        </w:rPr>
      </w:pPr>
      <w:r>
        <w:rPr>
          <w:rFonts w:ascii="Arial" w:cs="Arial" w:eastAsia="Arial" w:hAnsi="Arial"/>
          <w:sz w:val="16"/>
          <w:szCs w:val="16"/>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risks and uncertainties may include the risks and uncertainties described in our Annual Report on Form 10-K for the year ended December 31, 2017 and those set forth in this Report, including under the caption "Risk Factors," under Part II, Item 1A of this Report.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36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rPr>
              <w:t>PART I. FINANCIAL INFORMATION</w:t>
            </w: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0"/>
              </w:rPr>
              <w:t>(In millions, except unit amounts)</w:t>
            </w: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5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0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3"/>
          </w:tcPr>
          <w:p>
            <w:pPr>
              <w:jc w:val="right"/>
              <w:ind w:right="250"/>
              <w:spacing w:after="0"/>
              <w:rPr>
                <w:sz w:val="20"/>
                <w:szCs w:val="20"/>
                <w:color w:val="auto"/>
              </w:rPr>
            </w:pPr>
            <w:r>
              <w:rPr>
                <w:rFonts w:ascii="Arial" w:cs="Arial" w:eastAsia="Arial" w:hAnsi="Arial"/>
                <w:sz w:val="14"/>
                <w:szCs w:val="14"/>
                <w:color w:val="auto"/>
              </w:rPr>
              <w:t>(Unaudited)</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Due from brokers</w:t>
            </w: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1,961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8,891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8,790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30,975</w:t>
            </w:r>
          </w:p>
        </w:tc>
        <w:tc>
          <w:tcPr>
            <w:tcW w:w="12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31,801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on derivative contracts</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to brokers</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Liabilities held for sale</w:t>
            </w: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5,998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7,907</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18,639</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8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Equity:</w:t>
            </w: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Limited partners: Depositary units: 186,650,073 units issued and outstanding at September 30, 2018 and</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173,564,307 units issued and outstanding at December 31, 2017</w:t>
            </w: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5,837</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5,612</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6,724</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12,336</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30,975</w:t>
            </w:r>
          </w:p>
        </w:tc>
        <w:tc>
          <w:tcPr>
            <w:tcW w:w="12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64"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78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Nine Months Ended</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Revenues:</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3"/>
          </w:tcPr>
          <w:p>
            <w:pPr>
              <w:jc w:val="right"/>
              <w:ind w:right="679"/>
              <w:spacing w:after="0"/>
              <w:rPr>
                <w:sz w:val="20"/>
                <w:szCs w:val="20"/>
                <w:color w:val="auto"/>
              </w:rPr>
            </w:pPr>
            <w:r>
              <w:rPr>
                <w:rFonts w:ascii="Arial" w:cs="Arial" w:eastAsia="Arial" w:hAnsi="Arial"/>
                <w:sz w:val="14"/>
                <w:szCs w:val="14"/>
                <w:color w:val="auto"/>
              </w:rPr>
              <w:t>(Unaudited)</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sales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2,864</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2,404</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7,107</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Other revenues from operations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705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(loss) gain from investment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Interest and dividend income</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Gain on disposition of assets, net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1,969</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Other income (loss), net</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9,427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10,468</w:t>
            </w:r>
          </w:p>
        </w:tc>
        <w:tc>
          <w:tcPr>
            <w:tcW w:w="0" w:type="dxa"/>
            <w:vAlign w:val="bottom"/>
          </w:tcPr>
          <w:p>
            <w:pPr>
              <w:spacing w:after="0"/>
              <w:rPr>
                <w:sz w:val="1"/>
                <w:szCs w:val="1"/>
                <w:color w:val="auto"/>
              </w:rPr>
            </w:pP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color w:val="auto"/>
              </w:rPr>
              <w:t>Expenses:</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Cost of goods sold</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6,174</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Other expenses from operations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Selling, general and administrative</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Restructuring, net</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Impairment</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8,973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8,192</w:t>
            </w:r>
          </w:p>
        </w:tc>
        <w:tc>
          <w:tcPr>
            <w:tcW w:w="0" w:type="dxa"/>
            <w:vAlign w:val="bottom"/>
          </w:tcPr>
          <w:p>
            <w:pPr>
              <w:spacing w:after="0"/>
              <w:rPr>
                <w:sz w:val="1"/>
                <w:szCs w:val="1"/>
                <w:color w:val="auto"/>
              </w:rPr>
            </w:pPr>
          </w:p>
        </w:tc>
      </w:tr>
      <w:tr>
        <w:trPr>
          <w:trHeight w:val="200"/>
        </w:trPr>
        <w:tc>
          <w:tcPr>
            <w:tcW w:w="4700" w:type="dxa"/>
            <w:vAlign w:val="bottom"/>
          </w:tcPr>
          <w:p>
            <w:pPr>
              <w:ind w:left="40"/>
              <w:spacing w:after="0"/>
              <w:rPr>
                <w:sz w:val="20"/>
                <w:szCs w:val="20"/>
                <w:color w:val="auto"/>
              </w:rPr>
            </w:pPr>
            <w:r>
              <w:rPr>
                <w:rFonts w:ascii="Arial" w:cs="Arial" w:eastAsia="Arial" w:hAnsi="Arial"/>
                <w:sz w:val="16"/>
                <w:szCs w:val="16"/>
                <w:color w:val="auto"/>
                <w:w w:val="97"/>
              </w:rPr>
              <w:t>(Loss) income from continuing operations before income tax benefit</w:t>
            </w:r>
          </w:p>
        </w:tc>
        <w:tc>
          <w:tcPr>
            <w:tcW w:w="10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200"/>
              <w:spacing w:after="0"/>
              <w:rPr>
                <w:sz w:val="20"/>
                <w:szCs w:val="20"/>
                <w:color w:val="auto"/>
              </w:rPr>
            </w:pPr>
            <w:r>
              <w:rPr>
                <w:rFonts w:ascii="Arial" w:cs="Arial" w:eastAsia="Arial" w:hAnsi="Arial"/>
                <w:sz w:val="16"/>
                <w:szCs w:val="16"/>
                <w:color w:val="auto"/>
              </w:rPr>
              <w:t>(expense)</w:t>
            </w:r>
          </w:p>
        </w:tc>
        <w:tc>
          <w:tcPr>
            <w:tcW w:w="10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2,276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(Loss) income from continuing operations</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829</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864</w:t>
            </w: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2,394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(loss) income attributable to non-controlling interests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Icahn Enterprises</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597</w:t>
            </w:r>
          </w:p>
        </w:tc>
        <w:tc>
          <w:tcPr>
            <w:tcW w:w="12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572</w:t>
            </w:r>
          </w:p>
        </w:tc>
        <w:tc>
          <w:tcPr>
            <w:tcW w:w="10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2,132</w:t>
            </w:r>
          </w:p>
        </w:tc>
        <w:tc>
          <w:tcPr>
            <w:tcW w:w="0" w:type="dxa"/>
            <w:vAlign w:val="bottom"/>
          </w:tcPr>
          <w:p>
            <w:pPr>
              <w:spacing w:after="0"/>
              <w:rPr>
                <w:sz w:val="1"/>
                <w:szCs w:val="1"/>
                <w:color w:val="auto"/>
              </w:rPr>
            </w:pPr>
          </w:p>
        </w:tc>
      </w:tr>
      <w:tr>
        <w:trPr>
          <w:trHeight w:val="271"/>
        </w:trPr>
        <w:tc>
          <w:tcPr>
            <w:tcW w:w="47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(loss) income attributable to Icahn Enterprises from:</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Continuing operations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2,027</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Discontinued operations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Net income attributable to Icahn Enterprises allocable to:</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7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Limited partners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2,090</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General partner</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Basic and diluted (loss) income per LP unit:</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7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Continuing operations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12.58</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Discontinued operations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0.84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Basic and diluted weighted average LP units outstanding</w:t>
            </w:r>
          </w:p>
        </w:tc>
        <w:tc>
          <w:tcPr>
            <w:tcW w:w="10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distributions declared per LP unit</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120" w:type="dxa"/>
            <w:vAlign w:val="bottom"/>
            <w:gridSpan w:val="7"/>
          </w:tcPr>
          <w:p>
            <w:pPr>
              <w:jc w:val="center"/>
              <w:ind w:left="32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4"/>
        </w:trPr>
        <w:tc>
          <w:tcPr>
            <w:tcW w:w="9820" w:type="dxa"/>
            <w:vAlign w:val="bottom"/>
            <w:gridSpan w:val="10"/>
          </w:tcPr>
          <w:p>
            <w:pPr>
              <w:jc w:val="center"/>
              <w:ind w:left="151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(In millions)</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0"/>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4"/>
                <w:szCs w:val="24"/>
                <w:color w:val="auto"/>
              </w:rPr>
            </w:pPr>
          </w:p>
        </w:tc>
        <w:tc>
          <w:tcPr>
            <w:tcW w:w="28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1"/>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Post-retirement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2,517</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Less: Comprehensive (loss) income attributable to non-</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controlling interests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274</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2,243</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allocable to:</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2,198</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37"/>
        </w:trPr>
        <w:tc>
          <w:tcPr>
            <w:tcW w:w="47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2,243</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$1,479 million and $1,411 million at September 30, 2018 and December 31,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ind w:left="370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11,368</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864</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effect adjustment from</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adoption of accounting principle</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12,336</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8,017</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2,394</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Cumulative effect adjustment from</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adoption of accounting principle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57"/>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Balance, September 30,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5,026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4,784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6,414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11,198</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36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148"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13335</wp:posOffset>
            </wp:positionV>
            <wp:extent cx="2101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r>
      <w:tr>
        <w:trPr>
          <w:trHeight w:val="244"/>
        </w:trPr>
        <w:tc>
          <w:tcPr>
            <w:tcW w:w="8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gridSpan w:val="3"/>
          </w:tcPr>
          <w:p>
            <w:pPr>
              <w:jc w:val="right"/>
              <w:ind w:right="108"/>
              <w:spacing w:after="0"/>
              <w:rPr>
                <w:sz w:val="20"/>
                <w:szCs w:val="20"/>
                <w:color w:val="auto"/>
              </w:rPr>
            </w:pPr>
            <w:r>
              <w:rPr>
                <w:rFonts w:ascii="Arial" w:cs="Arial" w:eastAsia="Arial" w:hAnsi="Arial"/>
                <w:sz w:val="14"/>
                <w:szCs w:val="14"/>
                <w:color w:val="auto"/>
              </w:rPr>
              <w:t>(Unaudited)</w:t>
            </w:r>
          </w:p>
        </w:tc>
        <w:tc>
          <w:tcPr>
            <w:tcW w:w="1120" w:type="dxa"/>
            <w:vAlign w:val="bottom"/>
          </w:tcPr>
          <w:p>
            <w:pPr>
              <w:spacing w:after="0"/>
              <w:rPr>
                <w:sz w:val="21"/>
                <w:szCs w:val="21"/>
                <w:color w:val="auto"/>
              </w:rPr>
            </w:pPr>
          </w:p>
        </w:tc>
      </w:tr>
      <w:tr>
        <w:trPr>
          <w:trHeight w:val="276"/>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2,394</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from discontinued operations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Net gain from securities transactions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(858)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(1,852)</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securities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Proceeds from sales of securities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5,538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2,292</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to cover securities sold, not yet purchased</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Proceeds from securities sold, not yet purchased</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949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1,222</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receivables and payables relating to securities transactions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(2,702)</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Gain on disposition of assets, net</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(1,969)</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406</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Impairment</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76</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270"/>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340</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cash used in operating activities from continuing operations</w:t>
            </w:r>
          </w:p>
        </w:tc>
        <w:tc>
          <w:tcPr>
            <w:tcW w:w="1040" w:type="dxa"/>
            <w:vAlign w:val="bottom"/>
          </w:tcPr>
          <w:p>
            <w:pPr>
              <w:spacing w:after="0"/>
              <w:rPr>
                <w:sz w:val="21"/>
                <w:szCs w:val="21"/>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(1,324)</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 from discontinued operations</w:t>
            </w:r>
          </w:p>
        </w:tc>
        <w:tc>
          <w:tcPr>
            <w:tcW w:w="10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410</w:t>
            </w:r>
          </w:p>
        </w:tc>
      </w:tr>
      <w:tr>
        <w:trPr>
          <w:trHeight w:val="24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0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326</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(333)</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businesses, net of cash acquired</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Purchase of additional interests in consolidated subsidiaries</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(349)</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disposition of assets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1,405</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provided by investing activities from continuing operations</w:t>
            </w: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632</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investing activities from discontinued operations</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10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334</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segment contributions from non-controlling interests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Partnership contributions</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612</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Partnership distributions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offering of subsidiary equity</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and distributions to non-controlling interests in subsidiaries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Holding Company senior unsecured notes</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1,195</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Holding Company senior unsecured notes</w:t>
            </w:r>
          </w:p>
        </w:tc>
        <w:tc>
          <w:tcPr>
            <w:tcW w:w="10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subsidiary borrowings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1,003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843</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subsidiary borrowings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 from continuing operations</w:t>
            </w: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1,049</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financing activities from discontinued operations</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858</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Effect of exchange rate changes on cash and cash equivalents and restricted cash and restricted cash equivalents</w:t>
            </w:r>
          </w:p>
        </w:tc>
        <w:tc>
          <w:tcPr>
            <w:tcW w:w="1040" w:type="dxa"/>
            <w:vAlign w:val="bottom"/>
          </w:tcPr>
          <w:p>
            <w:pPr>
              <w:spacing w:after="0"/>
              <w:rPr>
                <w:sz w:val="21"/>
                <w:szCs w:val="21"/>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back decrease in cash of assets held for sale</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 and restricted cash and restricted cash equivalents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512</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beginning of period</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2,030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2,097</w:t>
            </w:r>
          </w:p>
        </w:tc>
      </w:tr>
      <w:tr>
        <w:trPr>
          <w:trHeight w:val="243"/>
        </w:trPr>
        <w:tc>
          <w:tcPr>
            <w:tcW w:w="8120" w:type="dxa"/>
            <w:vAlign w:val="bottom"/>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end of period</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1,854</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2,609</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31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64" w:right="239" w:bottom="314"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640" w:type="dxa"/>
            <w:vAlign w:val="bottom"/>
            <w:gridSpan w:val="2"/>
          </w:tcPr>
          <w:p>
            <w:pPr>
              <w:jc w:val="center"/>
              <w:ind w:left="26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3"/>
              </w:rPr>
              <w:t>(In millions)</w:t>
            </w: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0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5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3"/>
          </w:tcPr>
          <w:p>
            <w:pPr>
              <w:jc w:val="right"/>
              <w:ind w:right="250"/>
              <w:spacing w:after="0"/>
              <w:rPr>
                <w:sz w:val="20"/>
                <w:szCs w:val="20"/>
                <w:color w:val="auto"/>
              </w:rPr>
            </w:pPr>
            <w:r>
              <w:rPr>
                <w:rFonts w:ascii="Arial" w:cs="Arial" w:eastAsia="Arial" w:hAnsi="Arial"/>
                <w:sz w:val="14"/>
                <w:szCs w:val="14"/>
                <w:color w:val="auto"/>
              </w:rPr>
              <w:t>(Unaudited)</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10,038</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Due from brokers</w:t>
            </w: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1,961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8,891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8,790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9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31,007</w:t>
            </w:r>
          </w:p>
        </w:tc>
        <w:tc>
          <w:tcPr>
            <w:tcW w:w="12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31,833</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on derivative contracts</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to brokers</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Liabilities held for sale</w:t>
            </w: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5,998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6,202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7,911</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7,923</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18,643</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20,438</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Equity:</w:t>
            </w: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Limited partner</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 Holdings</w:t>
            </w: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5,640</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6,724</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12,364</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11,395</w:t>
            </w:r>
          </w:p>
        </w:tc>
        <w:tc>
          <w:tcPr>
            <w:tcW w:w="0" w:type="dxa"/>
            <w:vAlign w:val="bottom"/>
          </w:tcPr>
          <w:p>
            <w:pPr>
              <w:spacing w:after="0"/>
              <w:rPr>
                <w:sz w:val="1"/>
                <w:szCs w:val="1"/>
                <w:color w:val="auto"/>
              </w:rPr>
            </w:pPr>
          </w:p>
        </w:tc>
      </w:tr>
      <w:tr>
        <w:trPr>
          <w:trHeight w:val="257"/>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31,007</w:t>
            </w:r>
          </w:p>
        </w:tc>
        <w:tc>
          <w:tcPr>
            <w:tcW w:w="12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31,833</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580"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9160" w:type="dxa"/>
            <w:vAlign w:val="bottom"/>
            <w:gridSpan w:val="8"/>
          </w:tcPr>
          <w:p>
            <w:pPr>
              <w:jc w:val="center"/>
              <w:ind w:left="217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160" w:type="dxa"/>
            <w:vAlign w:val="bottom"/>
            <w:gridSpan w:val="8"/>
          </w:tcPr>
          <w:p>
            <w:pPr>
              <w:jc w:val="center"/>
              <w:ind w:left="217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72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3"/>
              </w:rPr>
              <w:t>(In millions)</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700" w:type="dxa"/>
            <w:vAlign w:val="bottom"/>
          </w:tcPr>
          <w:p>
            <w:pPr>
              <w:spacing w:after="0"/>
              <w:rPr>
                <w:sz w:val="24"/>
                <w:szCs w:val="24"/>
                <w:color w:val="auto"/>
              </w:rPr>
            </w:pPr>
          </w:p>
        </w:tc>
        <w:tc>
          <w:tcPr>
            <w:tcW w:w="27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Nine Months Ended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4"/>
              </w:rPr>
              <w:t>September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94"/>
              </w:rPr>
              <w:t>September 30,</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gridSpan w:val="3"/>
          </w:tcPr>
          <w:p>
            <w:pPr>
              <w:jc w:val="right"/>
              <w:ind w:right="650"/>
              <w:spacing w:after="0"/>
              <w:rPr>
                <w:sz w:val="20"/>
                <w:szCs w:val="20"/>
                <w:color w:val="auto"/>
              </w:rPr>
            </w:pPr>
            <w:r>
              <w:rPr>
                <w:rFonts w:ascii="Arial" w:cs="Arial" w:eastAsia="Arial" w:hAnsi="Arial"/>
                <w:sz w:val="14"/>
                <w:szCs w:val="14"/>
                <w:color w:val="auto"/>
              </w:rPr>
              <w:t>(Unaudited)</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2,864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2,404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8,220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7,107</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gain from investment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Gain on disposition of assets, net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income (loss), net</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2,685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3,504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9,427</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10,468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Expenses:</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2,406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2,054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7,007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6,174</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expenses from operations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Restructuring, net</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3,066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2,686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8,972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7"/>
              </w:rPr>
              <w:t>(Loss) income from continuing operations before income tax</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benefit (expense)</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(Loss) income from continuing operations</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Less: net (loss) income attributable to non-controlling interests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Icahn Enterprises Holdings</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income attributable to Icahn Enterprises from:</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43"/>
        </w:trPr>
        <w:tc>
          <w:tcPr>
            <w:tcW w:w="4700" w:type="dxa"/>
            <w:vAlign w:val="bottom"/>
          </w:tcPr>
          <w:p>
            <w:pPr>
              <w:ind w:left="220"/>
              <w:spacing w:after="0"/>
              <w:rPr>
                <w:sz w:val="20"/>
                <w:szCs w:val="20"/>
                <w:color w:val="auto"/>
              </w:rPr>
            </w:pPr>
            <w:r>
              <w:rPr>
                <w:rFonts w:ascii="Arial" w:cs="Arial" w:eastAsia="Arial" w:hAnsi="Arial"/>
                <w:sz w:val="18"/>
                <w:szCs w:val="18"/>
                <w:color w:val="auto"/>
              </w:rPr>
              <w:t>Discontinued operations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income attributable to Icahn Enterprises Holdings allocable</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10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440" w:type="dxa"/>
            <w:vAlign w:val="bottom"/>
            <w:gridSpan w:val="8"/>
          </w:tcPr>
          <w:p>
            <w:pPr>
              <w:jc w:val="center"/>
              <w:ind w:left="289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720" w:type="dxa"/>
            <w:vAlign w:val="bottom"/>
            <w:gridSpan w:val="10"/>
          </w:tcPr>
          <w:p>
            <w:pPr>
              <w:jc w:val="center"/>
              <w:ind w:left="161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3"/>
              </w:rPr>
              <w:t>(In millions)</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24"/>
                <w:szCs w:val="24"/>
                <w:color w:val="auto"/>
              </w:rPr>
            </w:pPr>
          </w:p>
        </w:tc>
        <w:tc>
          <w:tcPr>
            <w:tcW w:w="298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1"/>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80" w:type="dxa"/>
            <w:vAlign w:val="bottom"/>
            <w:gridSpan w:val="3"/>
          </w:tcPr>
          <w:p>
            <w:pPr>
              <w:jc w:val="center"/>
              <w:ind w:left="611"/>
              <w:spacing w:after="0"/>
              <w:rPr>
                <w:sz w:val="20"/>
                <w:szCs w:val="20"/>
                <w:color w:val="auto"/>
              </w:rPr>
            </w:pPr>
            <w:r>
              <w:rPr>
                <w:rFonts w:ascii="Arial" w:cs="Arial" w:eastAsia="Arial" w:hAnsi="Arial"/>
                <w:sz w:val="14"/>
                <w:szCs w:val="14"/>
                <w:color w:val="auto"/>
                <w:w w:val="95"/>
              </w:rPr>
              <w:t>(Unaudited)</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Post-retirement benefits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w w:val="99"/>
              </w:rPr>
              <w:t>Less: Comprehensive (loss) income attributable to non-</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0"/>
              <w:spacing w:after="0"/>
              <w:rPr>
                <w:sz w:val="20"/>
                <w:szCs w:val="20"/>
                <w:color w:val="auto"/>
              </w:rPr>
            </w:pPr>
            <w:r>
              <w:rPr>
                <w:rFonts w:ascii="Arial" w:cs="Arial" w:eastAsia="Arial" w:hAnsi="Arial"/>
                <w:sz w:val="18"/>
                <w:szCs w:val="18"/>
                <w:color w:val="auto"/>
              </w:rPr>
              <w:t>controlling interests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Comprehensive income attributable to Icahn Enterprises</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center"/>
              <w:ind w:right="2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Holdings</w:t>
            </w: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Comprehensive income attributable to Icahn Enterprises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Holdings allocable to:</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540" w:type="dxa"/>
            <w:vAlign w:val="bottom"/>
          </w:tcPr>
          <w:p>
            <w:pPr>
              <w:jc w:val="center"/>
              <w:ind w:right="2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center"/>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$1,479 million and $1,411 million at September 30, 2018 and December 31,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11" w:name="page12"/>
    <w:bookmarkEnd w:id="11"/>
    <w:p>
      <w:pPr>
        <w:ind w:left="318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6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w w:val="92"/>
              </w:rPr>
              <w:t>Equity Attributable to Icahn Enterprises Holdings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1"/>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11,395</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865</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effect adjustment from</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adoption of accounting principle</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12,364</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77"/>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6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w w:val="92"/>
              </w:rPr>
              <w:t>Equity Attributable to Icahn Enterprises Holdings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8,042</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2,395</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Cumulative effect adjustment from</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adoption of accounting principle</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57"/>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Balance, September 30,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4,810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6,414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11,224</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364"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148"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13335</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r>
      <w:tr>
        <w:trPr>
          <w:trHeight w:val="244"/>
        </w:trPr>
        <w:tc>
          <w:tcPr>
            <w:tcW w:w="8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gridSpan w:val="3"/>
          </w:tcPr>
          <w:p>
            <w:pPr>
              <w:jc w:val="right"/>
              <w:ind w:right="108"/>
              <w:spacing w:after="0"/>
              <w:rPr>
                <w:sz w:val="20"/>
                <w:szCs w:val="20"/>
                <w:color w:val="auto"/>
              </w:rPr>
            </w:pPr>
            <w:r>
              <w:rPr>
                <w:rFonts w:ascii="Arial" w:cs="Arial" w:eastAsia="Arial" w:hAnsi="Arial"/>
                <w:sz w:val="14"/>
                <w:szCs w:val="14"/>
                <w:color w:val="auto"/>
              </w:rPr>
              <w:t>(Unaudited)</w:t>
            </w:r>
          </w:p>
        </w:tc>
        <w:tc>
          <w:tcPr>
            <w:tcW w:w="1120" w:type="dxa"/>
            <w:vAlign w:val="bottom"/>
          </w:tcPr>
          <w:p>
            <w:pPr>
              <w:spacing w:after="0"/>
              <w:rPr>
                <w:sz w:val="21"/>
                <w:szCs w:val="21"/>
                <w:color w:val="auto"/>
              </w:rPr>
            </w:pPr>
          </w:p>
        </w:tc>
      </w:tr>
      <w:tr>
        <w:trPr>
          <w:trHeight w:val="276"/>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2,395</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from discontinued operations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Net gain from securities transactions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(858)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(1,852)</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securities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Proceeds from sales of securities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5,538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2,292</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to cover securities sold, not yet purchased</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Proceeds from securities sold, not yet purchased</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949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1,222</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receivables and payables relating to securities transactions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(2,702)</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Gain on disposition of assets, net</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(1,969)</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Impairment</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76</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270"/>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(554)</w:t>
            </w:r>
          </w:p>
        </w:tc>
        <w:tc>
          <w:tcPr>
            <w:tcW w:w="1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cash used in operating activities from continuing operations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(1,324)</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 from discontinued operations</w:t>
            </w:r>
          </w:p>
        </w:tc>
        <w:tc>
          <w:tcPr>
            <w:tcW w:w="10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410</w:t>
            </w:r>
          </w:p>
        </w:tc>
      </w:tr>
      <w:tr>
        <w:trPr>
          <w:trHeight w:val="24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0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326</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(333)</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businesses, net of cash acquired</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Purchase of additional interests in consolidated subsidiaries</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(349)</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disposition of assets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1,405</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provided by investing activities from continuing operations</w:t>
            </w: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632</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investing activities from discontinued operations</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10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334</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segment contributions from non-controlling interests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Partnership contributions</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612</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Partnership distributions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offering of subsidiary equity</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and distributions to non-controlling interests in subsidiaries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Holding Company senior unsecured notes</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1,195</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Holding Company senior unsecured notes</w:t>
            </w:r>
          </w:p>
        </w:tc>
        <w:tc>
          <w:tcPr>
            <w:tcW w:w="10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subsidiary borrowings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1,003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843</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subsidiary borrowings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 from continuing operations</w:t>
            </w: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1,049</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financing activities from discontinued operations</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858</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040" w:type="dxa"/>
            <w:vAlign w:val="bottom"/>
          </w:tcPr>
          <w:p>
            <w:pPr>
              <w:spacing w:after="0"/>
              <w:rPr>
                <w:sz w:val="21"/>
                <w:szCs w:val="21"/>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back decrease in cash of assets held for sale</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 and restricted cash and restricted cash equivalents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512</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beginning of period</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2,030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2,097</w:t>
            </w:r>
          </w:p>
        </w:tc>
      </w:tr>
      <w:tr>
        <w:trPr>
          <w:trHeight w:val="243"/>
        </w:trPr>
        <w:tc>
          <w:tcPr>
            <w:tcW w:w="8120" w:type="dxa"/>
            <w:vAlign w:val="bottom"/>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end of period</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1,854</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2,609</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312"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64" w:right="239" w:bottom="312"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Icahn Enterprises L.P. ("Icahn Enterprises") owns a 99% limited partner interest in Icahn Enterprises Holdings L.P. ("Icahn Enterprises Holdings"). Icahn Enterprises G.P. Inc. ("Icahn Enterprises GP"), which is owned and controlled by Mr. Carl C. Icahn, owns a 1% general partner interest in each of Icahn Enterprises and Icahn Enterprises Holdings as of September 30, 2018.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of the general partner interest, which is reflected as an aggregate 1.99% general partner interest in the financial statements of Icahn Enterprises, as well as due to the carrying amount of deferred financing costs related to our senior unsecured notes. In addition to the above, Mr. Icahn and his affiliates owned approximately 91.5% of Icahn Enterprises' outstanding depositary units as of September 30, 2018.</w:t>
      </w:r>
    </w:p>
    <w:p>
      <w:pPr>
        <w:spacing w:after="0" w:line="84"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References to "we," "our" or "us" herein include both Icahn Enterprises and Icahn Enterprises Holdings and their subsidiaries, unless the context otherwise requires.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Continuing Operating Businesses</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We are a diversified holding company owning subsidiaries currently engaged in the following continuing operating businesses: Investment, Automotive, Energy, Railcar, Metals,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our Holding Company. See Note 11, "Segment Reporting," for a reconciliation of each of our reporting segment's results of operations to our consolidated results. Certain additional information with respect to our segments is discussed below.</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Our Investment segment is comprised of various private investment funds ("Investment Funds") in which we have general partner interests and through which we invest our proprietary capital. We and certain of Mr. Icahn's wholly owned affiliates are the only investors in the Investment Funds. As general partner, we provide investment advisory and certain administrative and back office services to the Investment Funds but do not provide such services to any other entities, individuals or accounts. Interests in the Investment Funds are not offered to outside investors. We had interests in the Investment Funds with a fair value of approximately $3.0 billion and $3.0 billion as of September 30, 2018 and December 31, 2017,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We conduct our Automotive segment through our wholly owned subsidiary Icahn Automotive Group LLC ("Icahn Automotive"). Icahn Automotive is engaged in the retail and wholesale distribution of automotive parts in the aftermarket as well as providing automotive repair and maintenance services to its customers.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conduct our Energy segment through our majority ownership in CVR Energy, Inc. ("CVR Energy"). CVR Energy is a diversified holding company primarily engaged in the petroleum refining and nitrogen fertilizer manufacturing industries through its holdings in CVR Refining L.P. ("CVR Refining") and CVR Partners L.P. ("CVR Partners"), respectively. CVR Refining is a petroleum refiner and marketer of high value transportation fuels. CVR Partners produces and markets nitrogen fertilizers in the form of ammonia and urea ammonium nitrate. As of September 30, 2018, CVR Energy owned 100% of each of the general partners of CVR Refining and CVR Partners and approximately 81% and 34% of the common units of CVR Refining and CVR Partners, respectively.</w:t>
      </w:r>
    </w:p>
    <w:p>
      <w:pPr>
        <w:spacing w:after="0" w:line="8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August 1, 2018, CVR Energy completed an exchange offer whereby CVR Refining's public unitholders tendered a total of 21,625,106 common units of CVR Refining in exchange for 13,699,549 shares of CVR Energy common stock. As of September 30, 2018, we owned approximately 70.8% of the total outstanding common stock of CVR Energy. In addition, as of September 30, 2018, we directly owned approximately 3.9% of the total outstanding common units of CVR Refining.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conduct our Railcar segment through our majority ownership in American Railcar Industries, Inc. ("ARI") and, prior to its sale on June 1, 2017, our wholly owned subsidiary American Railcar Leasing, LLC ("ARL"). As of September 30, 2018, we owned approximately 62.2% of the total outstanding common stock of ARI.</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37"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ARI is a North American designer and manufacturer of hopper and tank railcars. ARI provides its railcar customers with integrated solutions through a comprehensive set of high-quality products and related services through its manufacturing, railcar leasing and railcar services operations. ARI's manufacturing consists of railcar manufacturing and railcar and industrial component manufacturing. ARI's railcar leasing business consists of railcars built by ARI leased to third parties under operating leases. ARI's railcar services consist of railcar repair, engineering and field services.</w:t>
      </w:r>
    </w:p>
    <w:p>
      <w:pPr>
        <w:spacing w:after="0" w:line="6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October 22, 2018, we announced a definitive agreement to sell ARI to ITE Rail Fund L.P. ("ITE Rail") for $70.00 per share of ARI common stock. If this transaction is consummated, our share of the cash proceeds will be approximately $831 million. We expect the sale of ARI to close in the fourth quarter of 2018, subject to customary closing conditions. Under certain circumstances, ARI may be subject to a termination fee of $65 million or ITE Rail may be subject to a termination fee of $130 million. This transaction met all the criteria to be classified as held for sale on October 22, 2018 upon execution of the definitive agreement.</w:t>
      </w:r>
    </w:p>
    <w:p>
      <w:pPr>
        <w:spacing w:after="0" w:line="80"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On June 1, 2017, we closed on the initial sale of ARL. In connection with this sale, we received cash consideration of approximately $1.3 billion and reassigned the debt of ARL to the purchaser, resulting in a pretax gain on disposition of assets of approximately $1.5 billion during the nine months ended September 30,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conduct our Metals segment through our indirect wholly owned subsidiary PSC Metals LLC, f/k/a, PSC Metals, Inc.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r>
        <w:rPr>
          <w:rFonts w:ascii="Arial" w:cs="Arial" w:eastAsia="Arial" w:hAnsi="Arial"/>
          <w:sz w:val="16"/>
          <w:szCs w:val="16"/>
          <w:i w:val="1"/>
          <w:iCs w:val="1"/>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w:t>
      </w:r>
    </w:p>
    <w:p>
      <w:pPr>
        <w:spacing w:after="0" w:line="117" w:lineRule="exact"/>
        <w:rPr>
          <w:sz w:val="20"/>
          <w:szCs w:val="20"/>
          <w:color w:val="auto"/>
        </w:rPr>
      </w:pPr>
    </w:p>
    <w:p>
      <w:pPr>
        <w:jc w:val="both"/>
        <w:ind w:right="480" w:firstLine="405"/>
        <w:spacing w:after="0" w:line="312" w:lineRule="auto"/>
        <w:rPr>
          <w:sz w:val="20"/>
          <w:szCs w:val="20"/>
          <w:color w:val="auto"/>
        </w:rPr>
      </w:pPr>
      <w:r>
        <w:rPr>
          <w:rFonts w:ascii="Arial" w:cs="Arial" w:eastAsia="Arial" w:hAnsi="Arial"/>
          <w:sz w:val="16"/>
          <w:szCs w:val="16"/>
          <w:color w:val="auto"/>
        </w:rPr>
        <w:t>We conduct our Mining segment through our majority ownership in Ferrous Resources Ltd. ("Ferrous Resources"). As of September 30, 2018, we owned approximately 77.2% of the total outstanding common stock of Ferrous Resources. Ferrous Resources acquired certain rights to iron ore mineral resources in Brazil and develops mining operations and related infrastructure to produce and sell iron ore products to the global steel industry.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We conduct our Food Packaging segment through our majority ownership in Viskase Companies, Inc. ("Viskase"). During January 2018, Viskase received $50 million in connection with its common stock rights offering. In connection with this rights offering, we fully exercised our subscription rights under our basic and over subscription privileges to purchase additional shares of Viskase common stock, thereby increasing our ownership of Viskase from 74.6% to 78.6%, for an aggregate additional investment of $44 million.</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Viskase is a producer of cellulosic, fibrous and plastic casings used to prepare and package processed meat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Our Real Estate operations consist primarily of rental real estate, property development and associated club activities. Our rental real estate operations consist primarily of office and industrial properties leased to single corporate tenants. Our property development operations are run primarily through a real estate investment, management and development subsidiary that focuses primarily on the construction and sale of single-family and multi-family homes, lots in subdivisions and planned communities, and raw land for residential development. Our property development locations also operate golf and club operations. In addition, our Real Estate operations also includes a hotel, timeshare and casino resort property in Aruba as well as the Trump Plaza Hotel and Casino in Atlantic City, which ceased operations in September 2014 prior to our obtaining control of the property.</w:t>
      </w:r>
    </w:p>
    <w:p>
      <w:pPr>
        <w:spacing w:after="0" w:line="57"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In August 2018, our Real Estate segment sold a commercial rental property for $139 million, resulting in a pretax gain on disposition of assets of $67 million. The proceeds from the sale were initially classified as restricted cash on our condensed consolidated balance sheet as of September 30, 2018 in connection with section 1031 of the Internal Revenue Code, as amended, however, such restriction was released in October 2018.</w:t>
      </w:r>
    </w:p>
    <w:p>
      <w:pPr>
        <w:spacing w:after="0" w:line="57"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In August 2017, our Real Estate segment sold a development property in Las Vegas, Nevada for $600 million, resulting in a pretax gain on disposition of assets of $456 million. The transaction included cash proceeds from the sale of $225 million and two tranches of seller financing totaling $375 million (including a $345 million first-lien mortgage and a $30 million second-lien mortgage). The seller financing receivables, plus accrued and unpaid interest receivable, are included in other assets on our condensed consolidated balance sheets. Such receivables were received in full in October 2018.</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7"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We conduct our Home Fashion segment through our indirect wholly owned subsidiary, WestPoint Home LLC (“WPH”). WPH's business consists of manufacturing, sourcing, marketing, distributing and selling home fashion consumer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Discontinued Operating Businesses</w:t>
      </w:r>
    </w:p>
    <w:p>
      <w:pPr>
        <w:spacing w:after="0" w:line="117"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As of September 30, 2018, we also operated discontinued operations previously reported in our Automotive and former Gaming segments as discussed below. In addition, see Note 12, "Discontinued Operations," for additional information with respect to our discontinued operating businesses.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Our discontinued Automotive operations consists of our wholly owned subsidiary, Federal-Mogul LLC ("Federal-Mogul"). During January 2017, we increased our ownership in Federal-Mogul from 82.0% to 100% for an aggregate purchase price of $305 million.</w:t>
      </w:r>
    </w:p>
    <w:p>
      <w:pPr>
        <w:spacing w:after="0" w:line="62" w:lineRule="exact"/>
        <w:rPr>
          <w:sz w:val="20"/>
          <w:szCs w:val="20"/>
          <w:color w:val="auto"/>
        </w:rPr>
      </w:pPr>
    </w:p>
    <w:p>
      <w:pPr>
        <w:ind w:right="200" w:firstLine="405"/>
        <w:spacing w:after="0" w:line="288" w:lineRule="auto"/>
        <w:rPr>
          <w:sz w:val="20"/>
          <w:szCs w:val="20"/>
          <w:color w:val="auto"/>
        </w:rPr>
      </w:pPr>
      <w:r>
        <w:rPr>
          <w:rFonts w:ascii="Arial" w:cs="Arial" w:eastAsia="Arial" w:hAnsi="Arial"/>
          <w:sz w:val="16"/>
          <w:szCs w:val="16"/>
          <w:color w:val="auto"/>
        </w:rPr>
        <w:t>On October 1, 2018, we closed on the previously announced sale of Federal-Mogul to Tenneco Inc. ("Tenneco"). In connection with the sale, we received $800 million in cash and approximately 29.5 million shares of Tenneco common stock, of which approximately 23.8 million shares are non-voting shares that will convert to voting shares if and when sold. The remaining approximately 5.7 million voting shares received by us represents approximately</w:t>
      </w:r>
    </w:p>
    <w:p>
      <w:pPr>
        <w:ind w:right="80"/>
        <w:spacing w:after="0" w:line="253" w:lineRule="auto"/>
        <w:rPr>
          <w:sz w:val="20"/>
          <w:szCs w:val="20"/>
          <w:color w:val="auto"/>
        </w:rPr>
      </w:pPr>
      <w:r>
        <w:rPr>
          <w:rFonts w:ascii="Arial" w:cs="Arial" w:eastAsia="Arial" w:hAnsi="Arial"/>
          <w:sz w:val="18"/>
          <w:szCs w:val="18"/>
          <w:color w:val="auto"/>
        </w:rPr>
        <w:t>9.9% of the aggregate voting interest in Tenneco. There are restrictions on how many shares of Tenneco common stock that can be sold by us within the first 150 days after the closing of the sale. The voting and non-voting shares of Tenneco common stock have the same economic value. As of October 1, 2018, the approximately 29.5 million voting and non-voting shares of Tenneco common stock had a fair value of approximately $1.2 billion, which our Holding Company will hold and record as a Level 1 investment measured at fair value on a recurring basis. In addition, Federal-Mogul's outstanding debt was assumed by Tenneco.</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Our discontinued Gaming operations consists of our majority ownership in Tropicana Entertainment Inc. ("Tropicana") and the Trump Taj Mahal Casino Resort ("Taj Mahal"). As of September 30, 2018, we owned approximately 83.9% of the total outstanding common stock of Tropicana. In August 2017, we increased our ownership in Tropicana from 72.5% to 83.9% through a tender offer for additional shares of Tropicana common stock not already owned by us for an aggregate purchase price of $95 million. In addition, Tropicana repurchased and retired shares of its common stock in connection with this tender offer for an aggregate purchase price of $36 million. Taj Mahal closed in October 2016 and was subsequently sold on March 31, 2017.</w:t>
      </w:r>
    </w:p>
    <w:p>
      <w:pPr>
        <w:spacing w:after="0" w:line="50"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On October 1, 2018, Tropicana closed on the previously announced real estate sales and merger transaction for aggregate cash consideration, net of adjustments, of approximately $1.8 billion. The transaction did not include Tropicana Aruba Resort and Casino, which was retained by us and is now reported within our Real Estate segment. Our proportionate share of the cash proceeds, net of adjustments, was approximately $1.5 billion.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Sales of Discontinued Operations</w:t>
      </w:r>
    </w:p>
    <w:p>
      <w:pPr>
        <w:spacing w:after="0" w:line="117"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As a result of the sales of Federal-Mogul and Tropicana described above, we will recognize aggregate pre-tax gains on the sales of discontinued operations of approximately $1.0 billion in the fourth quarter of 2018.</w:t>
      </w:r>
    </w:p>
    <w:p>
      <w:pPr>
        <w:spacing w:after="0" w:line="166"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21"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We conduct and plan to continue to conduct our activities in such a manner as not to be deemed an investment company under the Investment Company Act of 1940, as amended (the “'40 Act”). Therefore, no more than 40% of our total assets can be invested in investment securities, as such term is defined in the '40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46"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’40 Act. Our recent sales of Federal-Mogul and Tropicana did not result in our being considered an investment company. However, additional transactions involving the sale of certain assets could result in our being considered an investment company. Following such events or transactions, an exemption under the '40 Act would provide us up to one year to take steps to avoid becoming classified as an investment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company. We expect to take steps to avoid becoming classified as an investment company, but no assurance can be made that we will successfully be able to take the steps necessary to avoid becoming classified as an investment company.</w:t>
      </w:r>
    </w:p>
    <w:p>
      <w:pPr>
        <w:spacing w:after="0" w:line="62"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2017.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As of September 30, 2018, our condensed consolidated financial statements include the accounts of (i) Icahn Enterprises and Icahn Enterprises Holdings and (ii) the wholly and majority owned subsidiaries of Icahn Enterprises and Icahn Enterprises Holdings, in addition to variable interest entities ("VIEs") in which we are the primary beneficiary. In evaluating whether we have a controlling financial interest in entities that we consolidate, we consider the following:</w:t>
      </w:r>
    </w:p>
    <w:p>
      <w:pPr>
        <w:ind w:right="80" w:firstLine="8"/>
        <w:spacing w:after="0" w:line="253"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83" w:lineRule="exact"/>
        <w:rPr>
          <w:sz w:val="20"/>
          <w:szCs w:val="20"/>
          <w:color w:val="auto"/>
        </w:rPr>
      </w:pPr>
    </w:p>
    <w:p>
      <w:pPr>
        <w:ind w:right="800" w:firstLine="405"/>
        <w:spacing w:after="0" w:line="277" w:lineRule="auto"/>
        <w:rPr>
          <w:sz w:val="20"/>
          <w:szCs w:val="20"/>
          <w:color w:val="auto"/>
        </w:rPr>
      </w:pPr>
      <w:r>
        <w:rPr>
          <w:rFonts w:ascii="Arial" w:cs="Arial" w:eastAsia="Arial" w:hAnsi="Arial"/>
          <w:sz w:val="18"/>
          <w:szCs w:val="18"/>
          <w:color w:val="auto"/>
        </w:rPr>
        <w:t>Except for our Investment segment, for equity investments in which we own 50% or less but greater than 20%, we generally account for such investments using the equity method. All other equity investments are accounted for at fair value.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 and Held For Sale</w:t>
      </w:r>
    </w:p>
    <w:p>
      <w:pPr>
        <w:spacing w:after="0" w:line="117"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In April 2018, we announced separate definitive agreements to sell Federal-Mogul and Tropicana, each of which are considered separate disposal groups. Each transaction met the criteria to be classified as discontinued operations in the second quarter of 2018. As a result, in accordance with U.S. GAAP, the assets and liabilities of each disposal group have been reclassified to held for sale and their respective results of operations have been reclassified to discontinued operations for all periods presented. Each disposal group is reported at the lesser of carrying value or fair value less cost to sell.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 xml:space="preserve">In connection with our adoption of Financial Accounting Standards Board ("FASB") Accounting Standards Update ("ASU") No. 2016-18, </w:t>
      </w:r>
      <w:r>
        <w:rPr>
          <w:rFonts w:ascii="Arial" w:cs="Arial" w:eastAsia="Arial" w:hAnsi="Arial"/>
          <w:sz w:val="16"/>
          <w:szCs w:val="16"/>
          <w:i w:val="1"/>
          <w:iCs w:val="1"/>
          <w:color w:val="auto"/>
        </w:rPr>
        <w:t>Restricted</w:t>
      </w:r>
      <w:r>
        <w:rPr>
          <w:rFonts w:ascii="Arial" w:cs="Arial" w:eastAsia="Arial" w:hAnsi="Arial"/>
          <w:sz w:val="16"/>
          <w:szCs w:val="16"/>
          <w:color w:val="auto"/>
        </w:rPr>
        <w:t xml:space="preserve"> </w:t>
      </w:r>
      <w:r>
        <w:rPr>
          <w:rFonts w:ascii="Arial" w:cs="Arial" w:eastAsia="Arial" w:hAnsi="Arial"/>
          <w:sz w:val="16"/>
          <w:szCs w:val="16"/>
          <w:i w:val="1"/>
          <w:iCs w:val="1"/>
          <w:color w:val="auto"/>
        </w:rPr>
        <w:t>Cash</w:t>
      </w:r>
      <w:r>
        <w:rPr>
          <w:rFonts w:ascii="Arial" w:cs="Arial" w:eastAsia="Arial" w:hAnsi="Arial"/>
          <w:sz w:val="16"/>
          <w:szCs w:val="16"/>
          <w:color w:val="auto"/>
        </w:rPr>
        <w:t>, as discussed below, our net cash used in operating activities for the nine months ended September 30, 2017 was increased by $195 million.</w:t>
      </w:r>
    </w:p>
    <w:p>
      <w:pPr>
        <w:spacing w:after="0" w:line="1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 xml:space="preserve">In connection with our adoption of FASB ASU No. 2017-07, </w:t>
      </w:r>
      <w:r>
        <w:rPr>
          <w:rFonts w:ascii="Arial" w:cs="Arial" w:eastAsia="Arial" w:hAnsi="Arial"/>
          <w:sz w:val="18"/>
          <w:szCs w:val="18"/>
          <w:i w:val="1"/>
          <w:iCs w:val="1"/>
          <w:color w:val="auto"/>
        </w:rPr>
        <w:t>Improving the Presentation of Net Periodic Pension Cost and Net Periodic Postretirement</w:t>
      </w:r>
      <w:r>
        <w:rPr>
          <w:rFonts w:ascii="Arial" w:cs="Arial" w:eastAsia="Arial" w:hAnsi="Arial"/>
          <w:sz w:val="18"/>
          <w:szCs w:val="18"/>
          <w:color w:val="auto"/>
        </w:rPr>
        <w:t xml:space="preserve"> </w:t>
      </w:r>
      <w:r>
        <w:rPr>
          <w:rFonts w:ascii="Arial" w:cs="Arial" w:eastAsia="Arial" w:hAnsi="Arial"/>
          <w:sz w:val="18"/>
          <w:szCs w:val="18"/>
          <w:i w:val="1"/>
          <w:iCs w:val="1"/>
          <w:color w:val="auto"/>
        </w:rPr>
        <w:t>Benefit Cost</w:t>
      </w:r>
      <w:r>
        <w:rPr>
          <w:rFonts w:ascii="Arial" w:cs="Arial" w:eastAsia="Arial" w:hAnsi="Arial"/>
          <w:sz w:val="18"/>
          <w:szCs w:val="18"/>
          <w:color w:val="auto"/>
        </w:rPr>
        <w:t>, as discussed below, we decreased our selling, general and administrative costs by $1 million and decreased other income, net by $1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2017. For the nine months ended September 30, 2017, we decreased our selling, general and administrative costs by $3 million and decreased other income, net by $3 million.</w:t>
      </w:r>
    </w:p>
    <w:p>
      <w:pPr>
        <w:spacing w:after="0" w:line="79"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In addition, certain other reclassifications from the prior year presentation have been made to conform to the current year presentation, which did not have an impact on previously reported net income and equity and are not deemed material.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Enterprises Holdings</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determined that Icahn Enterprises Holdings is a VIE because it lacks both substantive kick-out and participating rights. Icahn Enterprises is the primary beneficiary of Icahn Enterprises Holdings principally based on its 99% limited partner interest in Icahn Enterprises Holdings and therefore continues to consolidate Icahn Enterprises Holdings. The condensed consolidated financial statements of Icahn Enterprises Holdings are included in this Report. The balances with respect to Icahn Enterprises Holdings' consolidated VIEs are discussed below, comprising the Investment Funds, CVR Refining, CVR Partners and Viskase.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37"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determined that each of the Investment Funds are considered VIEs because these limited partnerships lack both substantive kick-out and participating rights. Because we have a general partner interest in each of the Investment Funds and have significant limited partner interests in each of the Investment Funds, coupled with our significant exposure to losses and benefits in each of the Investment Funds, we are the primary beneficiary of each of the Investment Funds and therefore continue to consolidate each of the Investment Funds.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CVR Refining and CVR Partners are each considered VIEs because each of these limited partnerships lack both substantive kick-out and participating rights. In addition, CVR Energy also concluded that, based upon its general partner's roles and rights in CVR Refining and CVR Partners as afforded by their respective partnership agreements, coupled with its exposure to losses and benefits in each of CVR Refining and CVR Partners through its significant limited partner interests, intercompany credit facilities and services agreements, it is the primary beneficiary of both CVR Refining and CVR Partners. Based upon this evaluation, CVR Energy continues to consolidate both CVR Refining and CVR Partners.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Viskase holds a variable interest in a joint venture for which Viskase is the primary beneficiary. Viskase's interest in the joint venture includes a 50% equity interest and also relates to the sales, operations, administrative and financial support to the joint venture through providing many of the assets used in its business.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includes balances of assets and liabilities of VIE's included in Icahn Enterprises Holdings' condensed consolidated balance sheets.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September 30, 2018</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December 31, 2017</w:t>
            </w:r>
          </w:p>
        </w:tc>
      </w:tr>
      <w:tr>
        <w:trPr>
          <w:trHeight w:val="27"/>
        </w:trPr>
        <w:tc>
          <w:tcPr>
            <w:tcW w:w="8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0" w:type="dxa"/>
            <w:vAlign w:val="bottom"/>
            <w:gridSpan w:val="2"/>
          </w:tcPr>
          <w:p>
            <w:pPr>
              <w:jc w:val="right"/>
              <w:ind w:right="29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r>
      <w:tr>
        <w:trPr>
          <w:trHeight w:val="256"/>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460</w:t>
            </w:r>
          </w:p>
        </w:tc>
        <w:tc>
          <w:tcPr>
            <w:tcW w:w="7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60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637</w:t>
            </w:r>
          </w:p>
        </w:tc>
        <w:tc>
          <w:tcPr>
            <w:tcW w:w="7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734</w:t>
            </w:r>
          </w:p>
        </w:tc>
      </w:tr>
      <w:tr>
        <w:trPr>
          <w:trHeight w:val="27"/>
        </w:trPr>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8,794</w:t>
            </w:r>
          </w:p>
        </w:tc>
        <w:tc>
          <w:tcPr>
            <w:tcW w:w="7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9,615</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Due from brokers</w:t>
            </w:r>
          </w:p>
        </w:tc>
        <w:tc>
          <w:tcPr>
            <w:tcW w:w="60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338</w:t>
            </w:r>
          </w:p>
        </w:tc>
        <w:tc>
          <w:tcPr>
            <w:tcW w:w="7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506</w:t>
            </w:r>
          </w:p>
        </w:tc>
      </w:tr>
      <w:tr>
        <w:trPr>
          <w:trHeight w:val="27"/>
        </w:trPr>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3,034</w:t>
            </w:r>
          </w:p>
        </w:tc>
        <w:tc>
          <w:tcPr>
            <w:tcW w:w="7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3,191</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60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427</w:t>
            </w:r>
          </w:p>
        </w:tc>
        <w:tc>
          <w:tcPr>
            <w:tcW w:w="7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385</w:t>
            </w:r>
          </w:p>
        </w:tc>
      </w:tr>
      <w:tr>
        <w:trPr>
          <w:trHeight w:val="27"/>
        </w:trPr>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283</w:t>
            </w:r>
          </w:p>
        </w:tc>
        <w:tc>
          <w:tcPr>
            <w:tcW w:w="7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381</w:t>
            </w:r>
          </w:p>
        </w:tc>
        <w:tc>
          <w:tcPr>
            <w:tcW w:w="7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226</w:t>
            </w:r>
          </w:p>
        </w:tc>
      </w:tr>
      <w:tr>
        <w:trPr>
          <w:trHeight w:val="27"/>
        </w:trPr>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1,656</w:t>
            </w:r>
          </w:p>
        </w:tc>
        <w:tc>
          <w:tcPr>
            <w:tcW w:w="7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1,816</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60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625</w:t>
            </w:r>
          </w:p>
        </w:tc>
        <w:tc>
          <w:tcPr>
            <w:tcW w:w="7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1,023</w:t>
            </w:r>
          </w:p>
        </w:tc>
      </w:tr>
      <w:tr>
        <w:trPr>
          <w:trHeight w:val="27"/>
        </w:trPr>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brokers</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243</w:t>
            </w:r>
          </w:p>
        </w:tc>
        <w:tc>
          <w:tcPr>
            <w:tcW w:w="7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Debt</w:t>
            </w:r>
          </w:p>
        </w:tc>
        <w:tc>
          <w:tcPr>
            <w:tcW w:w="60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1,168</w:t>
            </w:r>
          </w:p>
        </w:tc>
        <w:tc>
          <w:tcPr>
            <w:tcW w:w="7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1,166</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Related Matters,” and Note 5, “Fair Value Measurements,” for a detailed discussion of our investments and other non-financial assets and/or liabilities.</w:t>
      </w:r>
    </w:p>
    <w:p>
      <w:pPr>
        <w:spacing w:after="0" w:line="7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September 30, 2018 was approximately $7.9 billion and $8.1 billion, respectively. The carrying value and estimated fair value of our long-term debt as of December 31, 2017 was approximately $7.9 billion and $8.2 billion, respectively.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37"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Held at Consolidated Affiliated Partnerships and Restricted Cash</w:t>
      </w:r>
    </w:p>
    <w:p>
      <w:pPr>
        <w:spacing w:after="0" w:line="117" w:lineRule="exact"/>
        <w:rPr>
          <w:sz w:val="20"/>
          <w:szCs w:val="20"/>
          <w:color w:val="auto"/>
        </w:rPr>
      </w:pPr>
    </w:p>
    <w:p>
      <w:pPr>
        <w:ind w:right="360" w:firstLine="405"/>
        <w:spacing w:after="0" w:line="312" w:lineRule="auto"/>
        <w:rPr>
          <w:sz w:val="20"/>
          <w:szCs w:val="20"/>
          <w:color w:val="auto"/>
        </w:rPr>
      </w:pPr>
      <w:r>
        <w:rPr>
          <w:rFonts w:ascii="Arial" w:cs="Arial" w:eastAsia="Arial" w:hAnsi="Arial"/>
          <w:sz w:val="16"/>
          <w:szCs w:val="16"/>
          <w:color w:val="auto"/>
        </w:rPr>
        <w:t>Our cash held at consolidated affiliated partnerships balance was $64 million and $192 million as of September 30, 2018 and December 31, 2017, respectively. Cash held at consolidated affiliated partnerships relates to our Investment segment and consists of cash and cash equivalents held by the Investment Funds that, although not legally restricted, is not available to fund the general liquidity needs of the Investment segment or Icahn Enterprises.</w:t>
      </w:r>
    </w:p>
    <w:p>
      <w:pPr>
        <w:spacing w:after="0" w:line="39" w:lineRule="exact"/>
        <w:rPr>
          <w:sz w:val="20"/>
          <w:szCs w:val="20"/>
          <w:color w:val="auto"/>
        </w:rPr>
      </w:pPr>
    </w:p>
    <w:p>
      <w:pPr>
        <w:ind w:right="680" w:firstLine="405"/>
        <w:spacing w:after="0" w:line="308" w:lineRule="auto"/>
        <w:rPr>
          <w:sz w:val="20"/>
          <w:szCs w:val="20"/>
          <w:color w:val="auto"/>
        </w:rPr>
      </w:pPr>
      <w:r>
        <w:rPr>
          <w:rFonts w:ascii="Arial" w:cs="Arial" w:eastAsia="Arial" w:hAnsi="Arial"/>
          <w:sz w:val="17"/>
          <w:szCs w:val="17"/>
          <w:color w:val="auto"/>
        </w:rPr>
        <w:t>Our restricted cash balance was $737 million and $574 million as of September 30, 2018 and December 31, 2017, respectively. Restricted cash primarily relates to our Investment segment's cash pledged and held for margin requirements on derivative transactions.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 and Contract Balances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As discussed below, on January 1, 2018, we adopted FASB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Due to the nature of our business, we derive revenue from various sources in various industries. Investment segment and Holding Company revenues are not in scope of FASB ASC Topic 606. Railcar leasing and Real Estate leasing revenues are also not in scope of FASB ASC Topic 606. The following is a summary of our revenue recognition that is in scope of FASB ASC Topic 606 for certain of our reporting segments. In addition, we present disaggregated revenue information in Note 11, "Segment Reporting."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Automotive segment recognizes revenue when it satisfies a performance obligation by transferring control over a product or service to a</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Our Automotive segment revenue from retail and commercial sales is measured based on consideration specified in a contract with a customer and excludes any sales incentives and amounts collected on behalf of third parties. Automotive service revenues are recognized on completion of the service and consist of products and the labor charged for installing products or maintaining or repairing vehicles. Automotive services labor revenues are included in other revenues from operations in our condensed consolidated statements of operations, however, the sale of any installed parts or materials related to automotive services are included in net sales. Our Automotive segment recognizes revenues from extended warranties offered to its customers on tires its sells, including lifetime warranties for road hazard assistance (recognized over 3 years) and 1-year, 3-year and lifetime plans for alignments (recognized over 1 year, 3 years and 5 years, respectively), for which it receives payment upfront. Revenues from extended warranties are recognized over the term of the warranty contract with the satisfaction of its performance obligations measured using the output method. Our Automotive segment recognizes revenues from franchise fees, which it receives payment upfront, and franchise royalties, for which it receives payment over time. Revenues from upfront franchise fees are recognized at the time the store opens, as that is when our Automotive segment's performance obligations are deemed complete, and revenues from franchise royalties are recognized in the period in which royalties are earned, generally based on a percentage of franchise sales.</w:t>
      </w:r>
    </w:p>
    <w:p>
      <w:pPr>
        <w:spacing w:after="0" w:line="6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Our Automotive segment has deferred revenue with respect to extended warranty plans of $42 million and $42 million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and January 1, 2018, respectively, which are included in accrued expenses and other liabilities on our condensed consolidated balance sheets. For the three and nine months ended September 30, 2018, our Automotive segment recorded revenue of $5 million and $18 million, respectively, with respect to deferred revenue outstanding as of January 1, 2018. For deferred revenue outstanding as of September 30, 2018, our Automotive segment expects to recognize approximately $36 million in 2019 and thereafter.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jc w:val="both"/>
        <w:ind w:right="40" w:firstLine="405"/>
        <w:spacing w:after="0" w:line="293"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Energy segment revenues from the sale of petroleum products are recorded upon delivery of the products to customers, which is the point</w:t>
      </w:r>
      <w:r>
        <w:rPr>
          <w:rFonts w:ascii="Arial" w:cs="Arial" w:eastAsia="Arial" w:hAnsi="Arial"/>
          <w:sz w:val="16"/>
          <w:szCs w:val="16"/>
          <w:i w:val="1"/>
          <w:iCs w:val="1"/>
          <w:color w:val="auto"/>
        </w:rPr>
        <w:t xml:space="preserve"> </w:t>
      </w:r>
      <w:r>
        <w:rPr>
          <w:rFonts w:ascii="Arial" w:cs="Arial" w:eastAsia="Arial" w:hAnsi="Arial"/>
          <w:sz w:val="16"/>
          <w:szCs w:val="16"/>
          <w:color w:val="auto"/>
        </w:rPr>
        <w:t>at which title is transferred and the customer has assumed the risk of loss. This generally takes place as product passes into the pipeline, as a product transfer order occurs within a pipeline system, or as product enters equipment or locations supplied or designated by the customer. For our Energy segment's nitrogen fertilizer products sold, revenues are recorded at the point in time at which the customer obtains control of the product, which is generally upon delivery and acceptance by the customer. Nitrogen fertilizer products are sold on a wholesale basis under a contract or by purchase order. Excise and other taxes collected from customers and remitted to governmental authorities by our Energy segment are not included in reported revenues.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37"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Many of the petroleum business' contracts have index-based pricing which is considered variable consideration that should be estimated in determining the transaction price. Our Energy segment determined that it does not need to estimate the variable consideration because the uncertainty related to the consideration is resolved on the pricing date or the date when the product is delivered. The nitrogen fertilizer business has an immaterial amount of variable consideration for contracts with an original duration of less than a year. A small portion of the nitrogen fertilizer partnership's revenue includes contracts extending beyond one year and contain variable pricing in which the majority of the variability is attributed to the market-based pricing. The nitrogen fertilizer business' contracts do not contain a significant financing component.</w:t>
      </w:r>
    </w:p>
    <w:p>
      <w:pPr>
        <w:spacing w:after="0" w:line="8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As of September 30, 2018, our Energy segment had $12 million of remaining performance obligations for contracts within an original expected duration of more than one year. Our Energy segment expects to recognize approximately $6 million of these performance obligations as revenue by the end of 2019, approximately $3 million in 2020 and the remaining balance thereafter.</w:t>
      </w:r>
    </w:p>
    <w:p>
      <w:pPr>
        <w:spacing w:after="0" w:line="73"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Our Energy segment's deferred revenue is a contract liability that primarily relates to fertilizer sales contracts requiring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as discussed above, revenue is recognized at the point in time in which the customer obtains control of the product. Our Energy segment had deferred revenue of $32 million and $34 million as of September 30, 2018 and January 1, 2018, respectively, which is included in accrued expense and other liabilities on the condensed consolidated balance sheets. For the three and nine months ended September 30, 2018, our Energy segment recorded revenue of $2 million and $34 million, respectively, with respect to deferred revenue outstanding as of January 1, 2018.</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Revenues from manufactured railcar sales are recognized following completion of manufacturing, inspection, customer acceptance and title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which is when the risk for any damage or loss with respect to the railcars passes to the customer, in accordance with our Railcar segment's contractual terms. Revenues from railcar and industrial components are recorded at the time of product shipment, in accordance with our Railcar segment's contractual terms. Revenues from railcar maintenance services are recognized upon completion and shipment of railcars from our Railcar segment's plants. Our Railcar segment does not currently bundle railcar service contracts with new railcar sales. Revenues from engineering and field services are recognized as performed.</w:t>
      </w:r>
    </w:p>
    <w:p>
      <w:pPr>
        <w:spacing w:after="0" w:line="85"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As of September 30, 2018, our Railcar segment had $963 million of remaining performance obligations for contractual commitments from customers for which work is partially completed. Our Railcar segment expects to recognize approximately $184 million of these performance obligations as revenue during the next twelve months and an additional $779 million thereafter.</w:t>
      </w:r>
    </w:p>
    <w:p>
      <w:pPr>
        <w:spacing w:after="0" w:line="73"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i w:val="1"/>
          <w:iCs w:val="1"/>
          <w:color w:val="auto"/>
        </w:rPr>
        <w:t xml:space="preserve">Contract balances: </w:t>
      </w:r>
      <w:r>
        <w:rPr>
          <w:rFonts w:ascii="Arial" w:cs="Arial" w:eastAsia="Arial" w:hAnsi="Arial"/>
          <w:sz w:val="16"/>
          <w:szCs w:val="16"/>
          <w:color w:val="auto"/>
        </w:rPr>
        <w:t>ARI bills its customers once services have been rendered or products have been delivered and ARI has an unconditional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as only the passage of time is required before payment of that consideration is due. The contract assets that ARI maintains are related to unbilled revenues recognized on repair services that have been performed but the entire project has not yet been completed, and the railcar has not yet been shipped to the customer. Contract liabilities represent deferred revenue related to railcar manufacturing and repair services. Our Railcar segment had unbilled revenue of $7 million and $4 million as of September 30, 2018 and January 1, 2018, respectively, which is included in accounts receivable, net on our condensed consolidated balance sheets. Our Railcar segment had deferred revenue of $2 million and $2 million as of September 30, 2018 and January 1, 2018, respectively, which is included in accrued expense and other liabilities on the condensed consolidated balance sheets.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Accounting Standards Updates</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 xml:space="preserve">In May 2014, the FASB issued ASU No. 2014-09, creating a new topic, FASB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superseding revenue recognition requirements in FASB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was amended by ASU No. 2015-14, issued in August 2015, which deferred the original effective date by one year; the effective date of this ASU is for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7"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fiscal years, and interim reporting periods within those years, beginning after December 15, 2017, using one of two retrospective application methods. In addition, the FASB issued other amendments during 2016 and 2017 to FASB ASC Topic 606 that include implementation guidance to principal versus agent considerations, guidance to identifying performance obligations and licensing guidance and other narrow scope improvements. We adopted these new standards on January 1, 2018 using the modified retrospective application method which required a cumulative effect adjustment recognized in equity at such date. The standard has been applied to all contracts at the date of initial application. No adjustment to revenue for periods prior to adoption were required. We have not identified any material differences in our revenue recognition methods that required modification under the new standards. Additionally, our internal control framework did not materially change as a result of the adoption of these new standards. The impact of adopting these new standards on our condensed consolidated financial statements is a cumulative effect adjustment to decrease our equity attributable to Icahn Enterprises and Icahn Enterprises Holdings as of January 1, 2018 by $29 million, primarily relating to our Automotive segment.</w:t>
      </w:r>
    </w:p>
    <w:p>
      <w:pPr>
        <w:spacing w:after="0" w:line="7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As of January 1, 2018, our Automotive segment increased accrued expenses and other liabilities by $42 million and decreased deferred tax liabilities by $10 million for certain extended warranties to reflect the revenues from these plans as deferred revenue. Previously, revenues from these plans were recognized upfront. Our Automotive segment also recognizes revenue from the sale of goods on a drop ship basis. Previously, revenues from these transactions were recognized gross. For the three months ended September 30, 2018, net sales and costs of goods sold would have been higher by $15 million and $15 million, respectively, under prior accounting principles and for the nine months ended September 30, 2018, net sales and cost of goods sold would have been higher by $47 million and $47 million, respectively.</w:t>
      </w:r>
    </w:p>
    <w:p>
      <w:pPr>
        <w:spacing w:after="0" w:line="8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of January 1, 2018, our Energy segment increased each of accounts receivable, net and accrued expenses and other liabilities by $21 million for customer prepayments prior to delivery and to gross up certain fees collected from customers to reflect a receivable and deferred revenue recorded at the point in time in which a prepaid contract is legally enforceable and the associated right to consideration is unconditional. Previously, deferred revenue was recorded by our Energy segment upon customer prepayment.</w:t>
      </w:r>
    </w:p>
    <w:p>
      <w:pPr>
        <w:spacing w:after="0" w:line="79"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In addition to the above, we increased assets by an aggregate of $32 million and increased liabilities by $29 million as of January 1, 2018, primarily with respect to Federal-Mogul's asset and liabilities classified as held for sale. For the three and nine months ended September 30, 2018, the impact on revenues would have been immaterial under prior accounting principles.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Accounting Standards Updates</w:t>
      </w:r>
    </w:p>
    <w:p>
      <w:pPr>
        <w:spacing w:after="0" w:line="117"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w:t>
      </w:r>
      <w:r>
        <w:rPr>
          <w:rFonts w:ascii="Arial" w:cs="Arial" w:eastAsia="Arial" w:hAnsi="Arial"/>
          <w:sz w:val="16"/>
          <w:szCs w:val="16"/>
          <w:color w:val="auto"/>
        </w:rPr>
        <w:t xml:space="preserve">, which amends FASB 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This ASU requires that equity investments (except those accounted for under the equity method of accounting or those that result in the consolidation of the investee) to be measured at fair value with changes recognized in earnings. However, an entity may choose to measure equity investments that do not have readily determinable fair values at cost minus impairment. In addition, there were other amendments to certain disclosure and presentation matters pertaining to financial instruments, including the requirement of an entity to use the exit price notion when measuring the fair value of financial instruments for disclosure purposes. This ASU is effective for fiscal years beginning after December 15, 2017, including interim periods within those fiscal years. We adopted this new standard on January 1, 2018 using the modified retrospective application method which required a cumulative effect adjustment recognized in equity at such date. The amendments related to equity securities without readily determinable fair values were applied prospectively to equity investments that existed as of the date of adoption. The adoption of this standard did not have a material impact on our condensed consolidated financial statements.</w:t>
      </w:r>
    </w:p>
    <w:p>
      <w:pPr>
        <w:spacing w:after="0" w:line="5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Classification of Certain Cash Receipts and Cash Payment</w:t>
      </w:r>
      <w:r>
        <w:rPr>
          <w:rFonts w:ascii="Arial" w:cs="Arial" w:eastAsia="Arial" w:hAnsi="Arial"/>
          <w:sz w:val="18"/>
          <w:szCs w:val="18"/>
          <w:color w:val="auto"/>
        </w:rPr>
        <w:t xml:space="preserve">s, which amends FASB ASC Topic 230, </w:t>
      </w:r>
      <w:r>
        <w:rPr>
          <w:rFonts w:ascii="Arial" w:cs="Arial" w:eastAsia="Arial" w:hAnsi="Arial"/>
          <w:sz w:val="18"/>
          <w:szCs w:val="18"/>
          <w:i w:val="1"/>
          <w:iCs w:val="1"/>
          <w:color w:val="auto"/>
        </w:rPr>
        <w:t xml:space="preserve">Statement of Cash Flows. </w:t>
      </w:r>
      <w:r>
        <w:rPr>
          <w:rFonts w:ascii="Arial" w:cs="Arial" w:eastAsia="Arial" w:hAnsi="Arial"/>
          <w:sz w:val="18"/>
          <w:szCs w:val="18"/>
          <w:color w:val="auto"/>
        </w:rPr>
        <w:t>This ASU seeks to reduce the diversity currently in practice by providing guidance on the presentation of eight specific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issues in the statement of cash flows. This ASU is effective for fiscal years beginning after December 15, 2017, and interim periods within those fiscal years. We adopted this standard on January 1, 2018 using the retrospective application method. The adoption of this standard did not have a material impact on our condensed consolidated statements of cash flows.</w:t>
      </w:r>
    </w:p>
    <w:p>
      <w:pPr>
        <w:spacing w:after="0" w:line="8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which amends FASB ASC Topic 230, </w:t>
      </w:r>
      <w:r>
        <w:rPr>
          <w:rFonts w:ascii="Arial" w:cs="Arial" w:eastAsia="Arial" w:hAnsi="Arial"/>
          <w:sz w:val="18"/>
          <w:szCs w:val="18"/>
          <w:i w:val="1"/>
          <w:iCs w:val="1"/>
          <w:color w:val="auto"/>
        </w:rPr>
        <w:t>Statement of Cash Flows</w:t>
      </w:r>
      <w:r>
        <w:rPr>
          <w:rFonts w:ascii="Arial" w:cs="Arial" w:eastAsia="Arial" w:hAnsi="Arial"/>
          <w:sz w:val="18"/>
          <w:szCs w:val="18"/>
          <w:color w:val="auto"/>
        </w:rPr>
        <w:t>. This ASU requires that the statement of cash flows explain the change during the period total cash, cash equivalents, and amounts generally described as restricted cash or restricted cash equivalents. This ASU is effective for fiscal years beginning after December 15, 2017, and interim periods within those fiscal years. We have adopted this standard on January 1, 2018 using the retrospective application method. The impact of adopting this new standard is discussed above under "Reclassifications."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 xml:space="preserve">In March 2017, the FASB issued ASU No. 2017-07, </w:t>
      </w:r>
      <w:r>
        <w:rPr>
          <w:rFonts w:ascii="Arial" w:cs="Arial" w:eastAsia="Arial" w:hAnsi="Arial"/>
          <w:sz w:val="18"/>
          <w:szCs w:val="18"/>
          <w:i w:val="1"/>
          <w:iCs w:val="1"/>
          <w:color w:val="auto"/>
        </w:rPr>
        <w:t>Improving the Presentation of Net Periodic Pension Cost and Net Periodic Postretirement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Cost</w:t>
      </w:r>
      <w:r>
        <w:rPr>
          <w:rFonts w:ascii="Arial" w:cs="Arial" w:eastAsia="Arial" w:hAnsi="Arial"/>
          <w:sz w:val="18"/>
          <w:szCs w:val="18"/>
          <w:color w:val="auto"/>
        </w:rPr>
        <w:t>, which amends FASB ASC Topic 715,</w:t>
      </w:r>
      <w:r>
        <w:rPr>
          <w:rFonts w:ascii="Arial" w:cs="Arial" w:eastAsia="Arial" w:hAnsi="Arial"/>
          <w:sz w:val="18"/>
          <w:szCs w:val="18"/>
          <w:i w:val="1"/>
          <w:iCs w:val="1"/>
          <w:color w:val="auto"/>
        </w:rPr>
        <w:t xml:space="preserve"> Compensation - Retirement Benefits</w:t>
      </w:r>
      <w:r>
        <w:rPr>
          <w:rFonts w:ascii="Arial" w:cs="Arial" w:eastAsia="Arial" w:hAnsi="Arial"/>
          <w:sz w:val="18"/>
          <w:szCs w:val="18"/>
          <w:color w:val="auto"/>
        </w:rPr>
        <w:t>. This ASU requires entities to present the service cost component of net</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 benefit cost in the same line item or items in the financial statements as other compensation costs arising from services rendered by the pertinent employees during the period. This ASU is effective for fiscal years beginning after December 15, 2017, and interim periods within those fiscal years. We adopted this standard on January 1, 2018 using the retrospective application method. The impact of adopting this new standard is discussed above under "Reclassifications."</w:t>
      </w:r>
    </w:p>
    <w:p>
      <w:pPr>
        <w:spacing w:after="0" w:line="8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Scope of Modification Accounting</w:t>
      </w:r>
      <w:r>
        <w:rPr>
          <w:rFonts w:ascii="Arial" w:cs="Arial" w:eastAsia="Arial" w:hAnsi="Arial"/>
          <w:sz w:val="18"/>
          <w:szCs w:val="18"/>
          <w:color w:val="auto"/>
        </w:rPr>
        <w:t xml:space="preserve">, which amends FASB ASC Topic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This ASU provides updated guidance about which changes to the terms and conditions of a share-based payment award require an entity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modification accounting in Topic 718. This ASU is effective for fiscal years beginning after December 15, 2017, and interim periods within those fiscal years. We adopted this standard on January 1, 2018 which has been applied prospectively and which did not have a material impact on our condensed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supersedes FASB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This ASU requires the recognition of right-of-use assets and lease liabilities by lessees for those leases classified as operating leases under previous guidance. In addition, among other changes to the accounting for leases, this ASU retains the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guidance. Furthermore, quantification and qualitative disclosures, including disclosures regarding significant judgments made by management, will be required. This ASU is effective for fiscal years beginning after December 15, 2018, including interim periods within those fiscal years. The amendments in this ASU should be applied using a modified retrospective approach. Early application is permitted. In addition, in July 2018, the FASB issued ASU No. 2018-11,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provides an additional (and optional) transition method to adopt the new leases standard. We anticipate adopting the new leases standard using the new transition method option effective January 1, 2019, which will require adopting the new leases standard at the adoption date and recognizing a cumulative-effect adjustment to the opening balance of equity in the period of adoption instead of the earliest period presented. In addition, prior period presentation and disclosure will not be adjusted. We believe the most significant impact will relate to the recognition of right-of-use assets and lease liabilities on our condensed consolidated balance sheets for long-term operating leases with the significant majority of the impact within our Automotive segment. We anticipate our assessment and implementation plan to be ongoing during the remainder of 2018 and continue to evaluate the impact of this standard on our condensed consolidated financial statements.</w:t>
      </w:r>
    </w:p>
    <w:p>
      <w:pPr>
        <w:spacing w:after="0" w:line="64"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which amends FASB ASC Topic 326, </w:t>
      </w:r>
      <w:r>
        <w:rPr>
          <w:rFonts w:ascii="Arial" w:cs="Arial" w:eastAsia="Arial" w:hAnsi="Arial"/>
          <w:sz w:val="18"/>
          <w:szCs w:val="18"/>
          <w:i w:val="1"/>
          <w:iCs w:val="1"/>
          <w:color w:val="auto"/>
        </w:rPr>
        <w:t xml:space="preserve">Financial Instruments - Credit Losses. </w:t>
      </w:r>
      <w:r>
        <w:rPr>
          <w:rFonts w:ascii="Arial" w:cs="Arial" w:eastAsia="Arial" w:hAnsi="Arial"/>
          <w:sz w:val="18"/>
          <w:szCs w:val="18"/>
          <w:color w:val="auto"/>
        </w:rPr>
        <w:t>This ASU requires financial assets measured at amortized cost to be presented at the net amount to be collected and</w:t>
      </w:r>
      <w:r>
        <w:rPr>
          <w:rFonts w:ascii="Arial" w:cs="Arial" w:eastAsia="Arial" w:hAnsi="Arial"/>
          <w:sz w:val="18"/>
          <w:szCs w:val="18"/>
          <w:i w:val="1"/>
          <w:iCs w:val="1"/>
          <w:color w:val="auto"/>
        </w:rPr>
        <w:t xml:space="preserve"> </w:t>
      </w:r>
      <w:r>
        <w:rPr>
          <w:rFonts w:ascii="Arial" w:cs="Arial" w:eastAsia="Arial" w:hAnsi="Arial"/>
          <w:sz w:val="18"/>
          <w:szCs w:val="18"/>
          <w:color w:val="auto"/>
        </w:rPr>
        <w:t>broadens the information, including forecasted information incorporating more timely information, that an entity must consider in developing its expected credit loss estimate for assets measured. This ASU is effective for fiscal years beginning after December 15, 2019, including interim periods within those fiscal years. Early application is permitted for fiscal years beginning after December 15, 2018. We are currently evaluating the impact of this standard on our condensed consolidated financial statements.</w:t>
      </w:r>
    </w:p>
    <w:p>
      <w:pPr>
        <w:spacing w:after="0" w:line="85"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Targeting Improvements to Accounting for Hedging Activities</w:t>
      </w:r>
      <w:r>
        <w:rPr>
          <w:rFonts w:ascii="Arial" w:cs="Arial" w:eastAsia="Arial" w:hAnsi="Arial"/>
          <w:sz w:val="17"/>
          <w:szCs w:val="17"/>
          <w:color w:val="auto"/>
        </w:rPr>
        <w:t xml:space="preserve">, which amends FASB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This ASU includes amendments to existing guidance to better align an entity’s risk management activities and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for hedging relationships through changes to both the designation and measurement guidance for qualifying hedging relationships and the presentation of hedge results. This ASU is effective for fiscal years beginning after December 15, 2018, and interim periods within those fiscal years. Early adoption is permitted. We are currently evaluating the impact of this standard on our condensed consolidated financial statements.</w:t>
      </w:r>
    </w:p>
    <w:p>
      <w:pPr>
        <w:spacing w:after="0" w:line="64" w:lineRule="exact"/>
        <w:rPr>
          <w:sz w:val="20"/>
          <w:szCs w:val="20"/>
          <w:color w:val="auto"/>
        </w:rPr>
      </w:pPr>
    </w:p>
    <w:p>
      <w:pPr>
        <w:ind w:right="220" w:firstLine="405"/>
        <w:spacing w:after="0" w:line="297"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 xml:space="preserve">, which amends FASB ASC Topic 220, </w:t>
      </w:r>
      <w:r>
        <w:rPr>
          <w:rFonts w:ascii="Arial" w:cs="Arial" w:eastAsia="Arial" w:hAnsi="Arial"/>
          <w:sz w:val="16"/>
          <w:szCs w:val="16"/>
          <w:i w:val="1"/>
          <w:iCs w:val="1"/>
          <w:color w:val="auto"/>
        </w:rPr>
        <w:t>Income Statement - Reporting Comprehensive Income</w:t>
      </w:r>
      <w:r>
        <w:rPr>
          <w:rFonts w:ascii="Arial" w:cs="Arial" w:eastAsia="Arial" w:hAnsi="Arial"/>
          <w:sz w:val="16"/>
          <w:szCs w:val="16"/>
          <w:color w:val="auto"/>
        </w:rPr>
        <w:t>. This ASU allows a reclassification out of accumulated other comprehensive loss within equity for standard tax effects resulting from the Tax Cuts and Jobs Act and consequently, eliminates the stranded tax effects resulting from the Tax Cuts and Jobs Act. This ASU is effective for fiscal years beginning after December 15, 2018, and interim periods within those fiscal years. Early adoption is permitted. We are currently evaluating the impact of this standard on our condensed consolidated financial statements.</w:t>
      </w:r>
    </w:p>
    <w:p>
      <w:pPr>
        <w:spacing w:after="0" w:line="5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Framework-Changes to the Disclosure Requirements for Fair Value Measurements</w:t>
      </w:r>
      <w:r>
        <w:rPr>
          <w:rFonts w:ascii="Arial" w:cs="Arial" w:eastAsia="Arial" w:hAnsi="Arial"/>
          <w:sz w:val="18"/>
          <w:szCs w:val="18"/>
          <w:color w:val="auto"/>
        </w:rPr>
        <w:t xml:space="preserve">, which amends FASB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ASU eliminates, modifies and adds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37" w:right="25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various disclosure requirements on fair value measurements. This ASU is effective for fiscal years beginning after December 15, 2019, and interim periods within those fiscal years. Certain disclosures are required to be applied using a retrospective approach and others using a prospective approach. Early adoption is permitted. We are currently evaluating the impact of this standard on our condensed consolidated financial statements.</w:t>
      </w:r>
    </w:p>
    <w:p>
      <w:pPr>
        <w:spacing w:after="0" w:line="5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 Cloud Computing Arrangement That is</w:t>
      </w:r>
      <w:r>
        <w:rPr>
          <w:rFonts w:ascii="Arial" w:cs="Arial" w:eastAsia="Arial" w:hAnsi="Arial"/>
          <w:sz w:val="18"/>
          <w:szCs w:val="18"/>
          <w:color w:val="auto"/>
        </w:rPr>
        <w:t xml:space="preserve"> </w:t>
      </w:r>
      <w:r>
        <w:rPr>
          <w:rFonts w:ascii="Arial" w:cs="Arial" w:eastAsia="Arial" w:hAnsi="Arial"/>
          <w:sz w:val="18"/>
          <w:szCs w:val="18"/>
          <w:i w:val="1"/>
          <w:iCs w:val="1"/>
          <w:color w:val="auto"/>
        </w:rPr>
        <w:t>a Service Contract</w:t>
      </w:r>
      <w:r>
        <w:rPr>
          <w:rFonts w:ascii="Arial" w:cs="Arial" w:eastAsia="Arial" w:hAnsi="Arial"/>
          <w:sz w:val="18"/>
          <w:szCs w:val="18"/>
          <w:color w:val="auto"/>
        </w:rPr>
        <w:t>, which amends FASB ASC Subtopic 350-40,</w:t>
      </w:r>
      <w:r>
        <w:rPr>
          <w:rFonts w:ascii="Arial" w:cs="Arial" w:eastAsia="Arial" w:hAnsi="Arial"/>
          <w:sz w:val="18"/>
          <w:szCs w:val="18"/>
          <w:i w:val="1"/>
          <w:iCs w:val="1"/>
          <w:color w:val="auto"/>
        </w:rPr>
        <w:t xml:space="preserve"> Intangibles-Goodwill and Other-Internal-Use Software</w:t>
      </w:r>
      <w:r>
        <w:rPr>
          <w:rFonts w:ascii="Arial" w:cs="Arial" w:eastAsia="Arial" w:hAnsi="Arial"/>
          <w:sz w:val="18"/>
          <w:szCs w:val="18"/>
          <w:color w:val="auto"/>
        </w:rPr>
        <w:t>. This ASU adds certain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related to implementation costs incurred for internal-use software and cloud computing arrangements. The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fiscal years beginning after December 15, 2019, and interim periods within those fiscal years. The amendments in this ASU should be applied either using a retrospective or prospective approach. Early adoption is permitted. We are currently evaluating the impact of this standard on our condensed consolidated financial statements.</w:t>
      </w:r>
    </w:p>
    <w:p>
      <w:pPr>
        <w:spacing w:after="0" w:line="18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Funds</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During the nine months ended September 30, 2018 and 2017, Mr. Icahn and his affiliates (excluding us) invested $280 million and $600 million, respectively, in the Investment Funds, net of redemptions. As of September 30, 2018 and December 31, 2017, the total fair market value of investments in the Investment Funds made by Mr. Icahn and his affiliates (excluding us) was approximately $4.8 billion and $4.4 billion, respectively, representing approximately 62% and 59% of the Investment Funds' assets under management as of each respective date.</w:t>
      </w:r>
    </w:p>
    <w:p>
      <w:pPr>
        <w:spacing w:after="0" w:line="7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pay for expenses pertaining to the operation, administration and investment activities of our Investment segment for the benefit of the Investment Funds (including salaries, benefits and rent). Effective April 1, 2011, based on an expense-sharing arrangement, certain expenses borne by us are reimbursed by the Investment Funds. For the three months ended September 30, 2018 and 2017, $4 million and $2 million, respectively, was allocated to the Investment Funds based on this expense-sharing arrangement and for the nine months ended September 30, 2018 and 2017, such allocation was $6 million and $7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Hertz Global Holdings, Inc.</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As discussed in Note 4, "Investments and Related Matters," the Investment Funds have an investment in the common stock of Hertz Global Holdings, Inc. ("Hertz") measured at fair value that would have otherwise been subject to the equity method of accounting. Icahn Automotive provides services to Hertz in the ordinary course of business. For the three months ended September 30, 2018 and 2017, revenue from Hertz was $11 million and $5 million, respectively, and $29 million and $10 million for the nine months ended September 30, 2018 and 2017, respectively. Additionally, Federal-Mogul had payments to Hertz in the ordinary course of business of zero and $1 million for the three and nine months ended September 30, 2018, respectively and $2 million for each of the three and nine months ended September 30, 2017.</w:t>
      </w:r>
    </w:p>
    <w:p>
      <w:pPr>
        <w:spacing w:after="0" w:line="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nine months ended September 30, 2018, the Investment Funds purchased shares of a certain investment from Hertz in the amount of $36 million.</w:t>
      </w:r>
    </w:p>
    <w:p>
      <w:pPr>
        <w:spacing w:after="0" w:line="14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addition to our transactions with Hertz disclosed above, in January 2018, we entered into a Master Motor Vehicle Lease and Management Agreement with Hertz, pursuant to which Hertz granted 767 Auto Leasing LLC ("767 Leasing"), a joint venture created to purchase vehicles for lease, the option to acquire certain vehicles from Hertz at rates aligned with the rates at which Hertz sells vehicles to third parties. Under this agreement, Hertz will lease the vehicles that 767 Leasing purchases from Hertz, or from third parties, under a mutually developed fleet plan and Hertz will manage, service, repair, sell and maintain those leased vehicles on behalf of 767 Leasing. Additionally, Hertz will rent the leased vehicles to transportation network company drivers from rental counters within locations leased or owned by us. This agreement has an initial term of 18 months and is subject to automatic six-month renewals thereafter, unless terminated by either party (with or without cause) prior to the</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337" w:right="27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start of any such six-month renewal. Our agreement with Hertz was unanimously approved by the independent directors of Icahn Enterprises' audit committee. Due to the nature of our involvement with 767 Leasing, which includes guaranteeing the payment obligations of 767 Leasing and sharing in the profits of 767 Leasing with Hertz, we determined that 767 Leasing is a variable interest entity. Furthermore, we determined that we are not the primary beneficiary as we do not have the power to direct the activities of 767 Leasing that most significantly impact its economic performance. Therefore, we do not consolidate the results of 767 Leasing. As of September 30, 2018, 767 Leasing had assets of $25 million, primarily vehicles for lease, and liabilities of $1 million. For the three and nine months ended September 30, 2018, our Automotive segment invested $15 million and $25 million, respectively, in 767 Leasing. As of September 30, 2018, our Automotive segment had an equity method investment in 767 Leasing of $24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ACF Industries, Inc.</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Our Railcar segment has certain transactions with ACF Industries LLC ("ACF"), an affiliate of Mr. Icahn, under various agreements, as well as on a purchase order basis. ACF is a manufacturer and fabricator of specialty railcar parts and miscellaneous steel products. Agreements and transactions with ACF include the following:</w:t>
      </w:r>
    </w:p>
    <w:p>
      <w:pPr>
        <w:spacing w:after="0" w:line="100" w:lineRule="exact"/>
        <w:rPr>
          <w:sz w:val="20"/>
          <w:szCs w:val="20"/>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Railcar component purchases from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Railcar parts sales to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Railcar purchasing and engineering services agreements with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Lease of certain intellectual property to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Railcar repair services and support for ACF; and</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Railcar purchases from ACF.</w:t>
      </w:r>
    </w:p>
    <w:p>
      <w:pPr>
        <w:spacing w:after="0" w:line="131" w:lineRule="exact"/>
        <w:rPr>
          <w:sz w:val="20"/>
          <w:szCs w:val="20"/>
          <w:color w:val="auto"/>
        </w:rPr>
      </w:pPr>
    </w:p>
    <w:p>
      <w:pPr>
        <w:ind w:right="280" w:firstLine="405"/>
        <w:spacing w:after="0" w:line="312" w:lineRule="auto"/>
        <w:rPr>
          <w:sz w:val="20"/>
          <w:szCs w:val="20"/>
          <w:color w:val="auto"/>
        </w:rPr>
      </w:pPr>
      <w:r>
        <w:rPr>
          <w:rFonts w:ascii="Arial" w:cs="Arial" w:eastAsia="Arial" w:hAnsi="Arial"/>
          <w:sz w:val="16"/>
          <w:szCs w:val="16"/>
          <w:color w:val="auto"/>
        </w:rPr>
        <w:t>Purchases from ACF were $1 million and $1 million for the three months ended September 30, 2018 and 2017, respectively, and $2 million and $4 million for the nine months ended September 30, 2018 and 2017, respectively. For each of the three and nine months ended September 30, 2018, revenues from ACF were $3 million. For each of the three and nine months ended September 30, 2017, revenues from ACF were not material.</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 Portfolio Group LLC</w:t>
      </w:r>
    </w:p>
    <w:p>
      <w:pPr>
        <w:spacing w:after="0" w:line="11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Insight Portfolio Group LLC ("Insight Portfolio Group")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Holdings has a minority equity interest in Insight Portfolio Group and agreed to pay a portion of Insight Portfolio Group's operating expenses. In addition to the minority equity interest held by Icahn Enterprises Holdings, certain subsidiaries of ours, including Federal-Mogul (prior to October 1, 2018), CVR Energy, PSC Metals, ARI, ARL (prior to June 1, 2017), Tropicana (prior to October 1, 2018), Viskase and WPH also acquired minority equity interests in Insight Portfolio Group and agreed to pay a portion of Insight Portfolio Group's operating expenses. A number of other entities with which Mr. Icahn has a relationship also have minority equity interests in Insight Portfolio Group and also agreed to pay certain of Insight Portfolio Group's operating expenses. For the nine months ended September 30, 2018 and 2017, we and certain of our subsidiaries paid certain of Insight Portfolio Group's operating expenses of $2 million and $2 million, respectively.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337" w:right="27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Investments and securities sold, not yet purchased consist of equities, bonds, bank debt and other corporate obligations, all of which are reported at fair value in our condensed consolidated balance sheets. These investments are considered trading securities.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3560" w:type="dxa"/>
            <w:vAlign w:val="bottom"/>
          </w:tcPr>
          <w:p>
            <w:pPr>
              <w:spacing w:after="0"/>
              <w:rPr>
                <w:sz w:val="2"/>
                <w:szCs w:val="2"/>
                <w:color w:val="auto"/>
              </w:rPr>
            </w:pPr>
          </w:p>
        </w:tc>
        <w:tc>
          <w:tcPr>
            <w:tcW w:w="5140" w:type="dxa"/>
            <w:vAlign w:val="bottom"/>
            <w:gridSpan w:val="2"/>
          </w:tcPr>
          <w:p>
            <w:pPr>
              <w:spacing w:after="0"/>
              <w:rPr>
                <w:sz w:val="2"/>
                <w:szCs w:val="2"/>
                <w:color w:val="auto"/>
              </w:rPr>
            </w:pPr>
          </w:p>
        </w:tc>
        <w:tc>
          <w:tcPr>
            <w:tcW w:w="1800" w:type="dxa"/>
            <w:vAlign w:val="bottom"/>
            <w:gridSpan w:val="3"/>
          </w:tcPr>
          <w:p>
            <w:pPr>
              <w:spacing w:after="0"/>
              <w:rPr>
                <w:sz w:val="2"/>
                <w:szCs w:val="2"/>
                <w:color w:val="auto"/>
              </w:rPr>
            </w:pPr>
          </w:p>
        </w:tc>
        <w:tc>
          <w:tcPr>
            <w:tcW w:w="880" w:type="dxa"/>
            <w:vAlign w:val="bottom"/>
          </w:tcPr>
          <w:p>
            <w:pPr>
              <w:spacing w:after="0"/>
              <w:rPr>
                <w:sz w:val="2"/>
                <w:szCs w:val="2"/>
                <w:color w:val="auto"/>
              </w:rPr>
            </w:pPr>
          </w:p>
        </w:tc>
      </w:tr>
      <w:tr>
        <w:trPr>
          <w:trHeight w:val="238"/>
        </w:trPr>
        <w:tc>
          <w:tcPr>
            <w:tcW w:w="3560" w:type="dxa"/>
            <w:vAlign w:val="bottom"/>
          </w:tcPr>
          <w:p>
            <w:pPr>
              <w:spacing w:after="0"/>
              <w:rPr>
                <w:sz w:val="20"/>
                <w:szCs w:val="20"/>
                <w:color w:val="auto"/>
              </w:rPr>
            </w:pPr>
          </w:p>
        </w:tc>
        <w:tc>
          <w:tcPr>
            <w:tcW w:w="4540" w:type="dxa"/>
            <w:vAlign w:val="bottom"/>
          </w:tcPr>
          <w:p>
            <w:pPr>
              <w:jc w:val="center"/>
              <w:ind w:right="3490"/>
              <w:spacing w:after="0"/>
              <w:rPr>
                <w:sz w:val="20"/>
                <w:szCs w:val="20"/>
                <w:color w:val="auto"/>
              </w:rPr>
            </w:pPr>
            <w:r>
              <w:rPr>
                <w:rFonts w:ascii="Arial" w:cs="Arial" w:eastAsia="Arial" w:hAnsi="Arial"/>
                <w:sz w:val="18"/>
                <w:szCs w:val="18"/>
                <w:b w:val="1"/>
                <w:bCs w:val="1"/>
                <w:color w:val="auto"/>
                <w:w w:val="81"/>
              </w:rPr>
              <w:t>Assets</w:t>
            </w:r>
          </w:p>
        </w:tc>
        <w:tc>
          <w:tcPr>
            <w:tcW w:w="6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Borders>
              <w:top w:val="single" w:sz="8" w:color="auto"/>
            </w:tcBorders>
          </w:tcPr>
          <w:p>
            <w:pPr>
              <w:spacing w:after="0"/>
              <w:rPr>
                <w:sz w:val="20"/>
                <w:szCs w:val="20"/>
                <w:color w:val="auto"/>
              </w:rPr>
            </w:pPr>
          </w:p>
        </w:tc>
      </w:tr>
      <w:tr>
        <w:trPr>
          <w:trHeight w:val="255"/>
        </w:trPr>
        <w:tc>
          <w:tcPr>
            <w:tcW w:w="35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4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3560" w:type="dxa"/>
            <w:vAlign w:val="bottom"/>
          </w:tcPr>
          <w:p>
            <w:pPr>
              <w:ind w:left="160"/>
              <w:spacing w:after="0"/>
              <w:rPr>
                <w:sz w:val="20"/>
                <w:szCs w:val="20"/>
                <w:color w:val="auto"/>
              </w:rPr>
            </w:pPr>
            <w:r>
              <w:rPr>
                <w:rFonts w:ascii="Arial" w:cs="Arial" w:eastAsia="Arial" w:hAnsi="Arial"/>
                <w:sz w:val="18"/>
                <w:szCs w:val="18"/>
                <w:color w:val="auto"/>
              </w:rPr>
              <w:t>Equity securities:</w:t>
            </w:r>
          </w:p>
        </w:tc>
        <w:tc>
          <w:tcPr>
            <w:tcW w:w="4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Basic materials</w:t>
            </w:r>
          </w:p>
        </w:tc>
        <w:tc>
          <w:tcPr>
            <w:tcW w:w="5140" w:type="dxa"/>
            <w:vAlign w:val="bottom"/>
            <w:tcBorders>
              <w:bottom w:val="single" w:sz="8" w:color="CCEEFF"/>
            </w:tcBorders>
            <w:gridSpan w:val="2"/>
            <w:shd w:val="clear" w:color="auto" w:fill="CCEEFF"/>
          </w:tcPr>
          <w:p>
            <w:pPr>
              <w:ind w:left="45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Consumer, non-cyclical</w:t>
            </w:r>
          </w:p>
        </w:tc>
        <w:tc>
          <w:tcPr>
            <w:tcW w:w="4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2,402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2,551</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Consumer, cyclical</w:t>
            </w:r>
          </w:p>
        </w:tc>
        <w:tc>
          <w:tcPr>
            <w:tcW w:w="4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Energy</w:t>
            </w:r>
          </w:p>
        </w:tc>
        <w:tc>
          <w:tcPr>
            <w:tcW w:w="4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1,489</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Financial</w:t>
            </w:r>
          </w:p>
        </w:tc>
        <w:tc>
          <w:tcPr>
            <w:tcW w:w="4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Technology</w:t>
            </w:r>
          </w:p>
        </w:tc>
        <w:tc>
          <w:tcPr>
            <w:tcW w:w="4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1,603</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833</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45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8,501</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9,377</w:t>
            </w:r>
          </w:p>
        </w:tc>
      </w:tr>
      <w:tr>
        <w:trPr>
          <w:trHeight w:val="27"/>
        </w:trPr>
        <w:tc>
          <w:tcPr>
            <w:tcW w:w="35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45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8,711</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9,532</w:t>
            </w:r>
          </w:p>
        </w:tc>
      </w:tr>
      <w:tr>
        <w:trPr>
          <w:trHeight w:val="67"/>
        </w:trPr>
        <w:tc>
          <w:tcPr>
            <w:tcW w:w="3560" w:type="dxa"/>
            <w:vAlign w:val="bottom"/>
            <w:tcBorders>
              <w:bottom w:val="single" w:sz="8" w:color="CCEEFF"/>
            </w:tcBorders>
          </w:tcPr>
          <w:p>
            <w:pPr>
              <w:spacing w:after="0"/>
              <w:rPr>
                <w:sz w:val="5"/>
                <w:szCs w:val="5"/>
                <w:color w:val="auto"/>
              </w:rPr>
            </w:pPr>
          </w:p>
        </w:tc>
        <w:tc>
          <w:tcPr>
            <w:tcW w:w="454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1"/>
        </w:trPr>
        <w:tc>
          <w:tcPr>
            <w:tcW w:w="356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gridSpan w:val="2"/>
            <w:shd w:val="clear" w:color="auto" w:fill="CCEEFF"/>
          </w:tcPr>
          <w:p>
            <w:pPr>
              <w:jc w:val="center"/>
              <w:ind w:right="4070"/>
              <w:spacing w:after="0"/>
              <w:rPr>
                <w:sz w:val="20"/>
                <w:szCs w:val="20"/>
                <w:color w:val="auto"/>
              </w:rPr>
            </w:pPr>
            <w:r>
              <w:rPr>
                <w:rFonts w:ascii="Arial" w:cs="Arial" w:eastAsia="Arial" w:hAnsi="Arial"/>
                <w:sz w:val="18"/>
                <w:szCs w:val="18"/>
                <w:b w:val="1"/>
                <w:bCs w:val="1"/>
                <w:color w:val="auto"/>
                <w:w w:val="93"/>
              </w:rPr>
              <w:t>Liabilities</w:t>
            </w: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w w:val="93"/>
              </w:rPr>
              <w:t>Securities sold, not yet purchased, at fair value:</w:t>
            </w:r>
          </w:p>
        </w:tc>
        <w:tc>
          <w:tcPr>
            <w:tcW w:w="4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securities:</w:t>
            </w:r>
          </w:p>
        </w:tc>
        <w:tc>
          <w:tcPr>
            <w:tcW w:w="4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Consumer, non-cyclical</w:t>
            </w:r>
          </w:p>
        </w:tc>
        <w:tc>
          <w:tcPr>
            <w:tcW w:w="5140" w:type="dxa"/>
            <w:vAlign w:val="bottom"/>
            <w:gridSpan w:val="2"/>
          </w:tcPr>
          <w:p>
            <w:pPr>
              <w:ind w:left="45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Consumer, cyclical</w:t>
            </w:r>
          </w:p>
        </w:tc>
        <w:tc>
          <w:tcPr>
            <w:tcW w:w="4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Energy</w:t>
            </w:r>
          </w:p>
        </w:tc>
        <w:tc>
          <w:tcPr>
            <w:tcW w:w="4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Industrial</w:t>
            </w:r>
          </w:p>
        </w:tc>
        <w:tc>
          <w:tcPr>
            <w:tcW w:w="45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988</w:t>
            </w:r>
          </w:p>
        </w:tc>
      </w:tr>
      <w:tr>
        <w:trPr>
          <w:trHeight w:val="27"/>
        </w:trPr>
        <w:tc>
          <w:tcPr>
            <w:tcW w:w="35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45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1,023</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5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portion of unrealized (losses) gains that relates to securities still held by our Investment segment, primarily equity securities, was $(4) million and $635 million for the three months ended September 30, 2018 and 2017, respectively, and $356 million and $1,242 million for the nine months ended September 30, 2018 and 2017, respectively.</w:t>
      </w:r>
    </w:p>
    <w:p>
      <w:pPr>
        <w:spacing w:after="0" w:line="73" w:lineRule="exact"/>
        <w:rPr>
          <w:sz w:val="20"/>
          <w:szCs w:val="20"/>
          <w:color w:val="auto"/>
        </w:rPr>
      </w:pPr>
    </w:p>
    <w:p>
      <w:pPr>
        <w:ind w:right="220" w:firstLine="378"/>
        <w:spacing w:after="0" w:line="302" w:lineRule="auto"/>
        <w:rPr>
          <w:sz w:val="20"/>
          <w:szCs w:val="20"/>
          <w:color w:val="auto"/>
        </w:rPr>
      </w:pPr>
      <w:r>
        <w:rPr>
          <w:rFonts w:ascii="Arial" w:cs="Arial" w:eastAsia="Arial" w:hAnsi="Arial"/>
          <w:sz w:val="16"/>
          <w:szCs w:val="16"/>
          <w:color w:val="auto"/>
        </w:rPr>
        <w:t>As of September 30, 2018, the Investment Funds owned approximately 27.8% of the outstanding common stock of Hertz. Our Investment segment recorded net gains of $23 million and $254 million for the three months ended September 30, 2018 and 2017, respectively, and net (losses) gains of $(135) million and $19 million for the nine months ended September 30, 2018 and 2017, respectively, with respect to its investment in Hertz. As of September 30, 2018 and December 31, 2017, the aggregate fair value of our Investment segment's investment in Hertz was $382 million and $517 million, respectively.</w:t>
      </w:r>
    </w:p>
    <w:p>
      <w:pPr>
        <w:spacing w:after="0" w:line="46" w:lineRule="exact"/>
        <w:rPr>
          <w:sz w:val="20"/>
          <w:szCs w:val="20"/>
          <w:color w:val="auto"/>
        </w:rPr>
      </w:pPr>
    </w:p>
    <w:p>
      <w:pPr>
        <w:ind w:right="40" w:firstLine="378"/>
        <w:spacing w:after="0" w:line="297" w:lineRule="auto"/>
        <w:rPr>
          <w:sz w:val="20"/>
          <w:szCs w:val="20"/>
          <w:color w:val="auto"/>
        </w:rPr>
      </w:pPr>
      <w:r>
        <w:rPr>
          <w:rFonts w:ascii="Arial" w:cs="Arial" w:eastAsia="Arial" w:hAnsi="Arial"/>
          <w:sz w:val="16"/>
          <w:szCs w:val="16"/>
          <w:color w:val="auto"/>
        </w:rPr>
        <w:t>The Investment Funds also owned approximately 17.9% of the outstanding common stock of Herbalife Ltd. ("Herbalife") as of September 30, 2018. We are deemed to have significant influence with respect to our investment in Herbalife after considering the collective ownership in Herbalife by us and affiliates of Mr. Icahn, as well as our collective representation on the board of directors of Herbalife. Our Investment segment recorded net gains (losses) of $23 million and $(64) million for the three months ended September 30, 2018 and 2017, respectively, and net gains of $740 million and $359 million for the nine months ended September 30, 2018 and 2017, respectively, with respect to its investment in Herbalife. As of September 30, 2018</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37"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and December 31, 2017, the aggregate fair value of our Investment segment's investment in Herbalife was approximately $1.5 billion and $1.2 billion, respectively.</w:t>
      </w:r>
    </w:p>
    <w:p>
      <w:pPr>
        <w:spacing w:after="0" w:line="62" w:lineRule="exact"/>
        <w:rPr>
          <w:sz w:val="20"/>
          <w:szCs w:val="20"/>
          <w:color w:val="auto"/>
        </w:rPr>
      </w:pPr>
    </w:p>
    <w:p>
      <w:pPr>
        <w:ind w:right="240" w:firstLine="405"/>
        <w:spacing w:after="0" w:line="375" w:lineRule="auto"/>
        <w:rPr>
          <w:sz w:val="20"/>
          <w:szCs w:val="20"/>
          <w:color w:val="auto"/>
        </w:rPr>
      </w:pPr>
      <w:r>
        <w:rPr>
          <w:rFonts w:ascii="Arial" w:cs="Arial" w:eastAsia="Arial" w:hAnsi="Arial"/>
          <w:sz w:val="18"/>
          <w:szCs w:val="18"/>
          <w:color w:val="auto"/>
        </w:rPr>
        <w:t xml:space="preserve">Herbalife and Hertz each file annual, quarterly and current reports, and proxy and information statements with the SEC, which are publicly available. </w:t>
      </w:r>
      <w:r>
        <w:rPr>
          <w:rFonts w:ascii="Arial" w:cs="Arial" w:eastAsia="Arial" w:hAnsi="Arial"/>
          <w:sz w:val="18"/>
          <w:szCs w:val="18"/>
          <w:b w:val="1"/>
          <w:bCs w:val="1"/>
          <w:i w:val="1"/>
          <w:iCs w:val="1"/>
          <w:color w:val="auto"/>
        </w:rPr>
        <w:t>Other Segments and Holding Company</w:t>
      </w:r>
    </w:p>
    <w:p>
      <w:pPr>
        <w:spacing w:after="0" w:line="1"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With the exception of certain equity method investments at our operating subsidiaries and our Holding Company disclosed in the table below, our investments are measured at fair value in our condensed consolidated balance sheets. The carrying value of investments held by our other segments and our Holding Company consist of the following:</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8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0" w:type="dxa"/>
            <w:vAlign w:val="bottom"/>
            <w:gridSpan w:val="3"/>
          </w:tcPr>
          <w:p>
            <w:pPr>
              <w:jc w:val="right"/>
              <w:ind w:right="350"/>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21"/>
                <w:szCs w:val="2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investments (measured at fair value)</w:t>
            </w:r>
          </w:p>
        </w:tc>
        <w:tc>
          <w:tcPr>
            <w:tcW w:w="6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8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Level 1 - Quoted prices are available in active markets for identical investments and non-financial assets and/or liabilities as of the reporting date.</w:t>
      </w:r>
    </w:p>
    <w:p>
      <w:pPr>
        <w:spacing w:after="0" w:line="129" w:lineRule="exact"/>
        <w:rPr>
          <w:sz w:val="20"/>
          <w:szCs w:val="20"/>
          <w:color w:val="auto"/>
        </w:rPr>
      </w:pPr>
    </w:p>
    <w:p>
      <w:pPr>
        <w:jc w:val="both"/>
        <w:ind w:left="420" w:right="20"/>
        <w:spacing w:after="0" w:line="312"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investments are derived from market observable sources including reported trades, broker/dealer quotes and other pertinent data.</w:t>
      </w:r>
    </w:p>
    <w:p>
      <w:pPr>
        <w:spacing w:after="0" w:line="39" w:lineRule="exact"/>
        <w:rPr>
          <w:sz w:val="20"/>
          <w:szCs w:val="20"/>
          <w:color w:val="auto"/>
        </w:rPr>
      </w:pPr>
    </w:p>
    <w:p>
      <w:pPr>
        <w:ind w:left="420" w:right="120"/>
        <w:spacing w:after="0" w:line="259"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7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investments', non-financial assets' and/or liabilities'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337" w:right="2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valuation of our assets and liabilities by the above fair value hierarchy levels measured on a recurring basis: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5"/>
          </w:tcPr>
          <w:p>
            <w:pPr>
              <w:ind w:left="60"/>
              <w:spacing w:after="0"/>
              <w:rPr>
                <w:sz w:val="20"/>
                <w:szCs w:val="20"/>
                <w:color w:val="auto"/>
              </w:rPr>
            </w:pPr>
            <w:r>
              <w:rPr>
                <w:rFonts w:ascii="Arial" w:cs="Arial" w:eastAsia="Arial" w:hAnsi="Arial"/>
                <w:sz w:val="18"/>
                <w:szCs w:val="18"/>
                <w:b w:val="1"/>
                <w:bCs w:val="1"/>
                <w:color w:val="auto"/>
              </w:rPr>
              <w:t>September 30, 2018</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2017</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2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38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9,920</w:t>
            </w:r>
          </w:p>
        </w:tc>
        <w:tc>
          <w:tcPr>
            <w:tcW w:w="0" w:type="dxa"/>
            <w:vAlign w:val="bottom"/>
          </w:tcPr>
          <w:p>
            <w:pPr>
              <w:spacing w:after="0"/>
              <w:rPr>
                <w:sz w:val="1"/>
                <w:szCs w:val="1"/>
                <w:color w:val="auto"/>
              </w:rPr>
            </w:pPr>
          </w:p>
        </w:tc>
      </w:tr>
      <w:tr>
        <w:trPr>
          <w:trHeight w:val="270"/>
        </w:trPr>
        <w:tc>
          <w:tcPr>
            <w:tcW w:w="3320" w:type="dxa"/>
            <w:vAlign w:val="bottom"/>
          </w:tcPr>
          <w:p>
            <w:pPr>
              <w:ind w:left="20"/>
              <w:spacing w:after="0" w:line="270" w:lineRule="exact"/>
              <w:rPr>
                <w:sz w:val="20"/>
                <w:szCs w:val="20"/>
                <w:color w:val="auto"/>
              </w:rPr>
            </w:pPr>
            <w:r>
              <w:rPr>
                <w:rFonts w:ascii="Arial" w:cs="Arial" w:eastAsia="Arial" w:hAnsi="Arial"/>
                <w:sz w:val="18"/>
                <w:szCs w:val="18"/>
                <w:color w:val="auto"/>
                <w:w w:val="93"/>
              </w:rPr>
              <w:t>Derivative contracts, at fair value (Note 6)</w:t>
            </w:r>
            <w:r>
              <w:rPr>
                <w:rFonts w:ascii="Arial" w:cs="Arial" w:eastAsia="Arial" w:hAnsi="Arial"/>
                <w:sz w:val="25"/>
                <w:szCs w:val="25"/>
                <w:color w:val="auto"/>
                <w:w w:val="93"/>
                <w:vertAlign w:val="superscript"/>
              </w:rPr>
              <w:t>(1)</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33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9,235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9,920</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1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Securities sold, not yet purchased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Derivative contracts, at fair value (Note 6)</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17145</wp:posOffset>
            </wp:positionV>
            <wp:extent cx="512826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28260" cy="26035"/>
                    </a:xfrm>
                    <a:prstGeom prst="rect">
                      <a:avLst/>
                    </a:prstGeom>
                    <a:noFill/>
                  </pic:spPr>
                </pic:pic>
              </a:graphicData>
            </a:graphic>
          </wp:anchor>
        </w:drawing>
      </w: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Amounts are classified within other assets in our condensed consolidated balance sheets.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Recurring Basis for Which We Use Level 3 Inputs to Determine Fair Value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changes in investments measured at fair value on a recurring basis for which we use Level 3 inputs to determine fair value are as follows:</w:t>
      </w:r>
    </w:p>
    <w:p>
      <w:pPr>
        <w:spacing w:after="0" w:line="179"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92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22860</wp:posOffset>
            </wp:positionV>
            <wp:extent cx="2092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8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Net unrealized gains</w:t>
            </w:r>
          </w:p>
        </w:tc>
        <w:tc>
          <w:tcPr>
            <w:tcW w:w="1080" w:type="dxa"/>
            <w:vAlign w:val="bottom"/>
          </w:tcPr>
          <w:p>
            <w:pPr>
              <w:spacing w:after="0"/>
              <w:rPr>
                <w:sz w:val="21"/>
                <w:szCs w:val="21"/>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8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Transfers out</w:t>
            </w:r>
          </w:p>
        </w:tc>
        <w:tc>
          <w:tcPr>
            <w:tcW w:w="10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Transfers in</w:t>
            </w: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0"/>
        </w:trPr>
        <w:tc>
          <w:tcPr>
            <w:tcW w:w="8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Net unrealized gains during the nine months ended September 30, 2018 and 2017 relate to a certain equity investment which is considered a Level 3 investment due to unobservable market data and is measured at fair value on a recurring basis. We determined the fair value of this investment based on recent market transactions. As of September 30, 2018 and December 31, 2017, the fair value of this investment was $365 million and $274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Non-Recurring Basis for Which We Use Level 3 Inputs to Determine Fair Value</w:t>
      </w:r>
    </w:p>
    <w:p>
      <w:pPr>
        <w:spacing w:after="0" w:line="11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Certain assets measured at fair value using Level 3 inputs on a non-recurring basis have been impaired. During the nine months ended September 30, 2018 and 2017, we recorded impairment charges of $7 million and $2 million, respectively, relating to property, plant and equipment. We determined the fair value of property, plant and equipment by applying probability weighted, expected present value techniques to the estimated future cash flows using assumptions a market participant would utilize. In addition, during the nine months ended September 30, 2017, we recorded a loss of $6 million from marking inventory down to net realizable value at our Automotive segment. Additionally, in connection with our reclassification of certain railcars leased to others from held and used to assets held for sale, we recorded an impairment charge at our Railcar segment of $1 million and $68 million for the three and nine months ended September 30, 2017, respectively. Refer to Note 11, "Segment Reporting," for total impairment recorded by each of our segments.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85"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46"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7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5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79"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46"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46" w:lineRule="exact"/>
        <w:rPr>
          <w:sz w:val="20"/>
          <w:szCs w:val="20"/>
          <w:color w:val="auto"/>
        </w:rPr>
      </w:pPr>
    </w:p>
    <w:p>
      <w:pPr>
        <w:ind w:right="360" w:firstLine="405"/>
        <w:spacing w:after="0" w:line="259"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contingent features that are in a liability position at September 30, 2018 and December 31, 2017 was zero and $17 million, respectively.</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summarizes the volume of our Investment segment's derivative activities based on their notional exposure, categorized by primary underlying risk:</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4"/>
          </w:tcPr>
          <w:p>
            <w:pPr>
              <w:ind w:left="780"/>
              <w:spacing w:after="0"/>
              <w:rPr>
                <w:sz w:val="20"/>
                <w:szCs w:val="20"/>
                <w:color w:val="auto"/>
              </w:rPr>
            </w:pPr>
            <w:r>
              <w:rPr>
                <w:rFonts w:ascii="Arial" w:cs="Arial" w:eastAsia="Arial" w:hAnsi="Arial"/>
                <w:sz w:val="16"/>
                <w:szCs w:val="16"/>
                <w:b w:val="1"/>
                <w:bCs w:val="1"/>
                <w:color w:val="auto"/>
              </w:rPr>
              <w:t>September 30, 2018</w:t>
            </w:r>
          </w:p>
        </w:tc>
        <w:tc>
          <w:tcPr>
            <w:tcW w:w="200" w:type="dxa"/>
            <w:vAlign w:val="bottom"/>
          </w:tcPr>
          <w:p>
            <w:pPr>
              <w:spacing w:after="0"/>
              <w:rPr>
                <w:sz w:val="18"/>
                <w:szCs w:val="18"/>
                <w:color w:val="auto"/>
              </w:rPr>
            </w:pPr>
          </w:p>
        </w:tc>
        <w:tc>
          <w:tcPr>
            <w:tcW w:w="3080" w:type="dxa"/>
            <w:vAlign w:val="bottom"/>
            <w:gridSpan w:val="3"/>
          </w:tcPr>
          <w:p>
            <w:pPr>
              <w:jc w:val="right"/>
              <w:ind w:right="894"/>
              <w:spacing w:after="0"/>
              <w:rPr>
                <w:sz w:val="20"/>
                <w:szCs w:val="20"/>
                <w:color w:val="auto"/>
              </w:rPr>
            </w:pPr>
            <w:r>
              <w:rPr>
                <w:rFonts w:ascii="Arial" w:cs="Arial" w:eastAsia="Arial" w:hAnsi="Arial"/>
                <w:sz w:val="16"/>
                <w:szCs w:val="16"/>
                <w:b w:val="1"/>
                <w:bCs w:val="1"/>
                <w:color w:val="auto"/>
              </w:rPr>
              <w:t>December 31, 2017</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234"/>
              <w:spacing w:after="0"/>
              <w:rPr>
                <w:sz w:val="20"/>
                <w:szCs w:val="20"/>
                <w:color w:val="auto"/>
              </w:rPr>
            </w:pPr>
            <w:r>
              <w:rPr>
                <w:rFonts w:ascii="Arial" w:cs="Arial" w:eastAsia="Arial" w:hAnsi="Arial"/>
                <w:sz w:val="16"/>
                <w:szCs w:val="16"/>
                <w:b w:val="1"/>
                <w:bCs w:val="1"/>
                <w:color w:val="auto"/>
              </w:rPr>
              <w:t>Long Notional</w:t>
            </w:r>
          </w:p>
        </w:tc>
        <w:tc>
          <w:tcPr>
            <w:tcW w:w="3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Short Notional</w:t>
            </w:r>
          </w:p>
        </w:tc>
        <w:tc>
          <w:tcPr>
            <w:tcW w:w="200" w:type="dxa"/>
            <w:vAlign w:val="bottom"/>
          </w:tcPr>
          <w:p>
            <w:pPr>
              <w:spacing w:after="0"/>
              <w:rPr>
                <w:sz w:val="18"/>
                <w:szCs w:val="18"/>
                <w:color w:val="auto"/>
              </w:rPr>
            </w:pPr>
          </w:p>
        </w:tc>
        <w:tc>
          <w:tcPr>
            <w:tcW w:w="1400" w:type="dxa"/>
            <w:vAlign w:val="bottom"/>
          </w:tcPr>
          <w:p>
            <w:pPr>
              <w:jc w:val="right"/>
              <w:ind w:right="234"/>
              <w:spacing w:after="0"/>
              <w:rPr>
                <w:sz w:val="20"/>
                <w:szCs w:val="20"/>
                <w:color w:val="auto"/>
              </w:rPr>
            </w:pPr>
            <w:r>
              <w:rPr>
                <w:rFonts w:ascii="Arial" w:cs="Arial" w:eastAsia="Arial" w:hAnsi="Arial"/>
                <w:sz w:val="16"/>
                <w:szCs w:val="16"/>
                <w:b w:val="1"/>
                <w:bCs w:val="1"/>
                <w:color w:val="auto"/>
                <w:w w:val="98"/>
              </w:rPr>
              <w:t>Long Notional</w:t>
            </w:r>
          </w:p>
        </w:tc>
        <w:tc>
          <w:tcPr>
            <w:tcW w:w="300" w:type="dxa"/>
            <w:vAlign w:val="bottom"/>
          </w:tcPr>
          <w:p>
            <w:pPr>
              <w:spacing w:after="0"/>
              <w:rPr>
                <w:sz w:val="18"/>
                <w:szCs w:val="18"/>
                <w:color w:val="auto"/>
              </w:rPr>
            </w:pPr>
          </w:p>
        </w:tc>
        <w:tc>
          <w:tcPr>
            <w:tcW w:w="1380" w:type="dxa"/>
            <w:vAlign w:val="bottom"/>
          </w:tcPr>
          <w:p>
            <w:pPr>
              <w:jc w:val="right"/>
              <w:ind w:right="194"/>
              <w:spacing w:after="0"/>
              <w:rPr>
                <w:sz w:val="20"/>
                <w:szCs w:val="20"/>
                <w:color w:val="auto"/>
              </w:rPr>
            </w:pPr>
            <w:r>
              <w:rPr>
                <w:rFonts w:ascii="Arial" w:cs="Arial" w:eastAsia="Arial" w:hAnsi="Arial"/>
                <w:sz w:val="16"/>
                <w:szCs w:val="16"/>
                <w:b w:val="1"/>
                <w:bCs w:val="1"/>
                <w:color w:val="auto"/>
                <w:w w:val="97"/>
              </w:rPr>
              <w:t>Short Notional</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14"/>
              <w:spacing w:after="0"/>
              <w:rPr>
                <w:sz w:val="20"/>
                <w:szCs w:val="20"/>
                <w:color w:val="auto"/>
              </w:rPr>
            </w:pPr>
            <w:r>
              <w:rPr>
                <w:rFonts w:ascii="Arial" w:cs="Arial" w:eastAsia="Arial" w:hAnsi="Arial"/>
                <w:sz w:val="16"/>
                <w:szCs w:val="16"/>
                <w:b w:val="1"/>
                <w:bCs w:val="1"/>
                <w:color w:val="auto"/>
              </w:rPr>
              <w:t>Exposure</w:t>
            </w:r>
          </w:p>
        </w:tc>
        <w:tc>
          <w:tcPr>
            <w:tcW w:w="3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Exposure</w:t>
            </w:r>
          </w:p>
        </w:tc>
        <w:tc>
          <w:tcPr>
            <w:tcW w:w="200" w:type="dxa"/>
            <w:vAlign w:val="bottom"/>
          </w:tcPr>
          <w:p>
            <w:pPr>
              <w:spacing w:after="0"/>
              <w:rPr>
                <w:sz w:val="18"/>
                <w:szCs w:val="18"/>
                <w:color w:val="auto"/>
              </w:rPr>
            </w:pPr>
          </w:p>
        </w:tc>
        <w:tc>
          <w:tcPr>
            <w:tcW w:w="1400" w:type="dxa"/>
            <w:vAlign w:val="bottom"/>
          </w:tcPr>
          <w:p>
            <w:pPr>
              <w:jc w:val="right"/>
              <w:ind w:right="394"/>
              <w:spacing w:after="0"/>
              <w:rPr>
                <w:sz w:val="20"/>
                <w:szCs w:val="20"/>
                <w:color w:val="auto"/>
              </w:rPr>
            </w:pPr>
            <w:r>
              <w:rPr>
                <w:rFonts w:ascii="Arial" w:cs="Arial" w:eastAsia="Arial" w:hAnsi="Arial"/>
                <w:sz w:val="16"/>
                <w:szCs w:val="16"/>
                <w:b w:val="1"/>
                <w:bCs w:val="1"/>
                <w:color w:val="auto"/>
              </w:rPr>
              <w:t>Exposure</w:t>
            </w:r>
          </w:p>
        </w:tc>
        <w:tc>
          <w:tcPr>
            <w:tcW w:w="300" w:type="dxa"/>
            <w:vAlign w:val="bottom"/>
          </w:tcPr>
          <w:p>
            <w:pPr>
              <w:spacing w:after="0"/>
              <w:rPr>
                <w:sz w:val="18"/>
                <w:szCs w:val="18"/>
                <w:color w:val="auto"/>
              </w:rPr>
            </w:pPr>
          </w:p>
        </w:tc>
        <w:tc>
          <w:tcPr>
            <w:tcW w:w="1380" w:type="dxa"/>
            <w:vAlign w:val="bottom"/>
          </w:tcPr>
          <w:p>
            <w:pPr>
              <w:jc w:val="right"/>
              <w:ind w:right="374"/>
              <w:spacing w:after="0"/>
              <w:rPr>
                <w:sz w:val="20"/>
                <w:szCs w:val="20"/>
                <w:color w:val="auto"/>
              </w:rPr>
            </w:pPr>
            <w:r>
              <w:rPr>
                <w:rFonts w:ascii="Arial" w:cs="Arial" w:eastAsia="Arial" w:hAnsi="Arial"/>
                <w:sz w:val="16"/>
                <w:szCs w:val="16"/>
                <w:b w:val="1"/>
                <w:bCs w:val="1"/>
                <w:color w:val="auto"/>
              </w:rPr>
              <w:t>Exposure</w:t>
            </w:r>
          </w:p>
        </w:tc>
        <w:tc>
          <w:tcPr>
            <w:tcW w:w="0" w:type="dxa"/>
            <w:vAlign w:val="bottom"/>
          </w:tcPr>
          <w:p>
            <w:pPr>
              <w:spacing w:after="0"/>
              <w:rPr>
                <w:sz w:val="1"/>
                <w:szCs w:val="1"/>
                <w:color w:val="auto"/>
              </w:rPr>
            </w:pPr>
          </w:p>
        </w:tc>
      </w:tr>
      <w:tr>
        <w:trPr>
          <w:trHeight w:val="33"/>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Primary underlying risk:</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00" w:type="dxa"/>
            <w:vAlign w:val="bottom"/>
            <w:gridSpan w:val="4"/>
          </w:tcPr>
          <w:p>
            <w:pPr>
              <w:jc w:val="right"/>
              <w:ind w:right="1214"/>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6,660</w:t>
            </w:r>
          </w:p>
        </w:tc>
        <w:tc>
          <w:tcPr>
            <w:tcW w:w="0" w:type="dxa"/>
            <w:vAlign w:val="bottom"/>
          </w:tcPr>
          <w:p>
            <w:pPr>
              <w:spacing w:after="0"/>
              <w:rPr>
                <w:sz w:val="1"/>
                <w:szCs w:val="1"/>
                <w:color w:val="auto"/>
              </w:rPr>
            </w:pPr>
          </w:p>
        </w:tc>
      </w:tr>
      <w:tr>
        <w:trPr>
          <w:trHeight w:val="283"/>
        </w:trPr>
        <w:tc>
          <w:tcPr>
            <w:tcW w:w="4680" w:type="dxa"/>
            <w:vAlign w:val="bottom"/>
          </w:tcPr>
          <w:p>
            <w:pPr>
              <w:ind w:left="280"/>
              <w:spacing w:after="0" w:line="283" w:lineRule="exact"/>
              <w:rPr>
                <w:sz w:val="20"/>
                <w:szCs w:val="20"/>
                <w:color w:val="auto"/>
              </w:rPr>
            </w:pPr>
            <w:r>
              <w:rPr>
                <w:rFonts w:ascii="Arial" w:cs="Arial" w:eastAsia="Arial" w:hAnsi="Arial"/>
                <w:sz w:val="18"/>
                <w:szCs w:val="18"/>
                <w:color w:val="auto"/>
              </w:rPr>
              <w:t>Credit contracts</w:t>
            </w:r>
            <w:r>
              <w:rPr>
                <w:rFonts w:ascii="Arial" w:cs="Arial" w:eastAsia="Arial" w:hAnsi="Arial"/>
                <w:sz w:val="25"/>
                <w:szCs w:val="25"/>
                <w:color w:val="auto"/>
                <w:vertAlign w:val="superscript"/>
              </w:rPr>
              <w:t>(1)</w:t>
            </w:r>
          </w:p>
        </w:tc>
        <w:tc>
          <w:tcPr>
            <w:tcW w:w="200" w:type="dxa"/>
            <w:vAlign w:val="bottom"/>
          </w:tcPr>
          <w:p>
            <w:pPr>
              <w:spacing w:after="0"/>
              <w:rPr>
                <w:sz w:val="24"/>
                <w:szCs w:val="24"/>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468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-153670</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180" w:right="220" w:hanging="172"/>
        <w:spacing w:after="0" w:line="286" w:lineRule="auto"/>
        <w:tabs>
          <w:tab w:leader="none" w:pos="180" w:val="left"/>
        </w:tabs>
        <w:numPr>
          <w:ilvl w:val="0"/>
          <w:numId w:val="10"/>
        </w:numPr>
        <w:rPr>
          <w:rFonts w:ascii="Arial" w:cs="Arial" w:eastAsia="Arial" w:hAnsi="Arial"/>
          <w:sz w:val="8"/>
          <w:szCs w:val="8"/>
          <w:color w:val="auto"/>
        </w:rPr>
      </w:pPr>
      <w:r>
        <w:rPr>
          <w:rFonts w:ascii="Arial" w:cs="Arial" w:eastAsia="Arial" w:hAnsi="Arial"/>
          <w:sz w:val="13"/>
          <w:szCs w:val="13"/>
          <w:color w:val="auto"/>
        </w:rPr>
        <w:t>The short notional amount on our credit default swap positions was approximately $800 million at September 30, 2018. However, because credit spreads cannot compress below zero, our downside short notional exposure is $183 million as of September 30, 2018. The short notional amount on our credit default swap positions was approximately $2.5 billion as of December 31, 2017. However, because credit spreads cannot compress below zero, our downside short notional exposure to loss is $391 million as of December 31, 2017.</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CVR Refining enters into commodity swap contracts in order to fix the margin on a portion of future production. Additionally, CVR Refining may enter into price and basis swaps in order to fix the price on a portion of its commodity purchases and product sales. The physical volumes are not exchanged, and these contracts are net settled with cash. The contract fair value of the commodity swaps is reflected on the condensed consolidated balance sheets with changes in fair value currently recognized in the condensed consolidated statements of operations. Quoted prices for similar assets or liabilities in active markets (Level 2) are considered to determine the fair values for the purpose of marking to market the hedging instruments at each period end. CVR Refining did not have open commodity swap instruments at September 30, 2018. At December 31, 2017, CVR Refining had open commodity swap instruments consisting of 15 million barrels of crack spreads, primarily to fix the margin on a portion of its future gasoline and distillate production. Additionally, as of September 30, 2018 and December 31, 2017, CVR Refining had open forward purchase and sale commitments for 2 million barrels and 6 million barrels, respectively, of Canadian crude oil priced at fixed differentials that are not considered probable of physical settlement and are accounted for as derivatives.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Derivative Information</w:t>
      </w:r>
    </w:p>
    <w:p>
      <w:pPr>
        <w:spacing w:after="0" w:line="117"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Certain derivative contracts executed by the Investment Funds with a single counterparty or by our Energy segment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condensed consolidated balance sheets. The following table presents the consolidated fair values of our derivatives that are not designated as hedging instruments in accordance with U.S GAAP:</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Asset Derivatives</w:t>
            </w:r>
            <w:r>
              <w:rPr>
                <w:rFonts w:ascii="Arial" w:cs="Arial" w:eastAsia="Arial" w:hAnsi="Arial"/>
                <w:sz w:val="25"/>
                <w:szCs w:val="25"/>
                <w:b w:val="1"/>
                <w:bCs w:val="1"/>
                <w:color w:val="auto"/>
                <w:vertAlign w:val="superscript"/>
              </w:rPr>
              <w:t>(1)</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Liability Derivatives</w:t>
            </w:r>
          </w:p>
        </w:tc>
        <w:tc>
          <w:tcPr>
            <w:tcW w:w="680" w:type="dxa"/>
            <w:vAlign w:val="bottom"/>
            <w:tcBorders>
              <w:bottom w:val="single" w:sz="8" w:color="auto"/>
            </w:tcBorders>
          </w:tcPr>
          <w:p>
            <w:pPr>
              <w:spacing w:after="0"/>
              <w:rPr>
                <w:sz w:val="24"/>
                <w:szCs w:val="24"/>
                <w:color w:val="auto"/>
              </w:rPr>
            </w:pPr>
          </w:p>
        </w:tc>
      </w:tr>
      <w:tr>
        <w:trPr>
          <w:trHeight w:val="237"/>
        </w:trPr>
        <w:tc>
          <w:tcPr>
            <w:tcW w:w="468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September 30, 2018</w:t>
            </w: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2017</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4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00" w:type="dxa"/>
            <w:vAlign w:val="bottom"/>
            <w:gridSpan w:val="3"/>
          </w:tcPr>
          <w:p>
            <w:pPr>
              <w:ind w:left="320"/>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56"/>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w:t>
            </w: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37"/>
        </w:trPr>
        <w:tc>
          <w:tcPr>
            <w:tcW w:w="4680" w:type="dxa"/>
            <w:vAlign w:val="bottom"/>
            <w:gridSpan w:val="2"/>
          </w:tcPr>
          <w:p>
            <w:pPr>
              <w:ind w:left="280"/>
              <w:spacing w:after="0"/>
              <w:rPr>
                <w:sz w:val="20"/>
                <w:szCs w:val="20"/>
                <w:color w:val="auto"/>
              </w:rPr>
            </w:pPr>
            <w:r>
              <w:rPr>
                <w:rFonts w:ascii="Arial" w:cs="Arial" w:eastAsia="Arial" w:hAnsi="Arial"/>
                <w:sz w:val="18"/>
                <w:szCs w:val="18"/>
                <w:color w:val="auto"/>
              </w:rPr>
              <w:t>Sub-total</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1,282</w:t>
            </w:r>
          </w:p>
        </w:tc>
      </w:tr>
      <w:tr>
        <w:trPr>
          <w:trHeight w:val="27"/>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68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Netting across contract types</w:t>
            </w:r>
            <w:r>
              <w:rPr>
                <w:rFonts w:ascii="Arial" w:cs="Arial" w:eastAsia="Arial" w:hAnsi="Arial"/>
                <w:sz w:val="25"/>
                <w:szCs w:val="25"/>
                <w:color w:val="auto"/>
                <w:vertAlign w:val="superscript"/>
              </w:rPr>
              <w:t>(2)</w:t>
            </w:r>
          </w:p>
        </w:tc>
        <w:tc>
          <w:tcPr>
            <w:tcW w:w="5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97"/>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(2)</w:t>
            </w: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4"/>
                <w:szCs w:val="24"/>
                <w:color w:val="auto"/>
              </w:rPr>
            </w:pP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-20955</wp:posOffset>
            </wp:positionV>
            <wp:extent cx="42538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53865" cy="26035"/>
                    </a:xfrm>
                    <a:prstGeom prst="rect">
                      <a:avLst/>
                    </a:prstGeom>
                    <a:noFill/>
                  </pic:spPr>
                </pic:pic>
              </a:graphicData>
            </a:graphic>
          </wp:anchor>
        </w:drawing>
      </w:r>
    </w:p>
    <w:p>
      <w:pPr>
        <w:ind w:left="180" w:hanging="172"/>
        <w:spacing w:after="0"/>
        <w:tabs>
          <w:tab w:leader="none" w:pos="180" w:val="left"/>
        </w:tabs>
        <w:numPr>
          <w:ilvl w:val="0"/>
          <w:numId w:val="11"/>
        </w:numPr>
        <w:rPr>
          <w:rFonts w:ascii="Arial" w:cs="Arial" w:eastAsia="Arial" w:hAnsi="Arial"/>
          <w:sz w:val="9"/>
          <w:szCs w:val="9"/>
          <w:color w:val="auto"/>
        </w:rPr>
      </w:pPr>
      <w:r>
        <w:rPr>
          <w:rFonts w:ascii="Arial" w:cs="Arial" w:eastAsia="Arial" w:hAnsi="Arial"/>
          <w:sz w:val="14"/>
          <w:szCs w:val="14"/>
          <w:color w:val="auto"/>
        </w:rPr>
        <w:t>Net asset derivatives are classified within other assets in our condensed consolidated balance sheets.</w:t>
      </w:r>
    </w:p>
    <w:p>
      <w:pPr>
        <w:spacing w:after="0" w:line="1" w:lineRule="exact"/>
        <w:rPr>
          <w:rFonts w:ascii="Arial" w:cs="Arial" w:eastAsia="Arial" w:hAnsi="Arial"/>
          <w:sz w:val="9"/>
          <w:szCs w:val="9"/>
          <w:color w:val="auto"/>
        </w:rPr>
      </w:pPr>
    </w:p>
    <w:p>
      <w:pPr>
        <w:ind w:left="180" w:right="340" w:hanging="172"/>
        <w:spacing w:after="0" w:line="293" w:lineRule="auto"/>
        <w:tabs>
          <w:tab w:leader="none" w:pos="180" w:val="left"/>
        </w:tabs>
        <w:numPr>
          <w:ilvl w:val="0"/>
          <w:numId w:val="11"/>
        </w:numPr>
        <w:rPr>
          <w:rFonts w:ascii="Arial" w:cs="Arial" w:eastAsia="Arial" w:hAnsi="Arial"/>
          <w:sz w:val="8"/>
          <w:szCs w:val="8"/>
          <w:color w:val="auto"/>
        </w:rPr>
      </w:pPr>
      <w:r>
        <w:rPr>
          <w:rFonts w:ascii="Arial" w:cs="Arial" w:eastAsia="Arial" w:hAnsi="Arial"/>
          <w:sz w:val="13"/>
          <w:szCs w:val="13"/>
          <w:color w:val="auto"/>
        </w:rPr>
        <w:t>Excludes netting of cash collateral received and posted. The total collateral posted at September 30, 2018 and December 31, 2017 was $573 million and $542 million, respectively, across all counterparties, which are included in cash held at consolidated affiliated partnerships and restricted cash on the condensed consolidated balance sheets.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337"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following table presents the amount of gain (loss) recognized in the condensed consolidated statements of operations for our derivatives not designated as hedging instruments:</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9"/>
              </w:rPr>
              <w:t>Gain (Loss) Recognized in Income</w:t>
            </w:r>
            <w:r>
              <w:rPr>
                <w:rFonts w:ascii="Arial" w:cs="Arial" w:eastAsia="Arial" w:hAnsi="Arial"/>
                <w:sz w:val="25"/>
                <w:szCs w:val="25"/>
                <w:b w:val="1"/>
                <w:bCs w:val="1"/>
                <w:color w:val="auto"/>
                <w:w w:val="99"/>
                <w:vertAlign w:val="superscript"/>
              </w:rPr>
              <w:t>(1)</w:t>
            </w: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18"/>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2"/>
              </w:rPr>
              <w:t>Three Months Ended</w:t>
            </w:r>
          </w:p>
        </w:tc>
        <w:tc>
          <w:tcPr>
            <w:tcW w:w="460" w:type="dxa"/>
            <w:vAlign w:val="bottom"/>
          </w:tcPr>
          <w:p>
            <w:pPr>
              <w:spacing w:after="0"/>
              <w:rPr>
                <w:sz w:val="18"/>
                <w:szCs w:val="18"/>
                <w:color w:val="auto"/>
              </w:rPr>
            </w:pPr>
          </w:p>
        </w:tc>
        <w:tc>
          <w:tcPr>
            <w:tcW w:w="282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68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3"/>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4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8"/>
        </w:trPr>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8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6"/>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w:t>
            </w:r>
          </w:p>
        </w:tc>
      </w:tr>
      <w:tr>
        <w:trPr>
          <w:trHeight w:val="27"/>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line="249" w:lineRule="auto"/>
        <w:tabs>
          <w:tab w:leader="none" w:pos="180" w:val="left"/>
        </w:tabs>
        <w:numPr>
          <w:ilvl w:val="0"/>
          <w:numId w:val="12"/>
        </w:numPr>
        <w:rPr>
          <w:rFonts w:ascii="Arial" w:cs="Arial" w:eastAsia="Arial" w:hAnsi="Arial"/>
          <w:sz w:val="9"/>
          <w:szCs w:val="9"/>
          <w:color w:val="auto"/>
        </w:rPr>
      </w:pPr>
      <w:r>
        <w:rPr>
          <w:rFonts w:ascii="Arial" w:cs="Arial" w:eastAsia="Arial" w:hAnsi="Arial"/>
          <w:sz w:val="14"/>
          <w:szCs w:val="14"/>
          <w:color w:val="auto"/>
        </w:rPr>
        <w:t>Gains (losses) recognized on derivatives are classified in net gain (loss) from investment activities in our condensed consolidated statements of operations for our Investment segment and are included in other income (loss), net for all other segments. Gains (losses) recognized on derivatives for our Investment segment were $(539) million and $(368) million for the three months ended September 30, 2018 and 2017, respectively, and $(531) million and $(1,248) million for the nine months ended September 30, 2018 and 2017, respectively. Gains (losses) recognized on derivatives for our other segments were $5 million and $(17) million for the three months ended September 30, 2018 and 2017, respectively, and $75 million and $(5) million for the nine months ended September 30, 2018 and 2017, respectively.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Non-Derivative Instruments Designated as Hedging Instruments</w:t>
      </w:r>
    </w:p>
    <w:p>
      <w:pPr>
        <w:spacing w:after="0" w:line="117"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As of September 30, 2018 and December 31, 2017, Federal-Mogul had foreign currency denominated debt (included in liabilities held for sale on our condensed consolidated balance sheets), of which $847 million and $884 million, respectively, was designated as a net investment hedge in certain foreign subsidiaries and affiliates of Federal-Mogul. Changes to its carrying value are included in other comprehensive loss as translation adjustments and other. The amount recognized in accumulated other comprehensive loss were losses of $6 million and $25 million for the three months ended September 30, 2018 and 2017, respectively, and $29 million and $71 million for the nine months ended September 30, 2018 and 2017, respectively.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Inventories, net consists of the following:</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6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w:t>
            </w: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1,961</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1,805</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right="8260" w:hanging="412"/>
        <w:spacing w:after="0" w:line="469" w:lineRule="auto"/>
        <w:tabs>
          <w:tab w:leader="none" w:pos="339"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September 30, 2018</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2017</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279"/>
              <w:spacing w:after="0"/>
              <w:rPr>
                <w:sz w:val="20"/>
                <w:szCs w:val="20"/>
                <w:color w:val="auto"/>
              </w:rPr>
            </w:pPr>
            <w:r>
              <w:rPr>
                <w:rFonts w:ascii="Arial" w:cs="Arial" w:eastAsia="Arial" w:hAnsi="Arial"/>
                <w:sz w:val="16"/>
                <w:szCs w:val="16"/>
                <w:b w:val="1"/>
                <w:bCs w:val="1"/>
                <w:color w:val="auto"/>
              </w:rPr>
              <w:t>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86"/>
              </w:rPr>
              <w:t>Gross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rPr>
              <w:t>Net</w:t>
            </w: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1020" w:type="dxa"/>
            <w:vAlign w:val="bottom"/>
          </w:tcPr>
          <w:p>
            <w:pPr>
              <w:jc w:val="center"/>
              <w:ind w:left="259"/>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97"/>
              </w:rPr>
              <w:t>Carrying</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Impairment</w:t>
            </w:r>
          </w:p>
        </w:tc>
        <w:tc>
          <w:tcPr>
            <w:tcW w:w="1020" w:type="dxa"/>
            <w:vAlign w:val="bottom"/>
          </w:tcPr>
          <w:p>
            <w:pPr>
              <w:jc w:val="center"/>
              <w:ind w:left="279"/>
              <w:spacing w:after="0"/>
              <w:rPr>
                <w:sz w:val="20"/>
                <w:szCs w:val="20"/>
                <w:color w:val="auto"/>
              </w:rPr>
            </w:pPr>
            <w:r>
              <w:rPr>
                <w:rFonts w:ascii="Arial" w:cs="Arial" w:eastAsia="Arial" w:hAnsi="Arial"/>
                <w:sz w:val="16"/>
                <w:szCs w:val="16"/>
                <w:b w:val="1"/>
                <w:bCs w:val="1"/>
                <w:color w:val="auto"/>
                <w:w w:val="88"/>
              </w:rPr>
              <w:t>Value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Amount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Impairment</w:t>
            </w: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60" w:type="dxa"/>
            <w:vAlign w:val="bottom"/>
            <w:gridSpan w:val="3"/>
          </w:tcPr>
          <w:p>
            <w:pPr>
              <w:jc w:val="right"/>
              <w:ind w:right="659"/>
              <w:spacing w:after="0"/>
              <w:rPr>
                <w:sz w:val="20"/>
                <w:szCs w:val="20"/>
                <w:color w:val="auto"/>
              </w:rPr>
            </w:pPr>
            <w:r>
              <w:rPr>
                <w:rFonts w:ascii="Arial" w:cs="Arial" w:eastAsia="Arial" w:hAnsi="Arial"/>
                <w:sz w:val="14"/>
                <w:szCs w:val="14"/>
                <w:color w:val="auto"/>
                <w:w w:val="98"/>
              </w:rPr>
              <w:t>(in millions)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Automotive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2"/>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2"/>
              </w:rPr>
              <w:t>320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w:t>
            </w: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Railcar</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36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Food Packaging</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17"/>
        </w:trPr>
        <w:tc>
          <w:tcPr>
            <w:tcW w:w="26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2"/>
              </w:rPr>
              <w:t>336</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2"/>
              </w:rPr>
              <w:t>334</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334</w:t>
            </w: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37" w:right="25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337" w:right="25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consists of the following:</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September 30, 2018</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2017</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279"/>
              <w:spacing w:after="0"/>
              <w:rPr>
                <w:sz w:val="20"/>
                <w:szCs w:val="20"/>
                <w:color w:val="auto"/>
              </w:rPr>
            </w:pPr>
            <w:r>
              <w:rPr>
                <w:rFonts w:ascii="Arial" w:cs="Arial" w:eastAsia="Arial" w:hAnsi="Arial"/>
                <w:sz w:val="16"/>
                <w:szCs w:val="16"/>
                <w:b w:val="1"/>
                <w:bCs w:val="1"/>
                <w:color w:val="auto"/>
              </w:rPr>
              <w:t>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86"/>
              </w:rPr>
              <w:t>Gross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rPr>
              <w:t>Net</w:t>
            </w: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1020" w:type="dxa"/>
            <w:vAlign w:val="bottom"/>
          </w:tcPr>
          <w:p>
            <w:pPr>
              <w:jc w:val="center"/>
              <w:ind w:left="259"/>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97"/>
              </w:rPr>
              <w:t>Carrying</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020" w:type="dxa"/>
            <w:vAlign w:val="bottom"/>
          </w:tcPr>
          <w:p>
            <w:pPr>
              <w:jc w:val="center"/>
              <w:ind w:left="279"/>
              <w:spacing w:after="0"/>
              <w:rPr>
                <w:sz w:val="20"/>
                <w:szCs w:val="20"/>
                <w:color w:val="auto"/>
              </w:rPr>
            </w:pPr>
            <w:r>
              <w:rPr>
                <w:rFonts w:ascii="Arial" w:cs="Arial" w:eastAsia="Arial" w:hAnsi="Arial"/>
                <w:sz w:val="16"/>
                <w:szCs w:val="16"/>
                <w:b w:val="1"/>
                <w:bCs w:val="1"/>
                <w:color w:val="auto"/>
                <w:w w:val="88"/>
              </w:rPr>
              <w:t>Value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Amount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60" w:type="dxa"/>
            <w:vAlign w:val="bottom"/>
            <w:gridSpan w:val="3"/>
          </w:tcPr>
          <w:p>
            <w:pPr>
              <w:jc w:val="right"/>
              <w:ind w:right="659"/>
              <w:spacing w:after="0"/>
              <w:rPr>
                <w:sz w:val="20"/>
                <w:szCs w:val="20"/>
                <w:color w:val="auto"/>
              </w:rPr>
            </w:pPr>
            <w:r>
              <w:rPr>
                <w:rFonts w:ascii="Arial" w:cs="Arial" w:eastAsia="Arial" w:hAnsi="Arial"/>
                <w:sz w:val="14"/>
                <w:szCs w:val="14"/>
                <w:color w:val="auto"/>
                <w:w w:val="98"/>
              </w:rPr>
              <w:t>(in millions)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2620" w:type="dxa"/>
            <w:vAlign w:val="bottom"/>
          </w:tcPr>
          <w:p>
            <w:pPr>
              <w:ind w:left="20"/>
              <w:spacing w:after="0"/>
              <w:rPr>
                <w:sz w:val="20"/>
                <w:szCs w:val="20"/>
                <w:color w:val="auto"/>
              </w:rPr>
            </w:pPr>
            <w:r>
              <w:rPr>
                <w:rFonts w:ascii="Arial" w:cs="Arial" w:eastAsia="Arial" w:hAnsi="Arial"/>
                <w:sz w:val="16"/>
                <w:szCs w:val="16"/>
                <w:color w:val="auto"/>
              </w:rPr>
              <w:t>Definite-lived intangible assets: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2"/>
              </w:rPr>
              <w:t>267</w:t>
            </w:r>
          </w:p>
        </w:tc>
        <w:tc>
          <w:tcPr>
            <w:tcW w:w="1100" w:type="dxa"/>
            <w:vAlign w:val="bottom"/>
            <w:tcBorders>
              <w:bottom w:val="single" w:sz="8" w:color="CCEEFF"/>
            </w:tcBorders>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2"/>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w:t>
            </w:r>
          </w:p>
        </w:tc>
      </w:tr>
      <w:tr>
        <w:trPr>
          <w:trHeight w:val="237"/>
        </w:trPr>
        <w:tc>
          <w:tcPr>
            <w:tcW w:w="2620" w:type="dxa"/>
            <w:vAlign w:val="bottom"/>
          </w:tcPr>
          <w:p>
            <w:pPr>
              <w:ind w:left="200"/>
              <w:spacing w:after="0"/>
              <w:rPr>
                <w:sz w:val="20"/>
                <w:szCs w:val="20"/>
                <w:color w:val="auto"/>
              </w:rPr>
            </w:pPr>
            <w:r>
              <w:rPr>
                <w:rFonts w:ascii="Arial" w:cs="Arial" w:eastAsia="Arial" w:hAnsi="Arial"/>
                <w:sz w:val="16"/>
                <w:szCs w:val="16"/>
                <w:color w:val="auto"/>
              </w:rPr>
              <w:t>Developed technology</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In-place leases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2"/>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37"/>
        </w:trPr>
        <w:tc>
          <w:tcPr>
            <w:tcW w:w="2620" w:type="dxa"/>
            <w:vAlign w:val="bottom"/>
          </w:tcPr>
          <w:p>
            <w:pPr>
              <w:ind w:left="200"/>
              <w:spacing w:after="0"/>
              <w:rPr>
                <w:sz w:val="20"/>
                <w:szCs w:val="20"/>
                <w:color w:val="auto"/>
              </w:rPr>
            </w:pPr>
            <w:r>
              <w:rPr>
                <w:rFonts w:ascii="Arial" w:cs="Arial" w:eastAsia="Arial" w:hAnsi="Arial"/>
                <w:sz w:val="16"/>
                <w:szCs w:val="16"/>
                <w:color w:val="auto"/>
              </w:rPr>
              <w:t>Gasification technology license</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2"/>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2"/>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r>
      <w:tr>
        <w:trPr>
          <w:trHeight w:val="217"/>
        </w:trPr>
        <w:tc>
          <w:tcPr>
            <w:tcW w:w="26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711</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2"/>
              </w:rPr>
              <w:t>451</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2"/>
              </w:rPr>
              <w:t>731</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482</w:t>
            </w:r>
          </w:p>
        </w:tc>
      </w:tr>
      <w:tr>
        <w:trPr>
          <w:trHeight w:val="73"/>
        </w:trPr>
        <w:tc>
          <w:tcPr>
            <w:tcW w:w="26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31"/>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Indefinite-lived intangible assets:</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2620" w:type="dxa"/>
            <w:vAlign w:val="bottom"/>
          </w:tcPr>
          <w:p>
            <w:pPr>
              <w:ind w:left="200"/>
              <w:spacing w:after="0"/>
              <w:rPr>
                <w:sz w:val="20"/>
                <w:szCs w:val="20"/>
                <w:color w:val="auto"/>
              </w:rPr>
            </w:pPr>
            <w:r>
              <w:rPr>
                <w:rFonts w:ascii="Arial" w:cs="Arial" w:eastAsia="Arial" w:hAnsi="Arial"/>
                <w:sz w:val="16"/>
                <w:szCs w:val="16"/>
                <w:color w:val="auto"/>
              </w:rPr>
              <w:t>Trademarks and brand names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62</w:t>
            </w:r>
          </w:p>
        </w:tc>
      </w:tr>
      <w:tr>
        <w:trPr>
          <w:trHeight w:val="33"/>
        </w:trPr>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2"/>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544</w:t>
            </w:r>
          </w:p>
        </w:tc>
      </w:tr>
      <w:tr>
        <w:trPr>
          <w:trHeight w:val="20"/>
        </w:trPr>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Amortization expense associated with definite-lived intangible assets was $12 million and $12 million for the three months ended September 30, 2018 and 2017, respectively, and $36 million and $30 million for the nine months ended September 30, 2018 and 2017, respectively. We utilize the straight-line method of amortization, recognized over the estimated useful lives of the assets.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9.  Debt.</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8120" w:type="dxa"/>
            <w:vAlign w:val="bottom"/>
          </w:tcPr>
          <w:p>
            <w:pPr>
              <w:ind w:left="380"/>
              <w:spacing w:after="0"/>
              <w:rPr>
                <w:sz w:val="20"/>
                <w:szCs w:val="20"/>
                <w:color w:val="auto"/>
              </w:rPr>
            </w:pPr>
            <w:r>
              <w:rPr>
                <w:rFonts w:ascii="Arial" w:cs="Arial" w:eastAsia="Arial" w:hAnsi="Arial"/>
                <w:sz w:val="18"/>
                <w:szCs w:val="18"/>
                <w:color w:val="auto"/>
              </w:rPr>
              <w:t>Debt consists of the following:</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8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8"/>
        </w:trPr>
        <w:tc>
          <w:tcPr>
            <w:tcW w:w="8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2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20"/>
                <w:szCs w:val="20"/>
                <w:color w:val="auto"/>
              </w:rPr>
            </w:pPr>
          </w:p>
        </w:tc>
      </w:tr>
      <w:tr>
        <w:trPr>
          <w:trHeight w:val="255"/>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Holding Company:</w:t>
            </w: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6.000% senior unsecured notes due 2020</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5.875% senior unsecured notes due 2022</w:t>
            </w: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1,342</w:t>
            </w: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6.250% senior unsecured notes due 2022</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6.750% senior unsecured notes due 2024</w:t>
            </w: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6.375% senior unsecured notes due 2025</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37"/>
        </w:trPr>
        <w:tc>
          <w:tcPr>
            <w:tcW w:w="8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5,507</w:t>
            </w:r>
          </w:p>
        </w:tc>
      </w:tr>
      <w:tr>
        <w:trPr>
          <w:trHeight w:val="27"/>
        </w:trPr>
        <w:tc>
          <w:tcPr>
            <w:tcW w:w="8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Reporting Segments: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Railcar</w:t>
            </w: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546</w:t>
            </w: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Mining</w:t>
            </w: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Fashion</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37"/>
        </w:trPr>
        <w:tc>
          <w:tcPr>
            <w:tcW w:w="8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2,411</w:t>
            </w:r>
          </w:p>
        </w:tc>
      </w:tr>
      <w:tr>
        <w:trPr>
          <w:trHeight w:val="27"/>
        </w:trPr>
        <w:tc>
          <w:tcPr>
            <w:tcW w:w="8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7,907</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7,918</w:t>
            </w:r>
          </w:p>
        </w:tc>
      </w:tr>
      <w:tr>
        <w:trPr>
          <w:trHeight w:val="20"/>
        </w:trPr>
        <w:tc>
          <w:tcPr>
            <w:tcW w:w="8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337"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Per LP Unit.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components of the computation of basic and diluted income (loss) per LP unit from continuing and discontinued operations of Icahn Enterprises 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as follows:</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700" w:type="dxa"/>
            <w:vAlign w:val="bottom"/>
          </w:tcPr>
          <w:p>
            <w:pPr>
              <w:spacing w:after="0"/>
              <w:rPr>
                <w:sz w:val="24"/>
                <w:szCs w:val="24"/>
                <w:color w:val="auto"/>
              </w:rPr>
            </w:pPr>
          </w:p>
        </w:tc>
        <w:tc>
          <w:tcPr>
            <w:tcW w:w="3420" w:type="dxa"/>
            <w:vAlign w:val="bottom"/>
            <w:gridSpan w:val="6"/>
          </w:tcPr>
          <w:p>
            <w:pPr>
              <w:ind w:left="82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4"/>
                <w:szCs w:val="24"/>
                <w:color w:val="auto"/>
              </w:rPr>
            </w:pPr>
          </w:p>
        </w:tc>
        <w:tc>
          <w:tcPr>
            <w:tcW w:w="292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2"/>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color w:val="auto"/>
              </w:rPr>
              <w:t>(in millions, except per unit data)</w:t>
            </w: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Icahn Enterprises from</w:t>
            </w:r>
          </w:p>
        </w:tc>
        <w:tc>
          <w:tcPr>
            <w:tcW w:w="1060" w:type="dxa"/>
            <w:vAlign w:val="bottom"/>
            <w:vMerge w:val="restart"/>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p>
        </w:tc>
        <w:tc>
          <w:tcPr>
            <w:tcW w:w="5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20"/>
                <w:szCs w:val="20"/>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0"/>
                <w:szCs w:val="20"/>
                <w:color w:val="auto"/>
              </w:rPr>
            </w:pPr>
          </w:p>
        </w:tc>
        <w:tc>
          <w:tcPr>
            <w:tcW w:w="5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Net (loss) income attributable to Icahn Enterprises from</w:t>
            </w: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w w:val="95"/>
              </w:rPr>
              <w:t>continuing operations allocable to limited partners (98.01%</w:t>
            </w:r>
          </w:p>
        </w:tc>
        <w:tc>
          <w:tcPr>
            <w:tcW w:w="1060" w:type="dxa"/>
            <w:vAlign w:val="bottom"/>
            <w:vMerge w:val="restart"/>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560" w:type="dxa"/>
            <w:vAlign w:val="bottom"/>
            <w:vMerge w:val="restart"/>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8"/>
                <w:szCs w:val="18"/>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560" w:type="dxa"/>
            <w:vAlign w:val="bottom"/>
            <w:vMerge w:val="restart"/>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allocation)</w:t>
            </w:r>
          </w:p>
        </w:tc>
        <w:tc>
          <w:tcPr>
            <w:tcW w:w="1060" w:type="dxa"/>
            <w:vAlign w:val="bottom"/>
            <w:tcBorders>
              <w:bottom w:val="single" w:sz="8" w:color="auto"/>
            </w:tcBorders>
            <w:vMerge w:val="continue"/>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3"/>
              </w:rPr>
              <w:t>Net income attributable to Icahn Enterprises from discontinued</w:t>
            </w:r>
          </w:p>
        </w:tc>
        <w:tc>
          <w:tcPr>
            <w:tcW w:w="1060" w:type="dxa"/>
            <w:vAlign w:val="bottom"/>
            <w:vMerge w:val="restart"/>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operations allocable to limited partners</w:t>
            </w: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income per LP unit:</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weighted average LP units outstanding</w:t>
            </w:r>
          </w:p>
        </w:tc>
        <w:tc>
          <w:tcPr>
            <w:tcW w:w="10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 Rights Offering</w:t>
      </w:r>
    </w:p>
    <w:p>
      <w:pPr>
        <w:spacing w:after="0" w:line="117" w:lineRule="exact"/>
        <w:rPr>
          <w:sz w:val="20"/>
          <w:szCs w:val="20"/>
          <w:color w:val="auto"/>
        </w:rPr>
      </w:pPr>
    </w:p>
    <w:p>
      <w:pPr>
        <w:ind w:right="680" w:firstLine="405"/>
        <w:spacing w:after="0" w:line="342" w:lineRule="auto"/>
        <w:rPr>
          <w:sz w:val="20"/>
          <w:szCs w:val="20"/>
          <w:color w:val="auto"/>
        </w:rPr>
      </w:pPr>
      <w:r>
        <w:rPr>
          <w:rFonts w:ascii="Arial" w:cs="Arial" w:eastAsia="Arial" w:hAnsi="Arial"/>
          <w:sz w:val="16"/>
          <w:szCs w:val="16"/>
          <w:color w:val="auto"/>
        </w:rPr>
        <w:t>In January 2017, Icahn Enterprises commenced a rights offering entitling holders of the rights to acquire newly issued depositary units of Icahn Enterprises. In connection with this rights offering, we received proceeds of $600 million during the nine months ended September 30, 2017.</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LP Unit Distribution</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each of February 27, 2018, May 2, 2018, and July 31, 2018, Icahn Enterprises declared a quarterly distribution in the amount of $1.75 per depositary unit (aggregating $5.25 per depositary unit) in which each depositary unit holder had the option to make an election to receive either cash or additional depositary units.</w:t>
      </w:r>
    </w:p>
    <w:p>
      <w:pPr>
        <w:spacing w:after="0" w:line="7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As a result of the above distributions declared, during the nine months ended September 30, 2018, Icahn Enterprises distributed an aggregate of 13,066,279 depositary units to unit holders electing to receive depositary units, of which an aggregate of 12,895,218 depositary units were distributed to Mr. Icahn and his affiliates. In connection with these distributions, aggregate cash distributions to all depositary unitholders was $71 million during the three and nine months ended September 30,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Incentive Plan</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During the three months ended September 30, 2018 and 2017, Icahn Enterprises distributed 1,329 and 2,388 depositary units, respectively, and 19,487 and 5,418 depositary units during the nine months ended September 30, 2018 and 2017, respectively, net of payroll withholdings, with respect to certain restricted depositary units and deferred unit awards that vested during the period in connection with the Icahn Enterprises L.P. 2017 Long Term Incentive Plan (the "2017 Incentive Plan"). The aggregate impact of the 2017 Incentive Plan is not material with respect to our condensed consolidated financial statements, including the calculation of potentially dilutive units and diluted income per LP unit.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Reporting.</w:t>
      </w:r>
    </w:p>
    <w:p>
      <w:pPr>
        <w:spacing w:after="0" w:line="121"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and Icahn Enterprises Holdings. Certain terms of financings for certain of our businesses impose restrictions on the business' ability to transfer funds to us, including restrictions on dividends, distributions, loans and other transactions.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w:t>
      </w:r>
    </w:p>
    <w:p>
      <w:pPr>
        <w:spacing w:after="0" w:line="121"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Icahn Enterprises' condensed statements of operations by reporting segment are presented below. Icahn Enterprises Holdings' condensed statements of operations are substantially the same, with immaterial differences relating to our Holding Company's interest expense.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40" w:type="dxa"/>
            <w:vAlign w:val="bottom"/>
            <w:gridSpan w:val="11"/>
          </w:tcPr>
          <w:p>
            <w:pPr>
              <w:jc w:val="right"/>
              <w:ind w:right="300"/>
              <w:spacing w:after="0"/>
              <w:rPr>
                <w:sz w:val="20"/>
                <w:szCs w:val="20"/>
                <w:color w:val="auto"/>
              </w:rPr>
            </w:pPr>
            <w:r>
              <w:rPr>
                <w:rFonts w:ascii="Arial" w:cs="Arial" w:eastAsia="Arial" w:hAnsi="Arial"/>
                <w:sz w:val="11"/>
                <w:szCs w:val="11"/>
                <w:b w:val="1"/>
                <w:bCs w:val="1"/>
                <w:color w:val="auto"/>
                <w:w w:val="89"/>
              </w:rPr>
              <w:t>Three Months Ended September 30, 2018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Food</w:t>
            </w:r>
          </w:p>
        </w:tc>
        <w:tc>
          <w:tcPr>
            <w:tcW w:w="100" w:type="dxa"/>
            <w:vAlign w:val="bottom"/>
          </w:tcPr>
          <w:p>
            <w:pPr>
              <w:spacing w:after="0"/>
              <w:rPr>
                <w:sz w:val="11"/>
                <w:szCs w:val="11"/>
                <w:color w:val="auto"/>
              </w:rPr>
            </w:pPr>
          </w:p>
        </w:tc>
        <w:tc>
          <w:tcPr>
            <w:tcW w:w="4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Home</w:t>
            </w:r>
          </w:p>
        </w:tc>
        <w:tc>
          <w:tcPr>
            <w:tcW w:w="8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b w:val="1"/>
                <w:bCs w:val="1"/>
                <w:color w:val="auto"/>
                <w:w w:val="92"/>
              </w:rPr>
              <w:t>Railcar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26"/>
              <w:spacing w:after="0"/>
              <w:rPr>
                <w:sz w:val="20"/>
                <w:szCs w:val="20"/>
                <w:color w:val="auto"/>
              </w:rPr>
            </w:pPr>
            <w:r>
              <w:rPr>
                <w:rFonts w:ascii="Arial" w:cs="Arial" w:eastAsia="Arial" w:hAnsi="Arial"/>
                <w:sz w:val="11"/>
                <w:szCs w:val="11"/>
                <w:b w:val="1"/>
                <w:bCs w:val="1"/>
                <w:color w:val="auto"/>
                <w:w w:val="93"/>
              </w:rPr>
              <w:t>Metals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Mining</w:t>
            </w:r>
          </w:p>
        </w:tc>
        <w:tc>
          <w:tcPr>
            <w:tcW w:w="8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Packaging</w:t>
            </w:r>
          </w:p>
        </w:tc>
        <w:tc>
          <w:tcPr>
            <w:tcW w:w="5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4"/>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5"/>
          </w:tcPr>
          <w:p>
            <w:pPr>
              <w:ind w:left="40"/>
              <w:spacing w:after="0"/>
              <w:rPr>
                <w:sz w:val="20"/>
                <w:szCs w:val="20"/>
                <w:color w:val="auto"/>
              </w:rPr>
            </w:pPr>
            <w:r>
              <w:rPr>
                <w:rFonts w:ascii="Arial" w:cs="Arial" w:eastAsia="Arial" w:hAnsi="Arial"/>
                <w:sz w:val="11"/>
                <w:szCs w:val="11"/>
                <w:color w:val="auto"/>
              </w:rPr>
              <w:t>(in millions)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30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120</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2,864</w:t>
            </w:r>
          </w:p>
        </w:tc>
      </w:tr>
      <w:tr>
        <w:trPr>
          <w:trHeight w:val="248"/>
        </w:trPr>
        <w:tc>
          <w:tcPr>
            <w:tcW w:w="30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217</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(514)</w:t>
            </w:r>
          </w:p>
        </w:tc>
      </w:tr>
      <w:tr>
        <w:trPr>
          <w:trHeight w:val="248"/>
        </w:trPr>
        <w:tc>
          <w:tcPr>
            <w:tcW w:w="30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36</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(Loss) gain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w:t>
            </w:r>
          </w:p>
        </w:tc>
      </w:tr>
      <w:tr>
        <w:trPr>
          <w:trHeight w:val="248"/>
        </w:trPr>
        <w:tc>
          <w:tcPr>
            <w:tcW w:w="3080" w:type="dxa"/>
            <w:vAlign w:val="bottom"/>
          </w:tcPr>
          <w:p>
            <w:pPr>
              <w:ind w:left="40"/>
              <w:spacing w:after="0"/>
              <w:rPr>
                <w:sz w:val="20"/>
                <w:szCs w:val="20"/>
                <w:color w:val="auto"/>
              </w:rPr>
            </w:pPr>
            <w:r>
              <w:rPr>
                <w:rFonts w:ascii="Arial" w:cs="Arial" w:eastAsia="Arial" w:hAnsi="Arial"/>
                <w:sz w:val="11"/>
                <w:szCs w:val="11"/>
                <w:color w:val="auto"/>
              </w:rPr>
              <w:t>Other (loss) income, net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17</w:t>
            </w: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1,943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2,685</w:t>
            </w:r>
          </w:p>
        </w:tc>
      </w:tr>
      <w:tr>
        <w:trPr>
          <w:trHeight w:val="242"/>
        </w:trPr>
        <w:tc>
          <w:tcPr>
            <w:tcW w:w="3080" w:type="dxa"/>
            <w:vAlign w:val="bottom"/>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2,406</w:t>
            </w:r>
          </w:p>
        </w:tc>
      </w:tr>
      <w:tr>
        <w:trPr>
          <w:trHeight w:val="248"/>
        </w:trPr>
        <w:tc>
          <w:tcPr>
            <w:tcW w:w="3080" w:type="dxa"/>
            <w:vAlign w:val="bottom"/>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173</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340</w:t>
            </w:r>
          </w:p>
        </w:tc>
      </w:tr>
      <w:tr>
        <w:trPr>
          <w:trHeight w:val="248"/>
        </w:trPr>
        <w:tc>
          <w:tcPr>
            <w:tcW w:w="3080" w:type="dxa"/>
            <w:vAlign w:val="bottom"/>
          </w:tcPr>
          <w:p>
            <w:pPr>
              <w:ind w:left="40"/>
              <w:spacing w:after="0"/>
              <w:rPr>
                <w:sz w:val="20"/>
                <w:szCs w:val="20"/>
                <w:color w:val="auto"/>
              </w:rPr>
            </w:pPr>
            <w:r>
              <w:rPr>
                <w:rFonts w:ascii="Arial" w:cs="Arial" w:eastAsia="Arial" w:hAnsi="Arial"/>
                <w:sz w:val="11"/>
                <w:szCs w:val="11"/>
                <w:color w:val="auto"/>
              </w:rPr>
              <w:t>Restructuring, net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17</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248"/>
        </w:trPr>
        <w:tc>
          <w:tcPr>
            <w:tcW w:w="3080" w:type="dxa"/>
            <w:vAlign w:val="bottom"/>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21"/>
                <w:szCs w:val="21"/>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130</w:t>
            </w: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1,803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3,066</w:t>
            </w:r>
          </w:p>
        </w:tc>
      </w:tr>
      <w:tr>
        <w:trPr>
          <w:trHeight w:val="132"/>
        </w:trPr>
        <w:tc>
          <w:tcPr>
            <w:tcW w:w="3080" w:type="dxa"/>
            <w:vAlign w:val="bottom"/>
          </w:tcPr>
          <w:p>
            <w:pPr>
              <w:ind w:left="40"/>
              <w:spacing w:after="0"/>
              <w:rPr>
                <w:sz w:val="20"/>
                <w:szCs w:val="20"/>
                <w:color w:val="auto"/>
              </w:rPr>
            </w:pPr>
            <w:r>
              <w:rPr>
                <w:rFonts w:ascii="Arial" w:cs="Arial" w:eastAsia="Arial" w:hAnsi="Arial"/>
                <w:sz w:val="11"/>
                <w:szCs w:val="11"/>
                <w:color w:val="auto"/>
                <w:w w:val="91"/>
              </w:rPr>
              <w:t>(Loss) income from continuing operations before income tax benefit</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36"/>
        </w:trPr>
        <w:tc>
          <w:tcPr>
            <w:tcW w:w="3080" w:type="dxa"/>
            <w:vAlign w:val="bottom"/>
          </w:tcPr>
          <w:p>
            <w:pPr>
              <w:ind w:left="200"/>
              <w:spacing w:after="0"/>
              <w:rPr>
                <w:sz w:val="20"/>
                <w:szCs w:val="20"/>
                <w:color w:val="auto"/>
              </w:rPr>
            </w:pPr>
            <w:r>
              <w:rPr>
                <w:rFonts w:ascii="Arial" w:cs="Arial" w:eastAsia="Arial" w:hAnsi="Arial"/>
                <w:sz w:val="11"/>
                <w:szCs w:val="11"/>
                <w:color w:val="auto"/>
              </w:rPr>
              <w:t>(expense)</w:t>
            </w:r>
          </w:p>
        </w:tc>
        <w:tc>
          <w:tcPr>
            <w:tcW w:w="1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(532)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140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(381)</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tax benefit (expense)</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w:t>
            </w:r>
          </w:p>
        </w:tc>
      </w:tr>
      <w:tr>
        <w:trPr>
          <w:trHeight w:val="228"/>
        </w:trPr>
        <w:tc>
          <w:tcPr>
            <w:tcW w:w="3080" w:type="dxa"/>
            <w:vAlign w:val="bottom"/>
          </w:tcPr>
          <w:p>
            <w:pPr>
              <w:ind w:left="40"/>
              <w:spacing w:after="0"/>
              <w:rPr>
                <w:sz w:val="20"/>
                <w:szCs w:val="20"/>
                <w:color w:val="auto"/>
              </w:rPr>
            </w:pPr>
            <w:r>
              <w:rPr>
                <w:rFonts w:ascii="Arial" w:cs="Arial" w:eastAsia="Arial" w:hAnsi="Arial"/>
                <w:sz w:val="11"/>
                <w:szCs w:val="11"/>
                <w:color w:val="auto"/>
              </w:rPr>
              <w:t>Net (loss) income from continuing operations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(532)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(310)</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3080" w:type="dxa"/>
            <w:vAlign w:val="bottom"/>
            <w:shd w:val="clear" w:color="auto" w:fill="CCEEFF"/>
          </w:tcPr>
          <w:p>
            <w:pPr>
              <w:ind w:left="40"/>
              <w:spacing w:after="0"/>
              <w:rPr>
                <w:sz w:val="20"/>
                <w:szCs w:val="20"/>
                <w:color w:val="auto"/>
              </w:rPr>
            </w:pPr>
            <w:r>
              <w:rPr>
                <w:rFonts w:ascii="Arial" w:cs="Arial" w:eastAsia="Arial" w:hAnsi="Arial"/>
                <w:sz w:val="11"/>
                <w:szCs w:val="11"/>
                <w:color w:val="auto"/>
                <w:w w:val="95"/>
              </w:rPr>
              <w:t>Less: net (loss) income from continuing operations attributable to</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8"/>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non-controlling interests</w:t>
            </w: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(326)</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(281)</w:t>
            </w:r>
          </w:p>
        </w:tc>
      </w:tr>
      <w:tr>
        <w:trPr>
          <w:trHeight w:val="132"/>
        </w:trPr>
        <w:tc>
          <w:tcPr>
            <w:tcW w:w="3080" w:type="dxa"/>
            <w:vAlign w:val="bottom"/>
          </w:tcPr>
          <w:p>
            <w:pPr>
              <w:ind w:left="40"/>
              <w:spacing w:after="0"/>
              <w:rPr>
                <w:sz w:val="20"/>
                <w:szCs w:val="20"/>
                <w:color w:val="auto"/>
              </w:rPr>
            </w:pPr>
            <w:r>
              <w:rPr>
                <w:rFonts w:ascii="Arial" w:cs="Arial" w:eastAsia="Arial" w:hAnsi="Arial"/>
                <w:sz w:val="11"/>
                <w:szCs w:val="11"/>
                <w:color w:val="auto"/>
                <w:w w:val="94"/>
              </w:rPr>
              <w:t>Net (loss) income from continuing operations attributable to Icahn</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50"/>
        </w:trPr>
        <w:tc>
          <w:tcPr>
            <w:tcW w:w="3080" w:type="dxa"/>
            <w:vAlign w:val="bottom"/>
          </w:tcPr>
          <w:p>
            <w:pPr>
              <w:ind w:left="200"/>
              <w:spacing w:after="0"/>
              <w:rPr>
                <w:sz w:val="20"/>
                <w:szCs w:val="20"/>
                <w:color w:val="auto"/>
              </w:rPr>
            </w:pPr>
            <w:r>
              <w:rPr>
                <w:rFonts w:ascii="Arial" w:cs="Arial" w:eastAsia="Arial" w:hAnsi="Arial"/>
                <w:sz w:val="11"/>
                <w:szCs w:val="11"/>
                <w:color w:val="auto"/>
              </w:rPr>
              <w:t>Enterprises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(206)</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2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26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(29)</w:t>
            </w:r>
          </w:p>
        </w:tc>
      </w:tr>
      <w:tr>
        <w:trPr>
          <w:trHeight w:val="62"/>
        </w:trPr>
        <w:tc>
          <w:tcPr>
            <w:tcW w:w="30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3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3080" w:type="dxa"/>
            <w:vAlign w:val="bottom"/>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127</w:t>
            </w:r>
          </w:p>
        </w:tc>
      </w:tr>
      <w:tr>
        <w:trPr>
          <w:trHeight w:val="248"/>
        </w:trPr>
        <w:tc>
          <w:tcPr>
            <w:tcW w:w="3080" w:type="dxa"/>
            <w:vAlign w:val="bottom"/>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2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26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-1717675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-3107055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3" w:name="page34"/>
    <w:bookmarkEnd w:id="33"/>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40" w:type="dxa"/>
            <w:vAlign w:val="bottom"/>
            <w:gridSpan w:val="11"/>
          </w:tcPr>
          <w:p>
            <w:pPr>
              <w:jc w:val="center"/>
              <w:ind w:right="300"/>
              <w:spacing w:after="0"/>
              <w:rPr>
                <w:sz w:val="20"/>
                <w:szCs w:val="20"/>
                <w:color w:val="auto"/>
              </w:rPr>
            </w:pPr>
            <w:r>
              <w:rPr>
                <w:rFonts w:ascii="Arial" w:cs="Arial" w:eastAsia="Arial" w:hAnsi="Arial"/>
                <w:sz w:val="11"/>
                <w:szCs w:val="11"/>
                <w:b w:val="1"/>
                <w:bCs w:val="1"/>
                <w:color w:val="auto"/>
                <w:w w:val="88"/>
              </w:rPr>
              <w:t>Three Months Ended September 30, 2017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Real</w:t>
            </w:r>
          </w:p>
        </w:tc>
        <w:tc>
          <w:tcPr>
            <w:tcW w:w="100" w:type="dxa"/>
            <w:vAlign w:val="bottom"/>
          </w:tcPr>
          <w:p>
            <w:pPr>
              <w:spacing w:after="0"/>
              <w:rPr>
                <w:sz w:val="11"/>
                <w:szCs w:val="11"/>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Holding</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b w:val="1"/>
                <w:bCs w:val="1"/>
                <w:color w:val="auto"/>
                <w:w w:val="92"/>
              </w:rPr>
              <w:t>Railcar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b w:val="1"/>
                <w:bCs w:val="1"/>
                <w:color w:val="auto"/>
                <w:w w:val="87"/>
              </w:rPr>
              <w:t>Metals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4"/>
              </w:rPr>
              <w:t>Estate</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5"/>
          </w:tcPr>
          <w:p>
            <w:pPr>
              <w:jc w:val="center"/>
              <w:ind w:right="200"/>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3080" w:type="dxa"/>
            <w:vAlign w:val="bottom"/>
          </w:tcPr>
          <w:p>
            <w:pPr>
              <w:ind w:left="2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110</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2,404</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181</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420</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34</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Gain (loss)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446</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Other (loss) income, net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w:t>
            </w: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1,438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3,504</w:t>
            </w:r>
          </w:p>
        </w:tc>
      </w:tr>
      <w:tr>
        <w:trPr>
          <w:trHeight w:val="242"/>
        </w:trPr>
        <w:tc>
          <w:tcPr>
            <w:tcW w:w="3080" w:type="dxa"/>
            <w:vAlign w:val="bottom"/>
          </w:tcPr>
          <w:p>
            <w:pPr>
              <w:ind w:left="20"/>
              <w:spacing w:after="0"/>
              <w:rPr>
                <w:sz w:val="20"/>
                <w:szCs w:val="20"/>
                <w:color w:val="auto"/>
              </w:rPr>
            </w:pPr>
            <w:r>
              <w:rPr>
                <w:rFonts w:ascii="Arial" w:cs="Arial" w:eastAsia="Arial" w:hAnsi="Arial"/>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2,054</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144</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323</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Restructuring,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164</w:t>
            </w: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2,686</w:t>
            </w:r>
          </w:p>
        </w:tc>
      </w:tr>
      <w:tr>
        <w:trPr>
          <w:trHeight w:val="132"/>
        </w:trPr>
        <w:tc>
          <w:tcPr>
            <w:tcW w:w="3080" w:type="dxa"/>
            <w:vAlign w:val="bottom"/>
          </w:tcPr>
          <w:p>
            <w:pPr>
              <w:ind w:left="20"/>
              <w:spacing w:after="0"/>
              <w:rPr>
                <w:sz w:val="20"/>
                <w:szCs w:val="20"/>
                <w:color w:val="auto"/>
              </w:rPr>
            </w:pPr>
            <w:r>
              <w:rPr>
                <w:rFonts w:ascii="Arial" w:cs="Arial" w:eastAsia="Arial" w:hAnsi="Arial"/>
                <w:sz w:val="11"/>
                <w:szCs w:val="11"/>
                <w:color w:val="auto"/>
                <w:w w:val="93"/>
              </w:rPr>
              <w:t>Income (loss) from continuing operations before income tax benefit</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36"/>
        </w:trPr>
        <w:tc>
          <w:tcPr>
            <w:tcW w:w="3080" w:type="dxa"/>
            <w:vAlign w:val="bottom"/>
          </w:tcPr>
          <w:p>
            <w:pPr>
              <w:ind w:left="200"/>
              <w:spacing w:after="0"/>
              <w:rPr>
                <w:sz w:val="20"/>
                <w:szCs w:val="20"/>
                <w:color w:val="auto"/>
              </w:rPr>
            </w:pPr>
            <w:r>
              <w:rPr>
                <w:rFonts w:ascii="Arial" w:cs="Arial" w:eastAsia="Arial" w:hAnsi="Arial"/>
                <w:sz w:val="11"/>
                <w:szCs w:val="11"/>
                <w:color w:val="auto"/>
              </w:rPr>
              <w:t>(expense)</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359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(33)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498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818</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benefit (expense)</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w:t>
            </w:r>
          </w:p>
        </w:tc>
      </w:tr>
      <w:tr>
        <w:trPr>
          <w:trHeight w:val="228"/>
        </w:trPr>
        <w:tc>
          <w:tcPr>
            <w:tcW w:w="3080" w:type="dxa"/>
            <w:vAlign w:val="bottom"/>
          </w:tcPr>
          <w:p>
            <w:pPr>
              <w:ind w:left="20"/>
              <w:spacing w:after="0"/>
              <w:rPr>
                <w:sz w:val="20"/>
                <w:szCs w:val="20"/>
                <w:color w:val="auto"/>
              </w:rPr>
            </w:pPr>
            <w:r>
              <w:rPr>
                <w:rFonts w:ascii="Arial" w:cs="Arial" w:eastAsia="Arial" w:hAnsi="Arial"/>
                <w:sz w:val="11"/>
                <w:szCs w:val="11"/>
                <w:color w:val="auto"/>
              </w:rPr>
              <w:t>Net income (loss) from continuing operations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359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(16)</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498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800</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30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6"/>
              </w:rPr>
              <w:t>Less: net income (loss) from continuing operations attributable to</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8"/>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non-controlling interests</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221</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223</w:t>
            </w:r>
          </w:p>
        </w:tc>
      </w:tr>
      <w:tr>
        <w:trPr>
          <w:trHeight w:val="132"/>
        </w:trPr>
        <w:tc>
          <w:tcPr>
            <w:tcW w:w="3080" w:type="dxa"/>
            <w:vAlign w:val="bottom"/>
          </w:tcPr>
          <w:p>
            <w:pPr>
              <w:ind w:left="20"/>
              <w:spacing w:after="0"/>
              <w:rPr>
                <w:sz w:val="20"/>
                <w:szCs w:val="20"/>
                <w:color w:val="auto"/>
              </w:rPr>
            </w:pPr>
            <w:r>
              <w:rPr>
                <w:rFonts w:ascii="Arial" w:cs="Arial" w:eastAsia="Arial" w:hAnsi="Arial"/>
                <w:sz w:val="11"/>
                <w:szCs w:val="11"/>
                <w:color w:val="auto"/>
                <w:w w:val="95"/>
              </w:rPr>
              <w:t>Net income (loss) from continuing operations attributable to Icahn</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50"/>
        </w:trPr>
        <w:tc>
          <w:tcPr>
            <w:tcW w:w="3080" w:type="dxa"/>
            <w:vAlign w:val="bottom"/>
          </w:tcPr>
          <w:p>
            <w:pPr>
              <w:ind w:left="200"/>
              <w:spacing w:after="0"/>
              <w:rPr>
                <w:sz w:val="20"/>
                <w:szCs w:val="20"/>
                <w:color w:val="auto"/>
              </w:rPr>
            </w:pPr>
            <w:r>
              <w:rPr>
                <w:rFonts w:ascii="Arial" w:cs="Arial" w:eastAsia="Arial" w:hAnsi="Arial"/>
                <w:sz w:val="11"/>
                <w:szCs w:val="11"/>
                <w:color w:val="auto"/>
              </w:rPr>
              <w:t>Enterprises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138</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(16)</w:t>
            </w: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2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498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577</w:t>
            </w:r>
          </w:p>
        </w:tc>
      </w:tr>
      <w:tr>
        <w:trPr>
          <w:trHeight w:val="62"/>
        </w:trPr>
        <w:tc>
          <w:tcPr>
            <w:tcW w:w="30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3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102</w:t>
            </w:r>
          </w:p>
        </w:tc>
      </w:tr>
      <w:tr>
        <w:trPr>
          <w:trHeight w:val="248"/>
        </w:trPr>
        <w:tc>
          <w:tcPr>
            <w:tcW w:w="3080" w:type="dxa"/>
            <w:vAlign w:val="bottom"/>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26</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2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130</w:t>
            </w:r>
          </w:p>
        </w:tc>
      </w:tr>
      <w:tr>
        <w:trPr>
          <w:trHeight w:val="405"/>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40" w:type="dxa"/>
            <w:vAlign w:val="bottom"/>
            <w:gridSpan w:val="11"/>
          </w:tcPr>
          <w:p>
            <w:pPr>
              <w:jc w:val="center"/>
              <w:ind w:right="300"/>
              <w:spacing w:after="0"/>
              <w:rPr>
                <w:sz w:val="20"/>
                <w:szCs w:val="20"/>
                <w:color w:val="auto"/>
              </w:rPr>
            </w:pPr>
            <w:r>
              <w:rPr>
                <w:rFonts w:ascii="Arial" w:cs="Arial" w:eastAsia="Arial" w:hAnsi="Arial"/>
                <w:sz w:val="11"/>
                <w:szCs w:val="11"/>
                <w:b w:val="1"/>
                <w:bCs w:val="1"/>
                <w:color w:val="auto"/>
                <w:w w:val="89"/>
              </w:rPr>
              <w:t>Nine Months Ended September 30, 2018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Real</w:t>
            </w:r>
          </w:p>
        </w:tc>
        <w:tc>
          <w:tcPr>
            <w:tcW w:w="100" w:type="dxa"/>
            <w:vAlign w:val="bottom"/>
          </w:tcPr>
          <w:p>
            <w:pPr>
              <w:spacing w:after="0"/>
              <w:rPr>
                <w:sz w:val="11"/>
                <w:szCs w:val="11"/>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Holding</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b w:val="1"/>
                <w:bCs w:val="1"/>
                <w:color w:val="auto"/>
                <w:w w:val="92"/>
              </w:rPr>
              <w:t>Railcar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b w:val="1"/>
                <w:bCs w:val="1"/>
                <w:color w:val="auto"/>
                <w:w w:val="87"/>
              </w:rPr>
              <w:t>Metals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4"/>
              </w:rPr>
              <w:t>Estate</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5"/>
          </w:tcPr>
          <w:p>
            <w:pPr>
              <w:jc w:val="center"/>
              <w:ind w:right="200"/>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3080" w:type="dxa"/>
            <w:vAlign w:val="bottom"/>
          </w:tcPr>
          <w:p>
            <w:pPr>
              <w:ind w:left="2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1,760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194</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370</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8,220</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398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632</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328</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99</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(Loss) gain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65</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Other (loss) income, net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83</w:t>
            </w: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2,156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5,463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9,427</w:t>
            </w:r>
          </w:p>
        </w:tc>
      </w:tr>
      <w:tr>
        <w:trPr>
          <w:trHeight w:val="242"/>
        </w:trPr>
        <w:tc>
          <w:tcPr>
            <w:tcW w:w="3080" w:type="dxa"/>
            <w:vAlign w:val="bottom"/>
          </w:tcPr>
          <w:p>
            <w:pPr>
              <w:ind w:left="20"/>
              <w:spacing w:after="0"/>
              <w:rPr>
                <w:sz w:val="20"/>
                <w:szCs w:val="20"/>
                <w:color w:val="auto"/>
              </w:rPr>
            </w:pPr>
            <w:r>
              <w:rPr>
                <w:rFonts w:ascii="Arial" w:cs="Arial" w:eastAsia="Arial" w:hAnsi="Arial"/>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1,119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7,007</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352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490</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1,042</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Restructuring,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20</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407</w:t>
            </w: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2,259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363</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8,973</w:t>
            </w:r>
          </w:p>
        </w:tc>
      </w:tr>
      <w:tr>
        <w:trPr>
          <w:trHeight w:val="132"/>
        </w:trPr>
        <w:tc>
          <w:tcPr>
            <w:tcW w:w="3080" w:type="dxa"/>
            <w:vAlign w:val="bottom"/>
          </w:tcPr>
          <w:p>
            <w:pPr>
              <w:ind w:left="20"/>
              <w:spacing w:after="0"/>
              <w:rPr>
                <w:sz w:val="20"/>
                <w:szCs w:val="20"/>
                <w:color w:val="auto"/>
              </w:rPr>
            </w:pPr>
            <w:r>
              <w:rPr>
                <w:rFonts w:ascii="Arial" w:cs="Arial" w:eastAsia="Arial" w:hAnsi="Arial"/>
                <w:sz w:val="11"/>
                <w:szCs w:val="11"/>
                <w:color w:val="auto"/>
                <w:w w:val="93"/>
              </w:rPr>
              <w:t>Income (loss) from continuing operations before income tax benefit</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36"/>
        </w:trPr>
        <w:tc>
          <w:tcPr>
            <w:tcW w:w="3080" w:type="dxa"/>
            <w:vAlign w:val="bottom"/>
          </w:tcPr>
          <w:p>
            <w:pPr>
              <w:ind w:left="200"/>
              <w:spacing w:after="0"/>
              <w:rPr>
                <w:sz w:val="20"/>
                <w:szCs w:val="20"/>
                <w:color w:val="auto"/>
              </w:rPr>
            </w:pPr>
            <w:r>
              <w:rPr>
                <w:rFonts w:ascii="Arial" w:cs="Arial" w:eastAsia="Arial" w:hAnsi="Arial"/>
                <w:sz w:val="11"/>
                <w:szCs w:val="11"/>
                <w:color w:val="auto"/>
              </w:rPr>
              <w:t>(expense)</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266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(103)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329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93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(168)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454</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benefit (expense)</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w:t>
            </w:r>
          </w:p>
        </w:tc>
      </w:tr>
      <w:tr>
        <w:trPr>
          <w:trHeight w:val="228"/>
        </w:trPr>
        <w:tc>
          <w:tcPr>
            <w:tcW w:w="3080" w:type="dxa"/>
            <w:vAlign w:val="bottom"/>
          </w:tcPr>
          <w:p>
            <w:pPr>
              <w:ind w:left="20"/>
              <w:spacing w:after="0"/>
              <w:rPr>
                <w:sz w:val="20"/>
                <w:szCs w:val="20"/>
                <w:color w:val="auto"/>
              </w:rPr>
            </w:pPr>
            <w:r>
              <w:rPr>
                <w:rFonts w:ascii="Arial" w:cs="Arial" w:eastAsia="Arial" w:hAnsi="Arial"/>
                <w:sz w:val="11"/>
                <w:szCs w:val="11"/>
                <w:color w:val="auto"/>
              </w:rPr>
              <w:t>Net income (loss) from continuing operations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(65)</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8</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511</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30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6"/>
              </w:rPr>
              <w:t>Less: net income (loss) from continuing operations attributable to</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8"/>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non-controlling interests</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154</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106</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268</w:t>
            </w:r>
          </w:p>
        </w:tc>
      </w:tr>
      <w:tr>
        <w:trPr>
          <w:trHeight w:val="132"/>
        </w:trPr>
        <w:tc>
          <w:tcPr>
            <w:tcW w:w="3080" w:type="dxa"/>
            <w:vAlign w:val="bottom"/>
          </w:tcPr>
          <w:p>
            <w:pPr>
              <w:ind w:left="20"/>
              <w:spacing w:after="0"/>
              <w:rPr>
                <w:sz w:val="20"/>
                <w:szCs w:val="20"/>
                <w:color w:val="auto"/>
              </w:rPr>
            </w:pPr>
            <w:r>
              <w:rPr>
                <w:rFonts w:ascii="Arial" w:cs="Arial" w:eastAsia="Arial" w:hAnsi="Arial"/>
                <w:sz w:val="11"/>
                <w:szCs w:val="11"/>
                <w:color w:val="auto"/>
                <w:w w:val="95"/>
              </w:rPr>
              <w:t>Net income (loss) from continuing operations attributable to Icahn</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50"/>
        </w:trPr>
        <w:tc>
          <w:tcPr>
            <w:tcW w:w="3080" w:type="dxa"/>
            <w:vAlign w:val="bottom"/>
          </w:tcPr>
          <w:p>
            <w:pPr>
              <w:ind w:left="200"/>
              <w:spacing w:after="0"/>
              <w:rPr>
                <w:sz w:val="20"/>
                <w:szCs w:val="20"/>
                <w:color w:val="auto"/>
              </w:rPr>
            </w:pPr>
            <w:r>
              <w:rPr>
                <w:rFonts w:ascii="Arial" w:cs="Arial" w:eastAsia="Arial" w:hAnsi="Arial"/>
                <w:sz w:val="11"/>
                <w:szCs w:val="11"/>
                <w:color w:val="auto"/>
              </w:rPr>
              <w:t>Enterprises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112</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(65)</w:t>
            </w: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163</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2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87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243</w:t>
            </w:r>
          </w:p>
        </w:tc>
      </w:tr>
      <w:tr>
        <w:trPr>
          <w:trHeight w:val="62"/>
        </w:trPr>
        <w:tc>
          <w:tcPr>
            <w:tcW w:w="30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3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30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276</w:t>
            </w:r>
          </w:p>
        </w:tc>
      </w:tr>
      <w:tr>
        <w:trPr>
          <w:trHeight w:val="22"/>
        </w:trPr>
        <w:tc>
          <w:tcPr>
            <w:tcW w:w="3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-5376545</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-6508115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-7897495</wp:posOffset>
            </wp:positionV>
            <wp:extent cx="19551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-427990</wp:posOffset>
            </wp:positionV>
            <wp:extent cx="1955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-1560195</wp:posOffset>
            </wp:positionV>
            <wp:extent cx="1955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-2949575</wp:posOffset>
            </wp:positionV>
            <wp:extent cx="1955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70" w:orient="portrait"/>
          <w:cols w:equalWidth="0" w:num="1">
            <w:col w:w="11380"/>
          </w:cols>
          <w:pgMar w:left="260" w:top="337" w:right="259" w:bottom="0" w:gutter="0" w:footer="0" w:header="0"/>
        </w:sectPr>
      </w:pPr>
    </w:p>
    <w:bookmarkStart w:id="34" w:name="page35"/>
    <w:bookmarkEnd w:id="34"/>
    <w:p>
      <w:pPr>
        <w:spacing w:after="0"/>
        <w:tabs>
          <w:tab w:leader="none" w:pos="2880" w:val="left"/>
          <w:tab w:leader="none" w:pos="3460" w:val="left"/>
          <w:tab w:leader="none" w:pos="3840" w:val="left"/>
          <w:tab w:leader="none" w:pos="4400" w:val="left"/>
          <w:tab w:leader="none" w:pos="4780" w:val="left"/>
          <w:tab w:leader="none" w:pos="5060" w:val="left"/>
          <w:tab w:leader="none" w:pos="5500" w:val="left"/>
          <w:tab w:leader="none" w:pos="5840" w:val="left"/>
          <w:tab w:leader="none" w:pos="6220" w:val="left"/>
          <w:tab w:leader="none" w:pos="6540" w:val="left"/>
          <w:tab w:leader="none" w:pos="6900" w:val="left"/>
          <w:tab w:leader="none" w:pos="7260" w:val="left"/>
          <w:tab w:leader="none" w:pos="7560" w:val="left"/>
          <w:tab w:leader="none" w:pos="7980" w:val="left"/>
          <w:tab w:leader="none" w:pos="8340" w:val="left"/>
          <w:tab w:leader="none" w:pos="8520" w:val="left"/>
          <w:tab w:leader="none" w:pos="8880" w:val="left"/>
          <w:tab w:leader="none" w:pos="9240" w:val="left"/>
          <w:tab w:leader="none" w:pos="9540" w:val="left"/>
          <w:tab w:leader="none" w:pos="9960" w:val="left"/>
          <w:tab w:leader="none" w:pos="10300" w:val="left"/>
          <w:tab w:leader="none" w:pos="10900" w:val="left"/>
        </w:tabs>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72</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207</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46</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13</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6</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19</w:t>
      </w:r>
      <w:r>
        <w:rPr>
          <w:sz w:val="20"/>
          <w:szCs w:val="20"/>
          <w:color w:val="auto"/>
        </w:rPr>
        <w:tab/>
      </w:r>
      <w:r>
        <w:rPr>
          <w:rFonts w:ascii="Arial" w:cs="Arial" w:eastAsia="Arial" w:hAnsi="Arial"/>
          <w:sz w:val="11"/>
          <w:szCs w:val="11"/>
          <w:color w:val="auto"/>
        </w:rPr>
        <w:t>$</w:t>
        <w:tab/>
        <w:t>15</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6</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9"/>
          <w:szCs w:val="9"/>
          <w:color w:val="auto"/>
        </w:rPr>
        <w:t>384</w:t>
      </w:r>
    </w:p>
    <w:p>
      <w:pPr>
        <w:sectPr>
          <w:pgSz w:w="11900" w:h="16838" w:orient="portrait"/>
          <w:cols w:equalWidth="0" w:num="1">
            <w:col w:w="11080"/>
          </w:cols>
          <w:pgMar w:left="460" w:top="130" w:right="35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080"/>
          </w:cols>
          <w:pgMar w:left="460" w:top="130" w:right="359" w:bottom="1440" w:gutter="0" w:footer="0" w:header="0"/>
          <w:type w:val="continuous"/>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40" w:type="dxa"/>
            <w:vAlign w:val="bottom"/>
            <w:gridSpan w:val="11"/>
          </w:tcPr>
          <w:p>
            <w:pPr>
              <w:jc w:val="center"/>
              <w:ind w:right="300"/>
              <w:spacing w:after="0"/>
              <w:rPr>
                <w:sz w:val="20"/>
                <w:szCs w:val="20"/>
                <w:color w:val="auto"/>
              </w:rPr>
            </w:pPr>
            <w:r>
              <w:rPr>
                <w:rFonts w:ascii="Arial" w:cs="Arial" w:eastAsia="Arial" w:hAnsi="Arial"/>
                <w:sz w:val="11"/>
                <w:szCs w:val="11"/>
                <w:b w:val="1"/>
                <w:bCs w:val="1"/>
                <w:color w:val="auto"/>
                <w:w w:val="89"/>
              </w:rPr>
              <w:t>Nine Months Ended September 30, 2017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Real</w:t>
            </w:r>
          </w:p>
        </w:tc>
        <w:tc>
          <w:tcPr>
            <w:tcW w:w="100" w:type="dxa"/>
            <w:vAlign w:val="bottom"/>
          </w:tcPr>
          <w:p>
            <w:pPr>
              <w:spacing w:after="0"/>
              <w:rPr>
                <w:sz w:val="11"/>
                <w:szCs w:val="11"/>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Holding</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b w:val="1"/>
                <w:bCs w:val="1"/>
                <w:color w:val="auto"/>
                <w:w w:val="92"/>
              </w:rPr>
              <w:t>Railcar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b w:val="1"/>
                <w:bCs w:val="1"/>
                <w:color w:val="auto"/>
                <w:w w:val="87"/>
              </w:rPr>
              <w:t>Metals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4"/>
              </w:rPr>
              <w:t>Estate</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5"/>
          </w:tcPr>
          <w:p>
            <w:pPr>
              <w:jc w:val="center"/>
              <w:ind w:right="200"/>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3080" w:type="dxa"/>
            <w:vAlign w:val="bottom"/>
          </w:tcPr>
          <w:p>
            <w:pPr>
              <w:ind w:left="2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1,702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184</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315</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7,107</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329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705</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604</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94</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Gain (loss)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1,969</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Other (loss) income, net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(11)</w:t>
            </w: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2,035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314</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10,468</w:t>
            </w:r>
          </w:p>
        </w:tc>
      </w:tr>
      <w:tr>
        <w:trPr>
          <w:trHeight w:val="242"/>
        </w:trPr>
        <w:tc>
          <w:tcPr>
            <w:tcW w:w="3080" w:type="dxa"/>
            <w:vAlign w:val="bottom"/>
          </w:tcPr>
          <w:p>
            <w:pPr>
              <w:ind w:left="20"/>
              <w:spacing w:after="0"/>
              <w:rPr>
                <w:sz w:val="20"/>
                <w:szCs w:val="20"/>
                <w:color w:val="auto"/>
              </w:rPr>
            </w:pPr>
            <w:r>
              <w:rPr>
                <w:rFonts w:ascii="Arial" w:cs="Arial" w:eastAsia="Arial" w:hAnsi="Arial"/>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1,125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6,174</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326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469</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945</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Restructuring,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76</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525</w:t>
            </w: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2,124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4,378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313</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8,192</w:t>
            </w:r>
          </w:p>
        </w:tc>
      </w:tr>
      <w:tr>
        <w:trPr>
          <w:trHeight w:val="132"/>
        </w:trPr>
        <w:tc>
          <w:tcPr>
            <w:tcW w:w="3080" w:type="dxa"/>
            <w:vAlign w:val="bottom"/>
          </w:tcPr>
          <w:p>
            <w:pPr>
              <w:ind w:left="20"/>
              <w:spacing w:after="0"/>
              <w:rPr>
                <w:sz w:val="20"/>
                <w:szCs w:val="20"/>
                <w:color w:val="auto"/>
              </w:rPr>
            </w:pPr>
            <w:r>
              <w:rPr>
                <w:rFonts w:ascii="Arial" w:cs="Arial" w:eastAsia="Arial" w:hAnsi="Arial"/>
                <w:sz w:val="11"/>
                <w:szCs w:val="11"/>
                <w:color w:val="auto"/>
                <w:w w:val="93"/>
              </w:rPr>
              <w:t>Income (loss) from continuing operations before income tax benefit</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36"/>
        </w:trPr>
        <w:tc>
          <w:tcPr>
            <w:tcW w:w="3080" w:type="dxa"/>
            <w:vAlign w:val="bottom"/>
          </w:tcPr>
          <w:p>
            <w:pPr>
              <w:ind w:left="200"/>
              <w:spacing w:after="0"/>
              <w:rPr>
                <w:sz w:val="20"/>
                <w:szCs w:val="20"/>
                <w:color w:val="auto"/>
              </w:rPr>
            </w:pPr>
            <w:r>
              <w:rPr>
                <w:rFonts w:ascii="Arial" w:cs="Arial" w:eastAsia="Arial" w:hAnsi="Arial"/>
                <w:sz w:val="11"/>
                <w:szCs w:val="11"/>
                <w:color w:val="auto"/>
              </w:rPr>
              <w:t>(expense)</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440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(89)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1,599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500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(202)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2,276</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benefit (expense)</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w:t>
            </w:r>
          </w:p>
        </w:tc>
      </w:tr>
      <w:tr>
        <w:trPr>
          <w:trHeight w:val="228"/>
        </w:trPr>
        <w:tc>
          <w:tcPr>
            <w:tcW w:w="3080" w:type="dxa"/>
            <w:vAlign w:val="bottom"/>
          </w:tcPr>
          <w:p>
            <w:pPr>
              <w:ind w:left="20"/>
              <w:spacing w:after="0"/>
              <w:rPr>
                <w:sz w:val="20"/>
                <w:szCs w:val="20"/>
                <w:color w:val="auto"/>
              </w:rPr>
            </w:pPr>
            <w:r>
              <w:rPr>
                <w:rFonts w:ascii="Arial" w:cs="Arial" w:eastAsia="Arial" w:hAnsi="Arial"/>
                <w:sz w:val="11"/>
                <w:szCs w:val="11"/>
                <w:color w:val="auto"/>
              </w:rPr>
              <w:t>Net income (loss) from continuing operations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440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(36)</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1,074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500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259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2,263</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30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6"/>
              </w:rPr>
              <w:t>Less: net income (loss) from continuing operations attributable to</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8"/>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non-controlling interests</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228</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236</w:t>
            </w:r>
          </w:p>
        </w:tc>
      </w:tr>
      <w:tr>
        <w:trPr>
          <w:trHeight w:val="132"/>
        </w:trPr>
        <w:tc>
          <w:tcPr>
            <w:tcW w:w="3080" w:type="dxa"/>
            <w:vAlign w:val="bottom"/>
          </w:tcPr>
          <w:p>
            <w:pPr>
              <w:ind w:left="20"/>
              <w:spacing w:after="0"/>
              <w:rPr>
                <w:sz w:val="20"/>
                <w:szCs w:val="20"/>
                <w:color w:val="auto"/>
              </w:rPr>
            </w:pPr>
            <w:r>
              <w:rPr>
                <w:rFonts w:ascii="Arial" w:cs="Arial" w:eastAsia="Arial" w:hAnsi="Arial"/>
                <w:sz w:val="11"/>
                <w:szCs w:val="11"/>
                <w:color w:val="auto"/>
                <w:w w:val="95"/>
              </w:rPr>
              <w:t>Net income (loss) from continuing operations attributable to Icahn</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50"/>
        </w:trPr>
        <w:tc>
          <w:tcPr>
            <w:tcW w:w="3080" w:type="dxa"/>
            <w:vAlign w:val="bottom"/>
          </w:tcPr>
          <w:p>
            <w:pPr>
              <w:ind w:left="200"/>
              <w:spacing w:after="0"/>
              <w:rPr>
                <w:sz w:val="20"/>
                <w:szCs w:val="20"/>
                <w:color w:val="auto"/>
              </w:rPr>
            </w:pPr>
            <w:r>
              <w:rPr>
                <w:rFonts w:ascii="Arial" w:cs="Arial" w:eastAsia="Arial" w:hAnsi="Arial"/>
                <w:sz w:val="11"/>
                <w:szCs w:val="11"/>
                <w:color w:val="auto"/>
              </w:rPr>
              <w:t>Enterprises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212</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(36)</w:t>
            </w: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1,063</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2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500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259</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2,027</w:t>
            </w:r>
          </w:p>
        </w:tc>
      </w:tr>
      <w:tr>
        <w:trPr>
          <w:trHeight w:val="62"/>
        </w:trPr>
        <w:tc>
          <w:tcPr>
            <w:tcW w:w="30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3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139</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333</w:t>
            </w:r>
          </w:p>
        </w:tc>
      </w:tr>
      <w:tr>
        <w:trPr>
          <w:trHeight w:val="248"/>
        </w:trPr>
        <w:tc>
          <w:tcPr>
            <w:tcW w:w="3080" w:type="dxa"/>
            <w:vAlign w:val="bottom"/>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81</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208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51</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2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-585470</wp:posOffset>
            </wp:positionV>
            <wp:extent cx="1955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-1717675</wp:posOffset>
            </wp:positionV>
            <wp:extent cx="1955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-3107055</wp:posOffset>
            </wp:positionV>
            <wp:extent cx="19551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180" w:right="160" w:hanging="172"/>
        <w:spacing w:after="0" w:line="273" w:lineRule="auto"/>
        <w:tabs>
          <w:tab w:leader="none" w:pos="180" w:val="left"/>
        </w:tabs>
        <w:numPr>
          <w:ilvl w:val="0"/>
          <w:numId w:val="14"/>
        </w:numPr>
        <w:rPr>
          <w:rFonts w:ascii="Arial" w:cs="Arial" w:eastAsia="Arial" w:hAnsi="Arial"/>
          <w:sz w:val="9"/>
          <w:szCs w:val="9"/>
          <w:color w:val="auto"/>
        </w:rPr>
      </w:pPr>
      <w:r>
        <w:rPr>
          <w:rFonts w:ascii="Arial" w:cs="Arial" w:eastAsia="Arial" w:hAnsi="Arial"/>
          <w:sz w:val="14"/>
          <w:szCs w:val="14"/>
          <w:color w:val="auto"/>
        </w:rPr>
        <w:t>Excludes amounts related to the amortization of deferred financing costs and debt discounts and premiums included in interest expense in the amounts of $3 million and $2 million for the three months ended September 30, 2018 and 2017, respectively, and $5 million and $8 million for the nine months ended September 30, 2018 and 2017,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addition to the condensed statements of operations by reporting segment above, we provide additional disaggregated revenue information for certain reportable segments below. Refer to Note 2, "Basis of Presentation and Summary of Significant Accounting Policies," for certain revenue recognition policies with respect to the following reporting segments.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Disaggregated revenue for our Automotive segment net sales and other revenues from operations is presented below:</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32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Nine Months Ended</w:t>
            </w:r>
          </w:p>
        </w:tc>
        <w:tc>
          <w:tcPr>
            <w:tcW w:w="1100" w:type="dxa"/>
            <w:vAlign w:val="bottom"/>
          </w:tcPr>
          <w:p>
            <w:pPr>
              <w:spacing w:after="0"/>
              <w:rPr>
                <w:sz w:val="18"/>
                <w:szCs w:val="18"/>
                <w:color w:val="auto"/>
              </w:rPr>
            </w:pPr>
          </w:p>
        </w:tc>
      </w:tr>
      <w:tr>
        <w:trPr>
          <w:trHeight w:val="234"/>
        </w:trPr>
        <w:tc>
          <w:tcPr>
            <w:tcW w:w="3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w w:val="99"/>
              </w:rPr>
              <w:t>September 30,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Pr>
          <w:p>
            <w:pPr>
              <w:spacing w:after="0"/>
              <w:rPr>
                <w:sz w:val="20"/>
                <w:szCs w:val="20"/>
                <w:color w:val="auto"/>
              </w:rPr>
            </w:pPr>
          </w:p>
        </w:tc>
      </w:tr>
      <w:tr>
        <w:trPr>
          <w:trHeight w:val="27"/>
        </w:trPr>
        <w:tc>
          <w:tcPr>
            <w:tcW w:w="37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63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37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760" w:type="dxa"/>
            <w:vAlign w:val="bottom"/>
            <w:gridSpan w:val="3"/>
          </w:tcPr>
          <w:p>
            <w:pPr>
              <w:jc w:val="right"/>
              <w:ind w:right="690"/>
              <w:spacing w:after="0"/>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services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Commercial sales</w:t>
            </w:r>
          </w:p>
        </w:tc>
        <w:tc>
          <w:tcPr>
            <w:tcW w:w="12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740</w:t>
            </w:r>
          </w:p>
        </w:tc>
      </w:tr>
      <w:tr>
        <w:trPr>
          <w:trHeight w:val="27"/>
        </w:trPr>
        <w:tc>
          <w:tcPr>
            <w:tcW w:w="3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 sales</w:t>
            </w:r>
          </w:p>
        </w:tc>
        <w:tc>
          <w:tcPr>
            <w:tcW w:w="1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r>
      <w:tr>
        <w:trPr>
          <w:trHeight w:val="237"/>
        </w:trPr>
        <w:tc>
          <w:tcPr>
            <w:tcW w:w="3760" w:type="dxa"/>
            <w:vAlign w:val="bottom"/>
          </w:tcPr>
          <w:p>
            <w:pPr>
              <w:spacing w:after="0"/>
              <w:rPr>
                <w:sz w:val="20"/>
                <w:szCs w:val="20"/>
                <w:color w:val="auto"/>
              </w:rPr>
            </w:pP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2,031</w:t>
            </w:r>
          </w:p>
        </w:tc>
      </w:tr>
      <w:tr>
        <w:trPr>
          <w:trHeight w:val="27"/>
        </w:trPr>
        <w:tc>
          <w:tcPr>
            <w:tcW w:w="37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As discussed in Note 1, "Description of Business," we adopted FASB ASC Topic 606 effective January 1, 2018 which affected the revenue recognized on the of sale of goods on a drop ship basis. Beginning in 2018, revenue from drop ship sales is recorded on a net basis and for prior periods was recorded on a gross basis. Prior periods were not adjusted for the adoption of FASB ASC Topic 606 in our condensed consolidated financial statements. Therefore, for the three months ended September 30, 2017, our Automotive segment's commercial sales and costs of goods sold would each have been lower by $14 million under current accounting principles. For the nine months ended September 30, 2017, commercial sales and cost of goods sold would each have been lower by $50 million.</w:t>
      </w:r>
    </w:p>
    <w:p>
      <w:pPr>
        <w:sectPr>
          <w:pgSz w:w="11900" w:h="16838" w:orient="portrait"/>
          <w:cols w:equalWidth="0" w:num="1">
            <w:col w:w="11400"/>
          </w:cols>
          <w:pgMar w:left="240" w:top="337" w:right="259" w:bottom="73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337" w:right="259" w:bottom="730" w:gutter="0" w:footer="0" w:header="0"/>
          <w:type w:val="continuous"/>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Disaggregated revenue for our Energy segment net sales is presented below:</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31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 Ended</w:t>
            </w:r>
          </w:p>
        </w:tc>
        <w:tc>
          <w:tcPr>
            <w:tcW w:w="1100" w:type="dxa"/>
            <w:vAlign w:val="bottom"/>
          </w:tcPr>
          <w:p>
            <w:pPr>
              <w:spacing w:after="0"/>
              <w:rPr>
                <w:sz w:val="18"/>
                <w:szCs w:val="18"/>
                <w:color w:val="auto"/>
              </w:rPr>
            </w:pPr>
          </w:p>
        </w:tc>
      </w:tr>
      <w:tr>
        <w:trPr>
          <w:trHeight w:val="234"/>
        </w:trPr>
        <w:tc>
          <w:tcPr>
            <w:tcW w:w="3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2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w w:val="99"/>
              </w:rPr>
              <w:t>September 30,</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Pr>
          <w:p>
            <w:pPr>
              <w:spacing w:after="0"/>
              <w:rPr>
                <w:sz w:val="20"/>
                <w:szCs w:val="20"/>
                <w:color w:val="auto"/>
              </w:rPr>
            </w:pPr>
          </w:p>
        </w:tc>
      </w:tr>
      <w:tr>
        <w:trPr>
          <w:trHeight w:val="27"/>
        </w:trPr>
        <w:tc>
          <w:tcPr>
            <w:tcW w:w="37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63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37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Petroleum products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1,855</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5,133</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4,142</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Nitrogen fertilizer products</w:t>
            </w:r>
          </w:p>
        </w:tc>
        <w:tc>
          <w:tcPr>
            <w:tcW w:w="12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253</w:t>
            </w:r>
          </w:p>
        </w:tc>
      </w:tr>
      <w:tr>
        <w:trPr>
          <w:trHeight w:val="27"/>
        </w:trPr>
        <w:tc>
          <w:tcPr>
            <w:tcW w:w="37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37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5,386</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4,395</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12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Icahn Enterprises' condensed balance sheets by reporting segment are presented below. Icahn Enterprises Holdings' condensed balance sheets are substantially the same, with immaterial differences relating to our Holding Company's other assets, debt and equity attributable to Icahn Enterprises Holdings.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5"/>
          </w:tcPr>
          <w:p>
            <w:pPr>
              <w:jc w:val="center"/>
              <w:ind w:right="200"/>
              <w:spacing w:after="0"/>
              <w:rPr>
                <w:sz w:val="20"/>
                <w:szCs w:val="20"/>
                <w:color w:val="auto"/>
              </w:rPr>
            </w:pPr>
            <w:r>
              <w:rPr>
                <w:rFonts w:ascii="Arial" w:cs="Arial" w:eastAsia="Arial" w:hAnsi="Arial"/>
                <w:sz w:val="11"/>
                <w:szCs w:val="11"/>
                <w:b w:val="1"/>
                <w:bCs w:val="1"/>
                <w:color w:val="auto"/>
                <w:w w:val="87"/>
              </w:rPr>
              <w:t>September 30, 2018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80" w:type="dxa"/>
            <w:vAlign w:val="bottom"/>
          </w:tcPr>
          <w:p>
            <w:pPr>
              <w:spacing w:after="0"/>
              <w:rPr>
                <w:sz w:val="11"/>
                <w:szCs w:val="11"/>
                <w:color w:val="auto"/>
              </w:rPr>
            </w:pPr>
          </w:p>
        </w:tc>
        <w:tc>
          <w:tcPr>
            <w:tcW w:w="4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4"/>
              </w:rPr>
              <w:t>Real</w:t>
            </w:r>
          </w:p>
        </w:tc>
        <w:tc>
          <w:tcPr>
            <w:tcW w:w="100" w:type="dxa"/>
            <w:vAlign w:val="bottom"/>
          </w:tcPr>
          <w:p>
            <w:pPr>
              <w:spacing w:after="0"/>
              <w:rPr>
                <w:sz w:val="11"/>
                <w:szCs w:val="11"/>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Holding</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Discontinued</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58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80" w:type="dxa"/>
            <w:vAlign w:val="bottom"/>
          </w:tcPr>
          <w:p>
            <w:pPr>
              <w:spacing w:after="0"/>
              <w:rPr>
                <w:sz w:val="12"/>
                <w:szCs w:val="12"/>
                <w:color w:val="auto"/>
              </w:rPr>
            </w:pPr>
          </w:p>
        </w:tc>
        <w:tc>
          <w:tcPr>
            <w:tcW w:w="4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Estate</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Operations</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5"/>
          </w:tcPr>
          <w:p>
            <w:pPr>
              <w:jc w:val="center"/>
              <w:ind w:right="200"/>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060" w:type="dxa"/>
            <w:vAlign w:val="bottom"/>
          </w:tcPr>
          <w:p>
            <w:pPr>
              <w:ind w:left="82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1,053</w:t>
            </w:r>
          </w:p>
        </w:tc>
      </w:tr>
      <w:tr>
        <w:trPr>
          <w:trHeight w:val="139"/>
        </w:trPr>
        <w:tc>
          <w:tcPr>
            <w:tcW w:w="2060" w:type="dxa"/>
            <w:vAlign w:val="bottom"/>
          </w:tcPr>
          <w:p>
            <w:pPr>
              <w:ind w:left="20"/>
              <w:spacing w:after="0"/>
              <w:rPr>
                <w:sz w:val="20"/>
                <w:szCs w:val="20"/>
                <w:color w:val="auto"/>
              </w:rPr>
            </w:pPr>
            <w:r>
              <w:rPr>
                <w:rFonts w:ascii="Arial" w:cs="Arial" w:eastAsia="Arial" w:hAnsi="Arial"/>
                <w:sz w:val="11"/>
                <w:szCs w:val="11"/>
                <w:color w:val="auto"/>
              </w:rPr>
              <w:t>Cash held at consolidated affiliated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060" w:type="dxa"/>
            <w:vAlign w:val="bottom"/>
          </w:tcPr>
          <w:p>
            <w:pPr>
              <w:ind w:left="200"/>
              <w:spacing w:after="0"/>
              <w:rPr>
                <w:sz w:val="20"/>
                <w:szCs w:val="20"/>
                <w:color w:val="auto"/>
              </w:rPr>
            </w:pPr>
            <w:r>
              <w:rPr>
                <w:rFonts w:ascii="Arial" w:cs="Arial" w:eastAsia="Arial" w:hAnsi="Arial"/>
                <w:sz w:val="11"/>
                <w:szCs w:val="11"/>
                <w:color w:val="auto"/>
              </w:rPr>
              <w:t>partnerships and restricted cash</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637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141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801</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8,711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9,332</w:t>
            </w:r>
          </w:p>
        </w:tc>
      </w:tr>
      <w:tr>
        <w:trPr>
          <w:trHeight w:val="248"/>
        </w:trPr>
        <w:tc>
          <w:tcPr>
            <w:tcW w:w="2060" w:type="dxa"/>
            <w:vAlign w:val="bottom"/>
          </w:tcPr>
          <w:p>
            <w:pPr>
              <w:ind w:left="2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700</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1,961</w:t>
            </w:r>
          </w:p>
        </w:tc>
      </w:tr>
      <w:tr>
        <w:trPr>
          <w:trHeight w:val="248"/>
        </w:trPr>
        <w:tc>
          <w:tcPr>
            <w:tcW w:w="2060" w:type="dxa"/>
            <w:vAlign w:val="bottom"/>
          </w:tcPr>
          <w:p>
            <w:pPr>
              <w:ind w:left="2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3,049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1,231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167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392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6,179</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849</w:t>
            </w:r>
          </w:p>
        </w:tc>
      </w:tr>
      <w:tr>
        <w:trPr>
          <w:trHeight w:val="248"/>
        </w:trPr>
        <w:tc>
          <w:tcPr>
            <w:tcW w:w="2060" w:type="dxa"/>
            <w:vAlign w:val="bottom"/>
          </w:tcPr>
          <w:p>
            <w:pPr>
              <w:ind w:left="20"/>
              <w:spacing w:after="0"/>
              <w:rPr>
                <w:sz w:val="20"/>
                <w:szCs w:val="20"/>
                <w:color w:val="auto"/>
              </w:rPr>
            </w:pPr>
            <w:r>
              <w:rPr>
                <w:rFonts w:ascii="Arial" w:cs="Arial" w:eastAsia="Arial" w:hAnsi="Arial"/>
                <w:sz w:val="11"/>
                <w:szCs w:val="11"/>
                <w:color w:val="auto"/>
              </w:rPr>
              <w:t>Assets held for sale</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8,857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8,891</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1,209</w:t>
            </w:r>
          </w:p>
        </w:tc>
      </w:tr>
      <w:tr>
        <w:trPr>
          <w:trHeight w:val="272"/>
        </w:trPr>
        <w:tc>
          <w:tcPr>
            <w:tcW w:w="206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9,748</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3,164</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4,852</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1,498</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233</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290</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515</w:t>
            </w:r>
          </w:p>
        </w:tc>
        <w:tc>
          <w:tcPr>
            <w:tcW w:w="12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87"/>
              </w:rPr>
              <w:t>1,026</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175</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617</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8,857</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30,975</w:t>
            </w:r>
          </w:p>
        </w:tc>
      </w:tr>
      <w:tr>
        <w:trPr>
          <w:trHeight w:val="235"/>
        </w:trPr>
        <w:tc>
          <w:tcPr>
            <w:tcW w:w="2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139"/>
        </w:trPr>
        <w:tc>
          <w:tcPr>
            <w:tcW w:w="2060" w:type="dxa"/>
            <w:vAlign w:val="bottom"/>
          </w:tcPr>
          <w:p>
            <w:pPr>
              <w:ind w:left="20"/>
              <w:spacing w:after="0"/>
              <w:rPr>
                <w:sz w:val="20"/>
                <w:szCs w:val="20"/>
                <w:color w:val="auto"/>
              </w:rPr>
            </w:pPr>
            <w:r>
              <w:rPr>
                <w:rFonts w:ascii="Arial" w:cs="Arial" w:eastAsia="Arial" w:hAnsi="Arial"/>
                <w:sz w:val="11"/>
                <w:szCs w:val="11"/>
                <w:color w:val="auto"/>
                <w:w w:val="99"/>
              </w:rPr>
              <w:t>Accounts payable, accrued expenses and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060" w:type="dxa"/>
            <w:vAlign w:val="bottom"/>
          </w:tcPr>
          <w:p>
            <w:pPr>
              <w:ind w:left="200"/>
              <w:spacing w:after="0"/>
              <w:rPr>
                <w:sz w:val="20"/>
                <w:szCs w:val="20"/>
                <w:color w:val="auto"/>
              </w:rPr>
            </w:pPr>
            <w:r>
              <w:rPr>
                <w:rFonts w:ascii="Arial" w:cs="Arial" w:eastAsia="Arial" w:hAnsi="Arial"/>
                <w:sz w:val="11"/>
                <w:szCs w:val="11"/>
                <w:color w:val="auto"/>
              </w:rPr>
              <w:t>other liabilities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1,078</w:t>
            </w:r>
          </w:p>
        </w:tc>
        <w:tc>
          <w:tcPr>
            <w:tcW w:w="1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914</w:t>
            </w:r>
          </w:p>
        </w:tc>
        <w:tc>
          <w:tcPr>
            <w:tcW w:w="1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1,147</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295</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53</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48</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168</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3,866</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2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Securities sold, not yet purchased, at fair</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38"/>
        </w:trPr>
        <w:tc>
          <w:tcPr>
            <w:tcW w:w="2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value</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625</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625</w:t>
            </w:r>
          </w:p>
        </w:tc>
      </w:tr>
      <w:tr>
        <w:trPr>
          <w:trHeight w:val="248"/>
        </w:trPr>
        <w:tc>
          <w:tcPr>
            <w:tcW w:w="2060" w:type="dxa"/>
            <w:vAlign w:val="bottom"/>
          </w:tcPr>
          <w:p>
            <w:pPr>
              <w:ind w:left="20"/>
              <w:spacing w:after="0"/>
              <w:rPr>
                <w:sz w:val="20"/>
                <w:szCs w:val="20"/>
                <w:color w:val="auto"/>
              </w:rPr>
            </w:pPr>
            <w:r>
              <w:rPr>
                <w:rFonts w:ascii="Arial" w:cs="Arial" w:eastAsia="Arial" w:hAnsi="Arial"/>
                <w:sz w:val="11"/>
                <w:szCs w:val="11"/>
                <w:color w:val="auto"/>
              </w:rPr>
              <w:t>Due to brokers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243</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Liabilities held for sale</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5,998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5,998</w:t>
            </w:r>
          </w:p>
        </w:tc>
      </w:tr>
      <w:tr>
        <w:trPr>
          <w:trHeight w:val="248"/>
        </w:trPr>
        <w:tc>
          <w:tcPr>
            <w:tcW w:w="2060" w:type="dxa"/>
            <w:vAlign w:val="bottom"/>
          </w:tcPr>
          <w:p>
            <w:pPr>
              <w:ind w:left="20"/>
              <w:spacing w:after="0"/>
              <w:rPr>
                <w:sz w:val="20"/>
                <w:szCs w:val="20"/>
                <w:color w:val="auto"/>
              </w:rPr>
            </w:pPr>
            <w:r>
              <w:rPr>
                <w:rFonts w:ascii="Arial" w:cs="Arial" w:eastAsia="Arial" w:hAnsi="Arial"/>
                <w:sz w:val="11"/>
                <w:szCs w:val="11"/>
                <w:color w:val="auto"/>
              </w:rPr>
              <w:t>Debt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271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5,505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7,907</w:t>
            </w:r>
          </w:p>
        </w:tc>
      </w:tr>
      <w:tr>
        <w:trPr>
          <w:trHeight w:val="22"/>
        </w:trPr>
        <w:tc>
          <w:tcPr>
            <w:tcW w:w="2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5,998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18,639</w:t>
            </w:r>
          </w:p>
        </w:tc>
      </w:tr>
      <w:tr>
        <w:trPr>
          <w:trHeight w:val="115"/>
        </w:trPr>
        <w:tc>
          <w:tcPr>
            <w:tcW w:w="20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(4,960)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5,612</w:t>
            </w:r>
          </w:p>
        </w:tc>
      </w:tr>
      <w:tr>
        <w:trPr>
          <w:trHeight w:val="139"/>
        </w:trPr>
        <w:tc>
          <w:tcPr>
            <w:tcW w:w="2060" w:type="dxa"/>
            <w:vAlign w:val="bottom"/>
          </w:tcPr>
          <w:p>
            <w:pPr>
              <w:ind w:left="20"/>
              <w:spacing w:after="0"/>
              <w:rPr>
                <w:sz w:val="20"/>
                <w:szCs w:val="20"/>
                <w:color w:val="auto"/>
              </w:rPr>
            </w:pPr>
            <w:r>
              <w:rPr>
                <w:rFonts w:ascii="Arial" w:cs="Arial" w:eastAsia="Arial" w:hAnsi="Arial"/>
                <w:sz w:val="11"/>
                <w:szCs w:val="11"/>
                <w:color w:val="auto"/>
              </w:rPr>
              <w:t>Equity attributable to non-controlling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060" w:type="dxa"/>
            <w:vAlign w:val="bottom"/>
          </w:tcPr>
          <w:p>
            <w:pPr>
              <w:ind w:left="200"/>
              <w:spacing w:after="0"/>
              <w:rPr>
                <w:sz w:val="20"/>
                <w:szCs w:val="20"/>
                <w:color w:val="auto"/>
              </w:rPr>
            </w:pPr>
            <w:r>
              <w:rPr>
                <w:rFonts w:ascii="Arial" w:cs="Arial" w:eastAsia="Arial" w:hAnsi="Arial"/>
                <w:sz w:val="11"/>
                <w:szCs w:val="11"/>
                <w:color w:val="auto"/>
              </w:rPr>
              <w:t>interests</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4,799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1,306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255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6,724</w:t>
            </w:r>
          </w:p>
        </w:tc>
      </w:tr>
      <w:tr>
        <w:trPr>
          <w:trHeight w:val="22"/>
        </w:trPr>
        <w:tc>
          <w:tcPr>
            <w:tcW w:w="2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equity</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7,802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(4,953)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12,336</w:t>
            </w:r>
          </w:p>
        </w:tc>
      </w:tr>
      <w:tr>
        <w:trPr>
          <w:trHeight w:val="232"/>
        </w:trPr>
        <w:tc>
          <w:tcPr>
            <w:tcW w:w="2060" w:type="dxa"/>
            <w:vAlign w:val="bottom"/>
          </w:tcPr>
          <w:p>
            <w:pPr>
              <w:ind w:left="100"/>
              <w:spacing w:after="0"/>
              <w:rPr>
                <w:sz w:val="20"/>
                <w:szCs w:val="20"/>
                <w:color w:val="auto"/>
              </w:rPr>
            </w:pPr>
            <w:r>
              <w:rPr>
                <w:rFonts w:ascii="Arial" w:cs="Arial" w:eastAsia="Arial" w:hAnsi="Arial"/>
                <w:sz w:val="11"/>
                <w:szCs w:val="11"/>
                <w:color w:val="auto"/>
              </w:rPr>
              <w:t>Total liabilities and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9,748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3,164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4,852</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1,498</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233</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290</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515</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87"/>
              </w:rPr>
              <w:t>1,026</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175</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617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8,857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30,975</w:t>
            </w:r>
          </w:p>
        </w:tc>
      </w:tr>
      <w:tr>
        <w:trPr>
          <w:trHeight w:val="20"/>
        </w:trPr>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337" w:right="25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1"/>
                <w:szCs w:val="11"/>
                <w:b w:val="1"/>
                <w:bCs w:val="1"/>
                <w:color w:val="auto"/>
                <w:w w:val="86"/>
              </w:rPr>
              <w:t>December 31, 2017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Real</w:t>
            </w:r>
          </w:p>
        </w:tc>
        <w:tc>
          <w:tcPr>
            <w:tcW w:w="100" w:type="dxa"/>
            <w:vAlign w:val="bottom"/>
          </w:tcPr>
          <w:p>
            <w:pPr>
              <w:spacing w:after="0"/>
              <w:rPr>
                <w:sz w:val="11"/>
                <w:szCs w:val="11"/>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Holding</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Discontinued</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4"/>
              </w:rPr>
              <w:t>Estate</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Operations</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060" w:type="dxa"/>
            <w:vAlign w:val="bottom"/>
          </w:tcPr>
          <w:p>
            <w:pPr>
              <w:ind w:left="82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1,264</w:t>
            </w:r>
          </w:p>
        </w:tc>
      </w:tr>
      <w:tr>
        <w:trPr>
          <w:trHeight w:val="139"/>
        </w:trPr>
        <w:tc>
          <w:tcPr>
            <w:tcW w:w="2060" w:type="dxa"/>
            <w:vAlign w:val="bottom"/>
          </w:tcPr>
          <w:p>
            <w:pPr>
              <w:ind w:left="20"/>
              <w:spacing w:after="0"/>
              <w:rPr>
                <w:sz w:val="20"/>
                <w:szCs w:val="20"/>
                <w:color w:val="auto"/>
              </w:rPr>
            </w:pPr>
            <w:r>
              <w:rPr>
                <w:rFonts w:ascii="Arial" w:cs="Arial" w:eastAsia="Arial" w:hAnsi="Arial"/>
                <w:sz w:val="11"/>
                <w:szCs w:val="11"/>
                <w:color w:val="auto"/>
              </w:rPr>
              <w:t>Cash held at consolidated affiliated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060" w:type="dxa"/>
            <w:vAlign w:val="bottom"/>
          </w:tcPr>
          <w:p>
            <w:pPr>
              <w:ind w:left="200"/>
              <w:spacing w:after="0"/>
              <w:rPr>
                <w:sz w:val="20"/>
                <w:szCs w:val="20"/>
                <w:color w:val="auto"/>
              </w:rPr>
            </w:pPr>
            <w:r>
              <w:rPr>
                <w:rFonts w:ascii="Arial" w:cs="Arial" w:eastAsia="Arial" w:hAnsi="Arial"/>
                <w:sz w:val="11"/>
                <w:szCs w:val="11"/>
                <w:color w:val="auto"/>
              </w:rPr>
              <w:t>partnerships and restricted cash</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734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766</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9,532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10,038</w:t>
            </w:r>
          </w:p>
        </w:tc>
      </w:tr>
      <w:tr>
        <w:trPr>
          <w:trHeight w:val="248"/>
        </w:trPr>
        <w:tc>
          <w:tcPr>
            <w:tcW w:w="2060" w:type="dxa"/>
            <w:vAlign w:val="bottom"/>
          </w:tcPr>
          <w:p>
            <w:pPr>
              <w:ind w:left="2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612</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1,805</w:t>
            </w:r>
          </w:p>
        </w:tc>
      </w:tr>
      <w:tr>
        <w:trPr>
          <w:trHeight w:val="248"/>
        </w:trPr>
        <w:tc>
          <w:tcPr>
            <w:tcW w:w="2060" w:type="dxa"/>
            <w:vAlign w:val="bottom"/>
          </w:tcPr>
          <w:p>
            <w:pPr>
              <w:ind w:left="2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3,213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1,199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188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454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6,364</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878</w:t>
            </w:r>
          </w:p>
        </w:tc>
      </w:tr>
      <w:tr>
        <w:trPr>
          <w:trHeight w:val="248"/>
        </w:trPr>
        <w:tc>
          <w:tcPr>
            <w:tcW w:w="2060" w:type="dxa"/>
            <w:vAlign w:val="bottom"/>
          </w:tcPr>
          <w:p>
            <w:pPr>
              <w:ind w:left="20"/>
              <w:spacing w:after="0"/>
              <w:rPr>
                <w:sz w:val="20"/>
                <w:szCs w:val="20"/>
                <w:color w:val="auto"/>
              </w:rPr>
            </w:pPr>
            <w:r>
              <w:rPr>
                <w:rFonts w:ascii="Arial" w:cs="Arial" w:eastAsia="Arial" w:hAnsi="Arial"/>
                <w:sz w:val="11"/>
                <w:szCs w:val="11"/>
                <w:color w:val="auto"/>
              </w:rPr>
              <w:t>Assets held for sale</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8,774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8,790</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1,284</w:t>
            </w:r>
          </w:p>
        </w:tc>
      </w:tr>
      <w:tr>
        <w:trPr>
          <w:trHeight w:val="272"/>
        </w:trPr>
        <w:tc>
          <w:tcPr>
            <w:tcW w:w="206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10,799</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3,011</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4,700</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1,487</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226</w:t>
            </w:r>
          </w:p>
        </w:tc>
        <w:tc>
          <w:tcPr>
            <w:tcW w:w="12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265</w:t>
            </w:r>
          </w:p>
        </w:tc>
        <w:tc>
          <w:tcPr>
            <w:tcW w:w="12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487</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931</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183</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938</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8,774</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31,801</w:t>
            </w:r>
          </w:p>
        </w:tc>
      </w:tr>
      <w:tr>
        <w:trPr>
          <w:trHeight w:val="235"/>
        </w:trPr>
        <w:tc>
          <w:tcPr>
            <w:tcW w:w="2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139"/>
        </w:trPr>
        <w:tc>
          <w:tcPr>
            <w:tcW w:w="2060" w:type="dxa"/>
            <w:vAlign w:val="bottom"/>
          </w:tcPr>
          <w:p>
            <w:pPr>
              <w:ind w:left="20"/>
              <w:spacing w:after="0"/>
              <w:rPr>
                <w:sz w:val="20"/>
                <w:szCs w:val="20"/>
                <w:color w:val="auto"/>
              </w:rPr>
            </w:pPr>
            <w:r>
              <w:rPr>
                <w:rFonts w:ascii="Arial" w:cs="Arial" w:eastAsia="Arial" w:hAnsi="Arial"/>
                <w:sz w:val="11"/>
                <w:szCs w:val="11"/>
                <w:color w:val="auto"/>
                <w:w w:val="99"/>
              </w:rPr>
              <w:t>Accounts payable, accrued expenses and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060" w:type="dxa"/>
            <w:vAlign w:val="bottom"/>
          </w:tcPr>
          <w:p>
            <w:pPr>
              <w:ind w:left="200"/>
              <w:spacing w:after="0"/>
              <w:rPr>
                <w:sz w:val="20"/>
                <w:szCs w:val="20"/>
                <w:color w:val="auto"/>
              </w:rPr>
            </w:pPr>
            <w:r>
              <w:rPr>
                <w:rFonts w:ascii="Arial" w:cs="Arial" w:eastAsia="Arial" w:hAnsi="Arial"/>
                <w:sz w:val="11"/>
                <w:szCs w:val="11"/>
                <w:color w:val="auto"/>
              </w:rPr>
              <w:t>other liabilities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1,302</w:t>
            </w:r>
          </w:p>
        </w:tc>
        <w:tc>
          <w:tcPr>
            <w:tcW w:w="1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944</w:t>
            </w:r>
          </w:p>
        </w:tc>
        <w:tc>
          <w:tcPr>
            <w:tcW w:w="1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1,125</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262</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172</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63</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243</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4,233</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2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Securities sold, not yet purchased, at fair</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38"/>
        </w:trPr>
        <w:tc>
          <w:tcPr>
            <w:tcW w:w="2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value</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1,023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1,023</w:t>
            </w:r>
          </w:p>
        </w:tc>
      </w:tr>
      <w:tr>
        <w:trPr>
          <w:trHeight w:val="248"/>
        </w:trPr>
        <w:tc>
          <w:tcPr>
            <w:tcW w:w="2060" w:type="dxa"/>
            <w:vAlign w:val="bottom"/>
          </w:tcPr>
          <w:p>
            <w:pPr>
              <w:ind w:left="20"/>
              <w:spacing w:after="0"/>
              <w:rPr>
                <w:sz w:val="20"/>
                <w:szCs w:val="20"/>
                <w:color w:val="auto"/>
              </w:rPr>
            </w:pPr>
            <w:r>
              <w:rPr>
                <w:rFonts w:ascii="Arial" w:cs="Arial" w:eastAsia="Arial" w:hAnsi="Arial"/>
                <w:sz w:val="11"/>
                <w:szCs w:val="11"/>
                <w:color w:val="auto"/>
              </w:rPr>
              <w:t>Due to brokers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1,057</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Liabilities held for sale</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6,202</w:t>
            </w:r>
          </w:p>
        </w:tc>
      </w:tr>
      <w:tr>
        <w:trPr>
          <w:trHeight w:val="248"/>
        </w:trPr>
        <w:tc>
          <w:tcPr>
            <w:tcW w:w="2060" w:type="dxa"/>
            <w:vAlign w:val="bottom"/>
          </w:tcPr>
          <w:p>
            <w:pPr>
              <w:ind w:left="20"/>
              <w:spacing w:after="0"/>
              <w:rPr>
                <w:sz w:val="20"/>
                <w:szCs w:val="20"/>
                <w:color w:val="auto"/>
              </w:rPr>
            </w:pPr>
            <w:r>
              <w:rPr>
                <w:rFonts w:ascii="Arial" w:cs="Arial" w:eastAsia="Arial" w:hAnsi="Arial"/>
                <w:sz w:val="11"/>
                <w:szCs w:val="11"/>
                <w:color w:val="auto"/>
              </w:rPr>
              <w:t>Debt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5,507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7,918</w:t>
            </w:r>
          </w:p>
        </w:tc>
      </w:tr>
      <w:tr>
        <w:trPr>
          <w:trHeight w:val="22"/>
        </w:trPr>
        <w:tc>
          <w:tcPr>
            <w:tcW w:w="2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20,433</w:t>
            </w:r>
          </w:p>
        </w:tc>
      </w:tr>
      <w:tr>
        <w:trPr>
          <w:trHeight w:val="115"/>
        </w:trPr>
        <w:tc>
          <w:tcPr>
            <w:tcW w:w="20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(4,821)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5,106</w:t>
            </w:r>
          </w:p>
        </w:tc>
      </w:tr>
      <w:tr>
        <w:trPr>
          <w:trHeight w:val="139"/>
        </w:trPr>
        <w:tc>
          <w:tcPr>
            <w:tcW w:w="2060" w:type="dxa"/>
            <w:vAlign w:val="bottom"/>
          </w:tcPr>
          <w:p>
            <w:pPr>
              <w:ind w:left="20"/>
              <w:spacing w:after="0"/>
              <w:rPr>
                <w:sz w:val="20"/>
                <w:szCs w:val="20"/>
                <w:color w:val="auto"/>
              </w:rPr>
            </w:pPr>
            <w:r>
              <w:rPr>
                <w:rFonts w:ascii="Arial" w:cs="Arial" w:eastAsia="Arial" w:hAnsi="Arial"/>
                <w:sz w:val="11"/>
                <w:szCs w:val="11"/>
                <w:color w:val="auto"/>
              </w:rPr>
              <w:t>Equity attributable to non-controlling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060" w:type="dxa"/>
            <w:vAlign w:val="bottom"/>
          </w:tcPr>
          <w:p>
            <w:pPr>
              <w:ind w:left="200"/>
              <w:spacing w:after="0"/>
              <w:rPr>
                <w:sz w:val="20"/>
                <w:szCs w:val="20"/>
                <w:color w:val="auto"/>
              </w:rPr>
            </w:pPr>
            <w:r>
              <w:rPr>
                <w:rFonts w:ascii="Arial" w:cs="Arial" w:eastAsia="Arial" w:hAnsi="Arial"/>
                <w:sz w:val="11"/>
                <w:szCs w:val="11"/>
                <w:color w:val="auto"/>
              </w:rPr>
              <w:t>interests</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4,365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1,311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251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288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6,262</w:t>
            </w:r>
          </w:p>
        </w:tc>
      </w:tr>
      <w:tr>
        <w:trPr>
          <w:trHeight w:val="22"/>
        </w:trPr>
        <w:tc>
          <w:tcPr>
            <w:tcW w:w="2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equity</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(4,812)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11,368</w:t>
            </w:r>
          </w:p>
        </w:tc>
      </w:tr>
      <w:tr>
        <w:trPr>
          <w:trHeight w:val="232"/>
        </w:trPr>
        <w:tc>
          <w:tcPr>
            <w:tcW w:w="2060" w:type="dxa"/>
            <w:vAlign w:val="bottom"/>
          </w:tcPr>
          <w:p>
            <w:pPr>
              <w:ind w:left="100"/>
              <w:spacing w:after="0"/>
              <w:rPr>
                <w:sz w:val="20"/>
                <w:szCs w:val="20"/>
                <w:color w:val="auto"/>
              </w:rPr>
            </w:pPr>
            <w:r>
              <w:rPr>
                <w:rFonts w:ascii="Arial" w:cs="Arial" w:eastAsia="Arial" w:hAnsi="Arial"/>
                <w:sz w:val="11"/>
                <w:szCs w:val="11"/>
                <w:color w:val="auto"/>
              </w:rPr>
              <w:t>Total liabilities and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10,799</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3,011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4,700</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1,487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226</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265</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487</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931</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183</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938</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8,774</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31,801</w:t>
            </w:r>
          </w:p>
        </w:tc>
      </w:tr>
      <w:tr>
        <w:trPr>
          <w:trHeight w:val="20"/>
        </w:trPr>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60" w:top="337" w:right="2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Discontinued Operations.</w:t>
      </w:r>
    </w:p>
    <w:p>
      <w:pPr>
        <w:spacing w:after="0" w:line="12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As discussed in Note 1, "Description of Business," we operated discontinued operations previously included in our Automotive segment and our former Gaming segment effective in the second quarter of 2018.</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from discontinued operations is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7"/>
          </w:tcPr>
          <w:p>
            <w:pPr>
              <w:jc w:val="right"/>
              <w:ind w:right="479"/>
              <w:spacing w:after="0"/>
              <w:rPr>
                <w:sz w:val="20"/>
                <w:szCs w:val="20"/>
                <w:color w:val="auto"/>
              </w:rPr>
            </w:pPr>
            <w:r>
              <w:rPr>
                <w:rFonts w:ascii="Arial" w:cs="Arial" w:eastAsia="Arial" w:hAnsi="Arial"/>
                <w:sz w:val="16"/>
                <w:szCs w:val="16"/>
                <w:b w:val="1"/>
                <w:bCs w:val="1"/>
                <w:color w:val="auto"/>
              </w:rPr>
              <w:t>Three Months Ended September 30, 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80" w:type="dxa"/>
            <w:vAlign w:val="bottom"/>
            <w:gridSpan w:val="7"/>
          </w:tcPr>
          <w:p>
            <w:pPr>
              <w:jc w:val="right"/>
              <w:ind w:right="439"/>
              <w:spacing w:after="0"/>
              <w:rPr>
                <w:sz w:val="20"/>
                <w:szCs w:val="20"/>
                <w:color w:val="auto"/>
              </w:rPr>
            </w:pPr>
            <w:r>
              <w:rPr>
                <w:rFonts w:ascii="Arial" w:cs="Arial" w:eastAsia="Arial" w:hAnsi="Arial"/>
                <w:sz w:val="16"/>
                <w:szCs w:val="16"/>
                <w:b w:val="1"/>
                <w:bCs w:val="1"/>
                <w:color w:val="auto"/>
              </w:rPr>
              <w:t>Three Months Ended September 30, 2017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w w:val="97"/>
              </w:rPr>
              <w:t>Automotive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Gaming</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Automotive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Gaming</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340" w:type="dxa"/>
            <w:vAlign w:val="bottom"/>
            <w:vMerge w:val="restart"/>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4"/>
          </w:tcPr>
          <w:p>
            <w:pPr>
              <w:jc w:val="right"/>
              <w:ind w:right="899"/>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1,890</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1,889</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1,889</w:t>
            </w: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Other revenues from operations</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and dividend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Gain on disposition of assets, net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(loss)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1,952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2,187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1,897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2,165</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Cost of goods sold</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expenses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Restructuring,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Impairment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1,807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1,991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1,890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2,086</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before</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rPr>
              <w:t>Less: income from discontinued operations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200"/>
              <w:spacing w:after="0"/>
              <w:rPr>
                <w:sz w:val="20"/>
                <w:szCs w:val="20"/>
                <w:color w:val="auto"/>
              </w:rPr>
            </w:pPr>
            <w:r>
              <w:rPr>
                <w:rFonts w:ascii="Arial" w:cs="Arial" w:eastAsia="Arial" w:hAnsi="Arial"/>
                <w:sz w:val="16"/>
                <w:szCs w:val="16"/>
                <w:color w:val="auto"/>
              </w:rPr>
              <w:t>attributable to non-controlling interests</w:t>
            </w:r>
          </w:p>
        </w:tc>
        <w:tc>
          <w:tcPr>
            <w:tcW w:w="16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7"/>
                <w:szCs w:val="17"/>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attributable to Icahn Enterprises</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information: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200"/>
              <w:spacing w:after="0"/>
              <w:rPr>
                <w:sz w:val="20"/>
                <w:szCs w:val="20"/>
                <w:color w:val="auto"/>
              </w:rPr>
            </w:pPr>
            <w:r>
              <w:rPr>
                <w:rFonts w:ascii="Arial" w:cs="Arial" w:eastAsia="Arial" w:hAnsi="Arial"/>
                <w:sz w:val="16"/>
                <w:szCs w:val="16"/>
                <w:color w:val="auto"/>
              </w:rPr>
              <w:t>Capital expenditures</w:t>
            </w:r>
            <w:r>
              <w:rPr>
                <w:rFonts w:ascii="Arial" w:cs="Arial" w:eastAsia="Arial" w:hAnsi="Arial"/>
                <w:sz w:val="21"/>
                <w:szCs w:val="2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7"/>
          </w:tcPr>
          <w:p>
            <w:pPr>
              <w:jc w:val="right"/>
              <w:ind w:right="519"/>
              <w:spacing w:after="0"/>
              <w:rPr>
                <w:sz w:val="20"/>
                <w:szCs w:val="20"/>
                <w:color w:val="auto"/>
              </w:rPr>
            </w:pPr>
            <w:r>
              <w:rPr>
                <w:rFonts w:ascii="Arial" w:cs="Arial" w:eastAsia="Arial" w:hAnsi="Arial"/>
                <w:sz w:val="16"/>
                <w:szCs w:val="16"/>
                <w:b w:val="1"/>
                <w:bCs w:val="1"/>
                <w:color w:val="auto"/>
              </w:rPr>
              <w:t>Nine Months Ended September 30, 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80" w:type="dxa"/>
            <w:vAlign w:val="bottom"/>
            <w:gridSpan w:val="7"/>
          </w:tcPr>
          <w:p>
            <w:pPr>
              <w:jc w:val="right"/>
              <w:ind w:right="479"/>
              <w:spacing w:after="0"/>
              <w:rPr>
                <w:sz w:val="20"/>
                <w:szCs w:val="20"/>
                <w:color w:val="auto"/>
              </w:rPr>
            </w:pPr>
            <w:r>
              <w:rPr>
                <w:rFonts w:ascii="Arial" w:cs="Arial" w:eastAsia="Arial" w:hAnsi="Arial"/>
                <w:sz w:val="16"/>
                <w:szCs w:val="16"/>
                <w:b w:val="1"/>
                <w:bCs w:val="1"/>
                <w:color w:val="auto"/>
              </w:rPr>
              <w:t>Nine Months Ended September 30, 2017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w w:val="97"/>
              </w:rPr>
              <w:t>Automotive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Gaming</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Automotive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Gaming</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340" w:type="dxa"/>
            <w:vAlign w:val="bottom"/>
            <w:vMerge w:val="restart"/>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4"/>
          </w:tcPr>
          <w:p>
            <w:pPr>
              <w:jc w:val="right"/>
              <w:ind w:right="899"/>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5,993</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5,786</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5,786</w:t>
            </w: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Other revenues from operations</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and dividend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Gain (loss) on disposition of assets, net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6,065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6,746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5,808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6,513</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Cost of goods sold</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4,999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4,999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4,910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4,910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expenses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Restructuring,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Impairment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5,752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6,305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5,687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6,285</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before</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rPr>
              <w:t>Less: income from discontinued operations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200"/>
              <w:spacing w:after="0"/>
              <w:rPr>
                <w:sz w:val="20"/>
                <w:szCs w:val="20"/>
                <w:color w:val="auto"/>
              </w:rPr>
            </w:pPr>
            <w:r>
              <w:rPr>
                <w:rFonts w:ascii="Arial" w:cs="Arial" w:eastAsia="Arial" w:hAnsi="Arial"/>
                <w:sz w:val="16"/>
                <w:szCs w:val="16"/>
                <w:color w:val="auto"/>
              </w:rPr>
              <w:t>attributable to non-controlling interests</w:t>
            </w:r>
          </w:p>
        </w:tc>
        <w:tc>
          <w:tcPr>
            <w:tcW w:w="16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Income from discontinued operations attributable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7"/>
                <w:szCs w:val="17"/>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7"/>
                <w:szCs w:val="17"/>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7"/>
                <w:szCs w:val="17"/>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 Icahn Enterprises</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information: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200"/>
              <w:spacing w:after="0"/>
              <w:rPr>
                <w:sz w:val="20"/>
                <w:szCs w:val="20"/>
                <w:color w:val="auto"/>
              </w:rPr>
            </w:pPr>
            <w:r>
              <w:rPr>
                <w:rFonts w:ascii="Arial" w:cs="Arial" w:eastAsia="Arial" w:hAnsi="Arial"/>
                <w:sz w:val="16"/>
                <w:szCs w:val="16"/>
                <w:color w:val="auto"/>
              </w:rPr>
              <w:t>Capital expenditures</w:t>
            </w:r>
            <w:r>
              <w:rPr>
                <w:rFonts w:ascii="Arial" w:cs="Arial" w:eastAsia="Arial" w:hAnsi="Arial"/>
                <w:sz w:val="21"/>
                <w:szCs w:val="2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303</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276</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3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80" w:right="80" w:hanging="172"/>
        <w:spacing w:after="0" w:line="273" w:lineRule="auto"/>
        <w:tabs>
          <w:tab w:leader="none" w:pos="158" w:val="left"/>
        </w:tabs>
        <w:numPr>
          <w:ilvl w:val="0"/>
          <w:numId w:val="15"/>
        </w:numPr>
        <w:rPr>
          <w:rFonts w:ascii="Arial" w:cs="Arial" w:eastAsia="Arial" w:hAnsi="Arial"/>
          <w:sz w:val="9"/>
          <w:szCs w:val="9"/>
          <w:color w:val="auto"/>
        </w:rPr>
      </w:pPr>
      <w:r>
        <w:rPr>
          <w:rFonts w:ascii="Arial" w:cs="Arial" w:eastAsia="Arial" w:hAnsi="Arial"/>
          <w:sz w:val="14"/>
          <w:szCs w:val="14"/>
          <w:color w:val="auto"/>
        </w:rPr>
        <w:t>Capital expenditures in the tables above represents cash used in investing activities. In addition, non-cash capital expenditures included in accounts payable, accrued expenses and other liabilities for the nine months ended September 30, 2018 and 2017 aggregated $48 million and $63 million, respectively.</w:t>
      </w:r>
    </w:p>
    <w:p>
      <w:pPr>
        <w:spacing w:after="0" w:line="65" w:lineRule="exact"/>
        <w:rPr>
          <w:rFonts w:ascii="Arial" w:cs="Arial" w:eastAsia="Arial" w:hAnsi="Arial"/>
          <w:sz w:val="9"/>
          <w:szCs w:val="9"/>
          <w:color w:val="auto"/>
        </w:rPr>
      </w:pPr>
    </w:p>
    <w:p>
      <w:pPr>
        <w:ind w:left="180" w:right="80" w:hanging="172"/>
        <w:spacing w:after="0" w:line="273" w:lineRule="auto"/>
        <w:tabs>
          <w:tab w:leader="none" w:pos="145" w:val="left"/>
        </w:tabs>
        <w:numPr>
          <w:ilvl w:val="0"/>
          <w:numId w:val="15"/>
        </w:numPr>
        <w:rPr>
          <w:rFonts w:ascii="Arial" w:cs="Arial" w:eastAsia="Arial" w:hAnsi="Arial"/>
          <w:sz w:val="9"/>
          <w:szCs w:val="9"/>
          <w:color w:val="auto"/>
        </w:rPr>
      </w:pPr>
      <w:r>
        <w:rPr>
          <w:rFonts w:ascii="Arial" w:cs="Arial" w:eastAsia="Arial" w:hAnsi="Arial"/>
          <w:sz w:val="14"/>
          <w:szCs w:val="14"/>
          <w:color w:val="auto"/>
        </w:rPr>
        <w:t>Excludes amounts related to the amortization of deferred financing costs and debt discounts and premiums included in interest expense aggregating $1 million and $2 million for the three months ended September 30, 2018 and 2017, respectively, and $3 million and $5 million for the nine months ended September 30, 2018 and 2017,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Assets and liabilities held for sale consist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September 30, 2018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2017</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w w:val="97"/>
              </w:rPr>
              <w:t>Automotive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Gaming</w:t>
            </w: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Automotive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Gaming</w:t>
            </w:r>
          </w:p>
        </w:tc>
        <w:tc>
          <w:tcPr>
            <w:tcW w:w="280" w:type="dxa"/>
            <w:vAlign w:val="bottom"/>
          </w:tcPr>
          <w:p>
            <w:pPr>
              <w:spacing w:after="0"/>
              <w:rPr>
                <w:sz w:val="20"/>
                <w:szCs w:val="20"/>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340" w:type="dxa"/>
            <w:vAlign w:val="bottom"/>
            <w:vMerge w:val="restart"/>
          </w:tcPr>
          <w:p>
            <w:pPr>
              <w:ind w:left="960"/>
              <w:spacing w:after="0"/>
              <w:rPr>
                <w:sz w:val="20"/>
                <w:szCs w:val="20"/>
                <w:color w:val="auto"/>
              </w:rPr>
            </w:pPr>
            <w:r>
              <w:rPr>
                <w:rFonts w:ascii="Arial" w:cs="Arial" w:eastAsia="Arial" w:hAnsi="Arial"/>
                <w:sz w:val="16"/>
                <w:szCs w:val="16"/>
                <w:b w:val="1"/>
                <w:bCs w:val="1"/>
                <w:color w:val="auto"/>
              </w:rPr>
              <w:t>Assets Held For Sale</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4"/>
          </w:tcPr>
          <w:p>
            <w:pPr>
              <w:jc w:val="right"/>
              <w:ind w:right="899"/>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1,456</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2,642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792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3,337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84"/>
        </w:trPr>
        <w:tc>
          <w:tcPr>
            <w:tcW w:w="3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8"/>
              </w:rPr>
              <w:t>Assets held for sale (discontinued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7,764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1,093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8,857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7,678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1,096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8,774</w:t>
            </w: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 held for sale</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 held for sale</w:t>
            </w:r>
          </w:p>
        </w:tc>
        <w:tc>
          <w:tcPr>
            <w:tcW w:w="1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8,891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8,790</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b w:val="1"/>
                <w:bCs w:val="1"/>
                <w:color w:val="auto"/>
              </w:rPr>
              <w:t>Liabilities Held For Sale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w w:val="97"/>
              </w:rPr>
              <w:t>Accounts payable, accrued expenses and other</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200"/>
              <w:spacing w:after="0"/>
              <w:rPr>
                <w:sz w:val="20"/>
                <w:szCs w:val="20"/>
                <w:color w:val="auto"/>
              </w:rPr>
            </w:pPr>
            <w:r>
              <w:rPr>
                <w:rFonts w:ascii="Arial" w:cs="Arial" w:eastAsia="Arial" w:hAnsi="Arial"/>
                <w:sz w:val="16"/>
                <w:szCs w:val="16"/>
                <w:color w:val="auto"/>
              </w:rPr>
              <w:t>liabilities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1,756</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1,885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1,718</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1,860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Post-retirement benefit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Debt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3,035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3,130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3,267</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Liabilities held for sale (discontinued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5,806</w:t>
            </w:r>
          </w:p>
        </w:tc>
        <w:tc>
          <w:tcPr>
            <w:tcW w:w="360" w:type="dxa"/>
            <w:vAlign w:val="bottom"/>
            <w:gridSpan w:val="2"/>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5,998</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5,923</w:t>
            </w:r>
          </w:p>
        </w:tc>
        <w:tc>
          <w:tcPr>
            <w:tcW w:w="34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279</w:t>
            </w:r>
          </w:p>
        </w:tc>
        <w:tc>
          <w:tcPr>
            <w:tcW w:w="12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6,202</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operations)</w:t>
            </w:r>
          </w:p>
        </w:tc>
        <w:tc>
          <w:tcPr>
            <w:tcW w:w="16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Other assets held for sale in the table above primarily consists of property, plant and equipment, net for other operations not classified as discontinued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On December 22, 2017, The Tax Cuts and Jobs Act (the "Tax Legislation") was enacted in the United States, significantly revising certain U.S. corporate income tax provisions; including, among other items, a reduction of the U.S. corporate rate from 35% to 21%; the imposition of a deemed repatriation tax on unremitted foreign earnings to facilitate a shift from a worldwide tax system to a territorial system; and the creation of new limitations on certain deductions. We do not currently anticipate significant revisions to the amounts recorded. However, under the guidance of Staff Accounting Bulletin No. 118 issued on December 22, 2017, we will account for the income tax effects of any additional guidance associated with the Tax Legislation under the measurement period approach.</w:t>
      </w:r>
    </w:p>
    <w:p>
      <w:pPr>
        <w:spacing w:after="0" w:line="85"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color w:val="auto"/>
        </w:rPr>
        <w:t>For the three months ended September 30, 2018, we recorded an income tax benefit of $71 million on pre-tax loss from continuing operations of $381 million compared to an income tax expense of $18 million on pre-tax income from continuing operations of $818 million for the three months ended September 30, 2017. Our effective income tax rate was 18.6% and 2.2% for the three months ended September 30, 2018 and 2017, respectively.</w:t>
      </w:r>
    </w:p>
    <w:p>
      <w:pPr>
        <w:spacing w:after="0" w:line="39" w:lineRule="exact"/>
        <w:rPr>
          <w:sz w:val="20"/>
          <w:szCs w:val="20"/>
          <w:color w:val="auto"/>
        </w:rPr>
      </w:pPr>
    </w:p>
    <w:p>
      <w:pPr>
        <w:ind w:right="380" w:firstLine="405"/>
        <w:spacing w:after="0" w:line="312" w:lineRule="auto"/>
        <w:rPr>
          <w:sz w:val="20"/>
          <w:szCs w:val="20"/>
          <w:color w:val="auto"/>
        </w:rPr>
      </w:pPr>
      <w:r>
        <w:rPr>
          <w:rFonts w:ascii="Arial" w:cs="Arial" w:eastAsia="Arial" w:hAnsi="Arial"/>
          <w:sz w:val="16"/>
          <w:szCs w:val="16"/>
          <w:color w:val="auto"/>
        </w:rPr>
        <w:t>For the three months ended September 30, 2018, the effective tax rate was lower than the statutory federal rate of 21%, primarily due to partnership income for which there was no tax expense, as such income is allocated to the partners, and favorable permanent tax adjustments, including estimated deductions related to internal reorganization of certain corporate entities within the American Entertainment Properties Corp. consolidated group.</w:t>
      </w:r>
    </w:p>
    <w:p>
      <w:pPr>
        <w:spacing w:after="0" w:line="39"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For the three months ended September 30, 2017, the effective tax rate was lower than the statutory federal rate of 35%, primarily due to partnership income for which there was no tax expense, as such income is allocated to the partners.</w:t>
      </w:r>
    </w:p>
    <w:p>
      <w:pPr>
        <w:spacing w:after="0" w:line="62"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For the nine months ended September 30, 2018, we recorded an income tax benefit of $57 million on pre-tax income from continuing operations of $454 million compared to an income tax expense of $13 million on pre-tax income from continuing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operations of approximately $2.3 billion for the nine months ended September 30, 2017. Our effective income tax rate was (12.6)% and 0.6% for the nine months ended September 30, 2018 and 2017, respectively.</w:t>
      </w:r>
    </w:p>
    <w:p>
      <w:pPr>
        <w:spacing w:after="0" w:line="62" w:lineRule="exact"/>
        <w:rPr>
          <w:sz w:val="20"/>
          <w:szCs w:val="20"/>
          <w:color w:val="auto"/>
        </w:rPr>
      </w:pPr>
    </w:p>
    <w:p>
      <w:pPr>
        <w:ind w:right="420" w:firstLine="405"/>
        <w:spacing w:after="0" w:line="312" w:lineRule="auto"/>
        <w:rPr>
          <w:sz w:val="20"/>
          <w:szCs w:val="20"/>
          <w:color w:val="auto"/>
        </w:rPr>
      </w:pPr>
      <w:r>
        <w:rPr>
          <w:rFonts w:ascii="Arial" w:cs="Arial" w:eastAsia="Arial" w:hAnsi="Arial"/>
          <w:sz w:val="16"/>
          <w:szCs w:val="16"/>
          <w:color w:val="auto"/>
        </w:rPr>
        <w:t>For the nine months ended September 30, 2018, the effective tax rate was lower than the statutory federal rate of 21%, primarily due to partnership income for which there was no tax expense, as such income is allocated to the partners, and favorable permanent tax adjustments, including estimated deductions related to internal reorganization of certain corporate entities within the American Entertainment Properties Corp. consolidated group.</w:t>
      </w:r>
    </w:p>
    <w:p>
      <w:pPr>
        <w:spacing w:after="0" w:line="3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For the nine months ended September 30, 2017, the effective tax rate was lower than the statutory federal rate of 35%, primarily due to a decrease in the valuation allowance and partnership income for which there was no tax expense, as such income is allocated to the partners.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Changes in Accumulated Other Comprehensive Loss.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gridSpan w:val="4"/>
          </w:tcPr>
          <w:p>
            <w:pPr>
              <w:ind w:left="420"/>
              <w:spacing w:after="0"/>
              <w:rPr>
                <w:sz w:val="20"/>
                <w:szCs w:val="20"/>
                <w:color w:val="auto"/>
              </w:rPr>
            </w:pPr>
            <w:r>
              <w:rPr>
                <w:rFonts w:ascii="Arial" w:cs="Arial" w:eastAsia="Arial" w:hAnsi="Arial"/>
                <w:sz w:val="18"/>
                <w:szCs w:val="18"/>
                <w:color w:val="auto"/>
                <w:w w:val="98"/>
              </w:rPr>
              <w:t>Changes in accumulated other comprehensive loss consists of the following:</w:t>
            </w: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Post-Retirement</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Hedge Instruments,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Adjustments and</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Benefits, Net of Tax</w:t>
            </w:r>
          </w:p>
        </w:tc>
        <w:tc>
          <w:tcPr>
            <w:tcW w:w="1220" w:type="dxa"/>
            <w:vAlign w:val="bottom"/>
          </w:tcPr>
          <w:p>
            <w:pPr>
              <w:ind w:left="400"/>
              <w:spacing w:after="0"/>
              <w:rPr>
                <w:sz w:val="20"/>
                <w:szCs w:val="20"/>
                <w:color w:val="auto"/>
              </w:rPr>
            </w:pPr>
            <w:r>
              <w:rPr>
                <w:rFonts w:ascii="Arial" w:cs="Arial" w:eastAsia="Arial" w:hAnsi="Arial"/>
                <w:sz w:val="18"/>
                <w:szCs w:val="18"/>
                <w:b w:val="1"/>
                <w:bCs w:val="1"/>
                <w:color w:val="auto"/>
                <w:w w:val="91"/>
              </w:rPr>
              <w:t>Net of Tax</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Other, Net of Tax</w:t>
            </w:r>
          </w:p>
        </w:tc>
        <w:tc>
          <w:tcPr>
            <w:tcW w:w="560" w:type="dxa"/>
            <w:vAlign w:val="bottom"/>
          </w:tcPr>
          <w:p>
            <w:pPr>
              <w:spacing w:after="0"/>
              <w:rPr>
                <w:sz w:val="20"/>
                <w:szCs w:val="20"/>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of tax</w:t>
            </w:r>
          </w:p>
        </w:tc>
        <w:tc>
          <w:tcPr>
            <w:tcW w:w="14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Reclassifications from accumulated other comprehensive loss to</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earnings</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15. Other Income, Net.</w:t>
            </w: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00" w:type="dxa"/>
            <w:vAlign w:val="bottom"/>
          </w:tcPr>
          <w:p>
            <w:pPr>
              <w:ind w:left="420"/>
              <w:spacing w:after="0"/>
              <w:rPr>
                <w:sz w:val="20"/>
                <w:szCs w:val="20"/>
                <w:color w:val="auto"/>
              </w:rPr>
            </w:pPr>
            <w:r>
              <w:rPr>
                <w:rFonts w:ascii="Arial" w:cs="Arial" w:eastAsia="Arial" w:hAnsi="Arial"/>
                <w:sz w:val="18"/>
                <w:szCs w:val="18"/>
                <w:color w:val="auto"/>
              </w:rPr>
              <w:t>Other income, net consists of the following:</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220" w:type="dxa"/>
            <w:vAlign w:val="bottom"/>
          </w:tcPr>
          <w:p>
            <w:pPr>
              <w:ind w:left="62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Realized and unrealized gain (loss) on derivatives, net (Note 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derivative loss</w:t>
            </w:r>
          </w:p>
        </w:tc>
        <w:tc>
          <w:tcPr>
            <w:tcW w:w="1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expense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earnings from non-consolidated affiliates</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(loss) gain</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Tax settlement gain</w:t>
            </w:r>
          </w:p>
        </w:tc>
        <w:tc>
          <w:tcPr>
            <w:tcW w:w="1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Non-service pension and other post-retirement benefits expense</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Gain on early railcar lease termination</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9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were $38 million and $34 million as of September 30, 2018 and December 31, 2017, respectively, primarily within our Energy and Metals segments and which are included in accrued expenses and other liabilities in our condensed consolidated balance sheets. In addition to the above, Federal-Mogul has environmental liabilities of $16 million and $16 million as of September 30, 2018 and December 31, 2017, respectively, which are included in liabilities held for sale in our condensed consolidated balance sheets. We do not believe that environmental matters will have a material adverse impact on our consolidated results of operations and financial condition.</w:t>
      </w:r>
    </w:p>
    <w:p>
      <w:pPr>
        <w:spacing w:after="0" w:line="4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August 21, 2018, CVR Refining received a letter from the United States Department of Justice (the “DOJ”) on behalf of the Environmental Protection Agency (the "EPA") and Kansas Department of Health and Environment (“KDHE”) alleging violations of the Clean Air Act and a 2012 Consent Decree between CVR Refining, the United States (on behalf of the EPA) and KDHE at CVR Energy's Coffeyville refinery. In September 2018, CVR Refining executed a tolling agreement with the DOJ and KDHE extending time for negotiation regarding the agencies’ allegations through March 31, 2019. At this time CVR Energy cannot reasonably estimate the potential penalties, costs, fines or other expenditures that may result from this matter or any subsequent enforcement or litigation relating thereto and, therefore, CVR Energy cannot determine if the ultimate outcome of this matter will have a material impact on its financial position, results of operations or cash flows.</w:t>
      </w:r>
    </w:p>
    <w:p>
      <w:pPr>
        <w:spacing w:after="0" w:line="5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There have been no other new developments or material changes to the environmental accruals or expected capital expenditures related to compliance with the environmental matters from those disclosed in our Annual Report on Form 10-K for the year ended December 31,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Renewable Fuel Standards</w:t>
      </w:r>
    </w:p>
    <w:p>
      <w:pPr>
        <w:spacing w:after="0" w:line="11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CVR Refining is subject to the Renewable Fuel Standard ("RFS") of the EPA which requires refiners to either blend "renewable fuels" in with their transportation fuels or purchase renewable fuel credits, known as renewable identification numbers (“RINs”), in lieu of blending. Due to mandates in the RFS requiring increasing volumes of renewable fuels to replace petroleum products in the U.S. transportation fuel market, there may be a decrease in demand for petroleum products. CVR Refining is not able to blend the substantial majority of its transportation fuels and has to purchase RINs on the open market, as well as waiver credits for cellulosic biofuels from the EPA, in order to comply with the RFS.</w:t>
      </w:r>
    </w:p>
    <w:p>
      <w:pPr>
        <w:spacing w:after="0" w:line="64"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The net cost of RINs for the three months ended September 30, 2018 and 2017 was $20 million and $64 million, respectively, and $47 million and $164 million for the nine months ended September 30, 2018 and 2017, respectively, which is included in cost of goods sold in the condensed consolidated statements of operations. RINs expense includes the purchased cost of RINs, the impact of recognizing CVR Refining's uncommitted biofuel blending obligation at fair value based on market prices at each reporting date and is reduced by the valuation change of RINs purchases in excess of CVR Refining's RFS obligation as of the reporting date. As of September 30, 2018 and December 31, 2017, CVR Refining's biofuel blending obligation was $7 million and $28 million, respectively, which is included in accrued expenses and other liabilities in our condensed consolidated balance sheets and is reduced by the valuation change of RINs purchases in excess of CVR Refining’s RFS obligation as of the reporting date. As of September 30, 2018, our Energy segment recorded a RINs asset within other assets in the condensed consolidated balance sheet of $4 million, representing excess RINs primarily due to a reduction in its RFS obligation during the first quarter of 2018.</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Federal-Mogul</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 xml:space="preserve">On March 3, 2017, certain purported former stockholders of Federal-Mogul Holdings Corporation filed a petition in the Delaware Court of Chancery seeking an appraisal of the value of common stock they claim to have held at the time of the January 23, 2017 merger of IEH FM Holdings, LLC into Federal-Mogul Holdings Corporation. IEH FM Holdings, LLC was a wholly owned subsidiary of Icahn Enterprises. Federal-Mogul Holdings LLC filed an answer to the petition on March 28, 2017. A second petition for appraisal was filed by purported former stockholders of Federal-Mogul Holdings Corporation on May 1, 2017. The two cases were consolidated on May 10, 2017, captioned </w:t>
      </w:r>
      <w:r>
        <w:rPr>
          <w:rFonts w:ascii="Arial" w:cs="Arial" w:eastAsia="Arial" w:hAnsi="Arial"/>
          <w:sz w:val="17"/>
          <w:szCs w:val="17"/>
          <w:i w:val="1"/>
          <w:iCs w:val="1"/>
          <w:color w:val="auto"/>
        </w:rPr>
        <w:t>In re Appraisal of Federal-Mogul Holdings LLC, C.A. No. 2017-0158-AGB</w:t>
      </w:r>
      <w:r>
        <w:rPr>
          <w:rFonts w:ascii="Arial" w:cs="Arial" w:eastAsia="Arial" w:hAnsi="Arial"/>
          <w:sz w:val="17"/>
          <w:szCs w:val="17"/>
          <w:color w:val="auto"/>
        </w:rPr>
        <w:t>. A trial date has not yet been set. As of September 30, 2018, the litigation reserve was $56 million, including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7"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of $6 million. In connection with this matter, we contributed $56 million to Federal-Mogul prior to our sale of Federal-Mogul.</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On April 25, 2014, a group of plaintiffs brought an action against Federal-Mogul Products, Inc. ("FM Products"), a wholly-owned subsidiary of Federal-Mogul, alleging injuries and damages associated with the discharge of chlorinated hydrocarbons by the former owner of a facility located in Kentucky. Since 1998, when FM Products acquired the facility, it has been cooperating with the applicable regulatory agencies on remediating the prior discharges pursuant to an order entered into by the facility’s former owner. FM Products negotiated a settlement agreement with plaintiff's counsel which was approved by the required number of plaintiffs and, following a fairness hearing, given final approval by the court on July 13, 2018. FM Products paid $3 million pursuant to the settlement agreement during the three months ended September 30,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 Directive</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September 30, 2016, the Federal Railroad Administration (the "FRA") issued Railworthiness Directive ("RWD") No. 2016-01 (the "Original Directive"). The Original Directive addressed, among other things, certain welding practices in one weld area in specified DOT 111 tank railcars manufactured between 2009 and 2015 by ARI and ACF. Our Railcar segment met and corresponded with the FRA following the issuance of the Original Directive to express its concerns with the Original Directive and its impact on our Railcar segment, as well as the industry as a whole. On November 18, 2016 (the "Issuance Date"), the FRA issued RWD No. 2016-01 [Revised] (the "Revised Directive"). The Revised Directive changed and superseded the Original Directive in several ways.</w:t>
      </w:r>
    </w:p>
    <w:p>
      <w:pPr>
        <w:spacing w:after="0" w:line="8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Revised Directive required owners to identify their subject tank railcars and then from that population identify the 15% of subject tank railcars then in hazardous materials service with the highest mileage in each tank car owner’s fleet. Visual inspection of each of the subject tank railcars is required by the car operator prior to putting any railcar into service. Owners must ensure appropriate inspection, testing and repairs, if needed, within twelve months of the Issuance Date for the 15% of their subject tank railcars identified to be in hazardous materials service with the highest mileage. The FRA reserved the right to impose additional test and inspection requirements for the remaining tank railcars subject to the Revised Directive. The FRA also reserved the right to seek civil penalties or to take any other appropriate enforcement action for violation of the Federal Hazardous Materials Regulations that have occurred.</w:t>
      </w:r>
    </w:p>
    <w:p>
      <w:pPr>
        <w:spacing w:after="0" w:line="57"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Although the Revised Directive addressed some of our Railcar segment's concerns and clarified certain requirements of the Original Directive, our Railcar segment identified significant issues with the Revised Directive. As a result, in December 2016, our Railcar segment sought judicial review of and relief from the Revised Directive by filing a petition for review against the FRA in the United States Court of Appeals for the District of Columbia Circuit.</w:t>
      </w:r>
    </w:p>
    <w:p>
      <w:pPr>
        <w:spacing w:after="0" w:line="39"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On August 17, 2017, our Railcar segment entered into a settlement agreement with the FRA, which covered the subject railcars owned by our Railcar segment. This agreement, among other things, extended the deadline for our Railcar segment to complete the inspection, testing and repairs, if needed, for the 15% identified railcars to December 31, 2017. Adding clarity regarding certain unknown requirements referenced in the Revised Directive, under the settlement agreement, our Railcar segment is required to inspect, test, and if necessary repair the remaining 85% subject tank railcars at the next tank railcar qualification, scheduled routine or regular maintenance, shopping or repair event, but no later than December 31, 2025. However, the settlement agreement permits our Railcar segment to: (i) if the FRA does not impose a similar requirement by July 31, 2018 on other owners’ railcars subject to the Revised Directive, suspend compliance with this requirement until such time as the FRA imposes requirements on all 85% railcars subject to the Revised Directive, and (ii) elect to be governed by any different requirements later imposed by the FRA on other owners’ railcars subject to the Revised Directive. In addition, the settlement agreement also provides that railcars owned by our Railcar segment are no longer required to have a surface inspection performed when the railcars are being inspected pursuant to the Revised Directive. The description above includes a summary of the terms of the settlement agreement. Finally, as part of the settlement agreement, our Railcar segment dismissed its lawsuit against the FRA.</w:t>
      </w:r>
    </w:p>
    <w:p>
      <w:pPr>
        <w:spacing w:after="0" w:line="6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Railcar segment has evaluated its potential exposure related to the Revised Directive and has a loss contingency reserve remaining of $9 million, as of September 30, 2018, to cover its probable and estimable liabilities with respect to our Railcar segment's response to the Revised Directive. The loss contingency reserve takes into account information available as of September 30, 2018 and our Railcar segment's contractual obligations in its capacity as both a manufacturer and owner of railcars subject to the Revised Directive. This amount is included in accrued expenses and other liabilities on the consolidated balance sheets. This amount will continue to be evaluated as our Railcar segment's and its customers' compliance with the Revised Directive and the settlement agreement progress. Actual results could differ from this estimate.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337" w:right="25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Obligations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91.5% of Icahn Enterprises' outstanding depositary units as of September 30, 2018.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7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As a result of the more than 80% ownership interest in us by Mr. Icahn’s affiliates and our ownership of more than 80% in certain of our subsidiaries, we and certain of our subsidiaries are subject to the pension liabilities of entities in which Mr. Icahn has a direct or indirect ownership interest of at least 80%. ACF and Federal-Mogul, are the sponsors of several pension plans. All the minimum funding requirements of the Internal Revenue Code, as amended, and the Employee Retirement Income Security Act of 1974, as amended by the Pension Protection Act of 2006, for these plans have been met as of September 30, 2018 and December 31, 2017. If the plans were voluntarily terminated, they would be underfunded by approximately $371 million ($77 million for ACF and $294 million for Federal-Mogul) and $424 million as of September 30, 2018 and December 31, 2017,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7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current underfunded status of the pension plans of ACF and Federal-Mogul requires them to notify the PBGC of certain “reportable events,” such as if they cease to be a member of the ACF and Federal-Mogul controlled group, or if they make certain extraordinary dividends or stock redemptions. As of October 1, 2018, Federal-Mogul is no longer a member of the controlled group.</w:t>
      </w:r>
    </w:p>
    <w:p>
      <w:pPr>
        <w:spacing w:after="0" w:line="7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U.S. Attorney’s office for the Southern District of New York contacted Icahn Enterprises L.P. in September 2017 seeking production of information pertaining to our and Mr. Icahn’s activities relating to the Renewable Fuels Standard and Mr. Icahn’s former role as an advisor to the President. We are cooperating with the request and provided information in response to the subpoena. The U.S. Attorney’s office has not made any claims or allegations against us or Mr. Icahn. We maintain a strong compliance program and, while no assurances can be made, we do not believe this inquiry will have a material impact on our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37"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Cash Flow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from continuing operations consists of the following:</w:t>
      </w:r>
    </w:p>
    <w:p>
      <w:pPr>
        <w:spacing w:after="0" w:line="167"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92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22860</wp:posOffset>
            </wp:positionV>
            <wp:extent cx="2101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for interest, net of amounts capitalized</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416</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cash (receipts) payments for income taxes, net of refunds</w:t>
            </w:r>
          </w:p>
        </w:tc>
        <w:tc>
          <w:tcPr>
            <w:tcW w:w="1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subsidiary common stock included in accrued expenses and other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Seller financing secured mortgages resulting from disposition of assets</w:t>
            </w:r>
          </w:p>
        </w:tc>
        <w:tc>
          <w:tcPr>
            <w:tcW w:w="1100" w:type="dxa"/>
            <w:vAlign w:val="bottom"/>
          </w:tcPr>
          <w:p>
            <w:pPr>
              <w:spacing w:after="0"/>
              <w:rPr>
                <w:sz w:val="21"/>
                <w:szCs w:val="21"/>
                <w:color w:val="auto"/>
              </w:rPr>
            </w:pPr>
          </w:p>
        </w:tc>
        <w:tc>
          <w:tcPr>
            <w:tcW w:w="5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 included in accounts payable, accrued expenses and other liabilities</w:t>
            </w:r>
          </w:p>
        </w:tc>
        <w:tc>
          <w:tcPr>
            <w:tcW w:w="1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8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7"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On October 31, 2018, the Board of Directors of the general partner of Icahn Enterprises declared a quarterly distribution in the amount of $1.75 per depositary unit. The quarterly distribution is payable in either cash or additional depositary units, at the election of each depositary unit holder and will be paid on or about December 18, 2018 to depositary unit holders of record at the close of business on November 12, 2018. Depositary unit holders have until December 7, 2018 to make an election to receive either cash or additional depositary units; if a holder does not make an election, it will automatically be deemed to have elected to receive the distribution in cash. Depositary unit holders who elect to receive additional depositary units will receive units valued at the volume weighted average trading price of the units on NASDAQ during the 5 consecutive trading days ending December 14, 2018. No fractional depositary units will be issued pursuant to the distribution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October 22, 2018, we announced a definitive agreement to sell ARI. See Note 1, "Description of Business," for further discussion.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Operating Businesses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October 1, 2018, we closed on the sales of Federal-Mogul and Tropicana. See Note 1, "Description of Business," for further discussion.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37"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September 30, 2018 (this "Report"), as well as our Annual Report on Form 10-K filed with the Securities and Exchange Commission on March 1, 2018.</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Icahn Enterprises owns a 99% limited partner interest in Icahn Enterprises Holdings L.P. ("Icahn Enterprises Holdings").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to the general and limited partners. We do not discuss Icahn Enterprises and Icahn Enterprises Holdings separately unless we believe it is necessary to an understanding of the businesses.</w:t>
      </w:r>
    </w:p>
    <w:p>
      <w:pPr>
        <w:spacing w:after="0" w:line="8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Railcar, Metals,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our Holding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Transactions and Developments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Subsequent Events. </w:t>
      </w:r>
      <w:r>
        <w:rPr>
          <w:rFonts w:ascii="Arial" w:cs="Arial" w:eastAsia="Arial" w:hAnsi="Arial"/>
          <w:sz w:val="18"/>
          <w:szCs w:val="18"/>
          <w:color w:val="auto"/>
        </w:rPr>
        <w:t>On October 1, 2018, we closed on the sales of Federal-Mogul LLC ("Federal-Mogul") and Tropicana Entertainment Inc. ("Tropicana").</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the transactions, our Holding Company received approximately $2.3 billion in aggregate cash proceeds and will recognize aggregate pre-tax gains on the sales of discontinued operations of approximately $1.0 billion in the fourth quarter of 2018. In addition, on October 22, 2018, we announced a definitive agreement to sell ARI. See Note 1, "Description of Business," to the condensed consolidated financial statements for further discussion of the above transactions.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operating businesses comprise consolidated subsidiaries which operate in various industries and are managed on a decentralized basis. Results of operations for our continuing operating businesses primarily consist of net sales of various products, services revenue, franchisor operations and leasing of certain assets. Due to the structure and nature of our business, we primarily discuss the results of operations by individual reporting segment in order to better understand our consolidated operating performance. Certain other financial information is discussed on a consolidated basis following our segment discussion, including our results from discontinued operations. In addition to the summarized financial results below, refer to Note 11, "Segment Reporting," to the condensed consolidated financial statements for a reconciliation of each of our reporting segment's results of continuing operations to our consolidated results.</w:t>
      </w:r>
    </w:p>
    <w:p>
      <w:pPr>
        <w:spacing w:after="0" w:line="8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comparability of our summarized consolidated financial results from continuing operations presented below is affected by, among other factors, (i) the performance of the Investment Funds, (ii) dispositions of assets, primarily within our Railcar and Real Estate segments and (iii) various acquisitions, primarily within our Automotive segment during 2017. Refer to our respective segment discussions and "Other Consolidated Results of Operations," below for further discussion.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Net Income (Loss) From Continuing</w:t>
            </w:r>
          </w:p>
        </w:tc>
      </w:tr>
      <w:tr>
        <w:trPr>
          <w:trHeight w:val="216"/>
        </w:trPr>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0"/>
              </w:rPr>
              <w:t>Net Income (Loss) From Continuing</w:t>
            </w:r>
          </w:p>
        </w:tc>
        <w:tc>
          <w:tcPr>
            <w:tcW w:w="140" w:type="dxa"/>
            <w:vAlign w:val="bottom"/>
          </w:tcPr>
          <w:p>
            <w:pPr>
              <w:spacing w:after="0"/>
              <w:rPr>
                <w:sz w:val="18"/>
                <w:szCs w:val="18"/>
                <w:color w:val="auto"/>
              </w:rPr>
            </w:pPr>
          </w:p>
        </w:tc>
        <w:tc>
          <w:tcPr>
            <w:tcW w:w="27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2"/>
              </w:rPr>
              <w:t>Operations Attributable to Icahn</w:t>
            </w:r>
          </w:p>
        </w:tc>
      </w:tr>
      <w:tr>
        <w:trPr>
          <w:trHeight w:val="234"/>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4"/>
              </w:rPr>
              <w:t>Revenues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gridSpan w:val="3"/>
          </w:tcPr>
          <w:p>
            <w:pPr>
              <w:jc w:val="center"/>
              <w:ind w:left="511"/>
              <w:spacing w:after="0"/>
              <w:rPr>
                <w:sz w:val="20"/>
                <w:szCs w:val="20"/>
                <w:color w:val="auto"/>
              </w:rPr>
            </w:pPr>
            <w:r>
              <w:rPr>
                <w:rFonts w:ascii="Arial" w:cs="Arial" w:eastAsia="Arial" w:hAnsi="Arial"/>
                <w:sz w:val="18"/>
                <w:szCs w:val="18"/>
                <w:b w:val="1"/>
                <w:bCs w:val="1"/>
                <w:color w:val="auto"/>
                <w:w w:val="90"/>
              </w:rPr>
              <w:t>Operations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8"/>
              </w:rPr>
              <w:t>Enterprises</w:t>
            </w:r>
          </w:p>
        </w:tc>
        <w:tc>
          <w:tcPr>
            <w:tcW w:w="9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Three Months Ended</w:t>
            </w:r>
          </w:p>
        </w:tc>
        <w:tc>
          <w:tcPr>
            <w:tcW w:w="140" w:type="dxa"/>
            <w:vAlign w:val="bottom"/>
          </w:tcPr>
          <w:p>
            <w:pPr>
              <w:spacing w:after="0"/>
              <w:rPr>
                <w:sz w:val="18"/>
                <w:szCs w:val="18"/>
                <w:color w:val="auto"/>
              </w:rPr>
            </w:pPr>
          </w:p>
        </w:tc>
        <w:tc>
          <w:tcPr>
            <w:tcW w:w="270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27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1"/>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w:t>
            </w:r>
          </w:p>
        </w:tc>
        <w:tc>
          <w:tcPr>
            <w:tcW w:w="44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Holding Company</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03"/>
        </w:trPr>
        <w:tc>
          <w:tcPr>
            <w:tcW w:w="26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Other Operating Segments: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Energy</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1,943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Railcar</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Metals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Food Packaging</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Home Fashion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operating segments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r>
      <w:tr>
        <w:trPr>
          <w:trHeight w:val="257"/>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Consolidated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2,685</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3,504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577</w:t>
            </w:r>
          </w:p>
        </w:tc>
      </w:tr>
      <w:tr>
        <w:trPr>
          <w:trHeight w:val="20"/>
        </w:trPr>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gridSpan w:val="2"/>
          </w:tcPr>
          <w:p>
            <w:pPr>
              <w:jc w:val="center"/>
              <w:ind w:right="10"/>
              <w:spacing w:after="0"/>
              <w:rPr>
                <w:sz w:val="20"/>
                <w:szCs w:val="20"/>
                <w:color w:val="auto"/>
              </w:rPr>
            </w:pPr>
            <w:r>
              <w:rPr>
                <w:rFonts w:ascii="Arial" w:cs="Arial" w:eastAsia="Arial" w:hAnsi="Arial"/>
                <w:sz w:val="18"/>
                <w:szCs w:val="18"/>
                <w:color w:val="auto"/>
                <w:w w:val="89"/>
              </w:rPr>
              <w:t>45</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Net Income (Loss) From Continuing</w:t>
            </w:r>
          </w:p>
        </w:tc>
      </w:tr>
      <w:tr>
        <w:trPr>
          <w:trHeight w:val="216"/>
        </w:trPr>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0"/>
              </w:rPr>
              <w:t>Net Income (Loss) From Continuing</w:t>
            </w:r>
          </w:p>
        </w:tc>
        <w:tc>
          <w:tcPr>
            <w:tcW w:w="140" w:type="dxa"/>
            <w:vAlign w:val="bottom"/>
          </w:tcPr>
          <w:p>
            <w:pPr>
              <w:spacing w:after="0"/>
              <w:rPr>
                <w:sz w:val="18"/>
                <w:szCs w:val="18"/>
                <w:color w:val="auto"/>
              </w:rPr>
            </w:pPr>
          </w:p>
        </w:tc>
        <w:tc>
          <w:tcPr>
            <w:tcW w:w="27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2"/>
              </w:rPr>
              <w:t>Operations Attributable to Icahn</w:t>
            </w:r>
          </w:p>
        </w:tc>
      </w:tr>
      <w:tr>
        <w:trPr>
          <w:trHeight w:val="234"/>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4"/>
              </w:rPr>
              <w:t>Revenues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3"/>
          </w:tcPr>
          <w:p>
            <w:pPr>
              <w:jc w:val="center"/>
              <w:ind w:left="551"/>
              <w:spacing w:after="0"/>
              <w:rPr>
                <w:sz w:val="20"/>
                <w:szCs w:val="20"/>
                <w:color w:val="auto"/>
              </w:rPr>
            </w:pPr>
            <w:r>
              <w:rPr>
                <w:rFonts w:ascii="Arial" w:cs="Arial" w:eastAsia="Arial" w:hAnsi="Arial"/>
                <w:sz w:val="18"/>
                <w:szCs w:val="18"/>
                <w:b w:val="1"/>
                <w:bCs w:val="1"/>
                <w:color w:val="auto"/>
                <w:w w:val="90"/>
              </w:rPr>
              <w:t>Operations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8"/>
              </w:rPr>
              <w:t>Enterprises</w:t>
            </w:r>
          </w:p>
        </w:tc>
        <w:tc>
          <w:tcPr>
            <w:tcW w:w="9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1"/>
              </w:rPr>
              <w:t>Nine Months Ended</w:t>
            </w:r>
          </w:p>
        </w:tc>
        <w:tc>
          <w:tcPr>
            <w:tcW w:w="300" w:type="dxa"/>
            <w:vAlign w:val="bottom"/>
          </w:tcPr>
          <w:p>
            <w:pPr>
              <w:spacing w:after="0"/>
              <w:rPr>
                <w:sz w:val="18"/>
                <w:szCs w:val="18"/>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1"/>
              </w:rPr>
              <w:t>Nine Months Ended</w:t>
            </w:r>
          </w:p>
        </w:tc>
        <w:tc>
          <w:tcPr>
            <w:tcW w:w="140" w:type="dxa"/>
            <w:vAlign w:val="bottom"/>
          </w:tcPr>
          <w:p>
            <w:pPr>
              <w:spacing w:after="0"/>
              <w:rPr>
                <w:sz w:val="18"/>
                <w:szCs w:val="18"/>
                <w:color w:val="auto"/>
              </w:rPr>
            </w:pPr>
          </w:p>
        </w:tc>
        <w:tc>
          <w:tcPr>
            <w:tcW w:w="270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27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Holding Company</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259</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03"/>
        </w:trPr>
        <w:tc>
          <w:tcPr>
            <w:tcW w:w="26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Other Operating Segments: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Energy</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5,463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4,391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Railcar</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Metals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Food Packaging</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Home Fashion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operating segments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9,022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1,556</w:t>
            </w:r>
          </w:p>
        </w:tc>
      </w:tr>
      <w:tr>
        <w:trPr>
          <w:trHeight w:val="257"/>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Consolidated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9,427</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10,468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2,027</w:t>
            </w:r>
          </w:p>
        </w:tc>
      </w:tr>
      <w:tr>
        <w:trPr>
          <w:trHeight w:val="20"/>
        </w:trPr>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invest our proprietary capital through various private investment funds ("Investment Funds"). As of September 30, 2018 and December 31, 2017, we had investments with a fair market value of approximately $3.0 billion and $3.0 billion, respectively, in the Investment Funds. As of September 30, 2018 and December 31, 2017, the total fair market value of investments in the Investment Funds made by Mr. Icahn and his affiliates (excluding us) was approximately $4.8 billion and $4.4 billion, respectively.</w:t>
      </w:r>
    </w:p>
    <w:p>
      <w:pPr>
        <w:spacing w:after="0" w:line="79"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Our Investment segment's results of operations are reflected in net income on the condensed consolidated statements of operations. Our Investment segment's net income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and by Mr. Icahn and his affiliates.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September 30, 2018.</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26" w:right="239" w:bottom="1440" w:gutter="0" w:footer="0" w:header="0"/>
        </w:sectPr>
      </w:pPr>
    </w:p>
    <w:bookmarkStart w:id="49" w:name="page50"/>
    <w:bookmarkEnd w:id="49"/>
    <w:p>
      <w:pPr>
        <w:jc w:val="both"/>
        <w:ind w:right="180" w:firstLine="378"/>
        <w:spacing w:after="0" w:line="312" w:lineRule="auto"/>
        <w:rPr>
          <w:sz w:val="20"/>
          <w:szCs w:val="20"/>
          <w:color w:val="auto"/>
        </w:rPr>
      </w:pPr>
      <w:r>
        <w:rPr>
          <w:rFonts w:ascii="Arial" w:cs="Arial" w:eastAsia="Arial" w:hAnsi="Arial"/>
          <w:sz w:val="16"/>
          <w:szCs w:val="16"/>
          <w:color w:val="auto"/>
        </w:rPr>
        <w:t>For the three months ended September 30, 2018 and 2017, our Investment Funds' returns were (6.3)% and 5.1%, respectively, and for the nine months ended September 30, 2018 and 2017, our Investment Funds' returns were 3.5% and 6.6%, respectively. Our Investment Funds' returns represent a weighted-average composite of the average returns, net of expenses. The following table sets forth the performance attribution for the Investment Funds' returns.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334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2"/>
              </w:rPr>
              <w:t>Three Months Ended</w:t>
            </w:r>
          </w:p>
        </w:tc>
        <w:tc>
          <w:tcPr>
            <w:tcW w:w="3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860" w:type="dxa"/>
            <w:vAlign w:val="bottom"/>
          </w:tcPr>
          <w:p>
            <w:pPr>
              <w:spacing w:after="0"/>
              <w:rPr>
                <w:sz w:val="20"/>
                <w:szCs w:val="20"/>
                <w:color w:val="auto"/>
              </w:rPr>
            </w:pPr>
          </w:p>
        </w:tc>
        <w:tc>
          <w:tcPr>
            <w:tcW w:w="222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2017</w:t>
            </w:r>
          </w:p>
        </w:tc>
        <w:tc>
          <w:tcPr>
            <w:tcW w:w="12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48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20.5 %</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Short positions</w:t>
            </w:r>
          </w:p>
        </w:tc>
        <w:tc>
          <w:tcPr>
            <w:tcW w:w="15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4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486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6.6 %</w:t>
            </w:r>
          </w:p>
        </w:tc>
      </w:tr>
      <w:tr>
        <w:trPr>
          <w:trHeight w:val="27"/>
        </w:trPr>
        <w:tc>
          <w:tcPr>
            <w:tcW w:w="48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net income (loss) for our Investment segment for the three and nine months ended September 30, 2018 and 2017.</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7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2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w w:val="92"/>
              </w:rPr>
              <w:t>September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Short positions</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(975)</w:t>
            </w: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7"/>
        </w:trPr>
        <w:tc>
          <w:tcPr>
            <w:tcW w:w="47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w:t>
            </w: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2018 and 2017</w:t>
      </w:r>
    </w:p>
    <w:p>
      <w:pPr>
        <w:spacing w:after="0" w:line="117" w:lineRule="exact"/>
        <w:rPr>
          <w:sz w:val="20"/>
          <w:szCs w:val="20"/>
          <w:color w:val="auto"/>
        </w:rPr>
      </w:pPr>
    </w:p>
    <w:p>
      <w:pPr>
        <w:ind w:right="60" w:firstLine="378"/>
        <w:spacing w:after="0" w:line="291" w:lineRule="auto"/>
        <w:rPr>
          <w:sz w:val="20"/>
          <w:szCs w:val="20"/>
          <w:color w:val="auto"/>
        </w:rPr>
      </w:pPr>
      <w:r>
        <w:rPr>
          <w:rFonts w:ascii="Arial" w:cs="Arial" w:eastAsia="Arial" w:hAnsi="Arial"/>
          <w:sz w:val="16"/>
          <w:szCs w:val="16"/>
          <w:color w:val="auto"/>
        </w:rPr>
        <w:t>For the three months ended September 30, 2018, the Investment Funds' negative performance was driven by net losses in their short positions, offset in part by net gains in their long positions. The negative performance of our Investment segment's short positions was driven by the negative performance of broad market hedges of $588 million. The aggregate performance of investments with net losses across various other sectors accounted for the additional negative performance of our Investment segment's short positions. The positive performance of our Investment segment's long positions was driven by a technology sector investment and two energy sector investments with net gains aggregating $306 million. The aggregate performance of investments with net gains across various other sectors accounted for the additional positive performance of our Investment segment's long positions. Gains in long positions were offset in part by losses from a consumer, cyclical sector investment and a basic material sector investment aggregating $278 million.</w:t>
      </w:r>
    </w:p>
    <w:p>
      <w:pPr>
        <w:spacing w:after="0" w:line="59"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For the three months ended September 30, 2017, our Investment Funds' positive performance was driven by net gains in their long positions offset in part by net losses in their short positions. The positive performance of our Investment segment's long positions was driven by gains from a consumer, non-cyclical sector investment, a consumer, cyclical sector investment and a basic materials sector investment aggregating $647 million. The aggregate performance of investments with gains across various other sectors accounted for the additional positive performance of our Investment segment's long positions. Losses in short positions were attributable to the negative performance of broad market hedges of $498 million and the negative performance of various other short positions across multiple sectors. Losses in short positions were offset in part by the positive performance of a certain short position in the consumer, cyclical sector of $112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2018 and 2017</w:t>
      </w:r>
    </w:p>
    <w:p>
      <w:pPr>
        <w:spacing w:after="0" w:line="117" w:lineRule="exact"/>
        <w:rPr>
          <w:sz w:val="20"/>
          <w:szCs w:val="20"/>
          <w:color w:val="auto"/>
        </w:rPr>
      </w:pPr>
    </w:p>
    <w:p>
      <w:pPr>
        <w:ind w:right="40" w:firstLine="378"/>
        <w:spacing w:after="0" w:line="291" w:lineRule="auto"/>
        <w:rPr>
          <w:sz w:val="20"/>
          <w:szCs w:val="20"/>
          <w:color w:val="auto"/>
        </w:rPr>
      </w:pPr>
      <w:r>
        <w:rPr>
          <w:rFonts w:ascii="Arial" w:cs="Arial" w:eastAsia="Arial" w:hAnsi="Arial"/>
          <w:sz w:val="16"/>
          <w:szCs w:val="16"/>
          <w:color w:val="auto"/>
        </w:rPr>
        <w:t>For the nine months ended September 30, 2018, the Investment Funds' positive performance was driven by net gains in their long positions offset in part by net losses in their short positions. The positive performance of our Investment segment's long positions was driven by gains from a consumer, non-cyclical sector investment and two energy sector investments with gains aggregating approximately $1.3 billion. The aggregate performance of investments with net gains across various other sectors accounted for the additional positive performance of our Investment segment's long positions. Gains in long positions were offset in part by losses from a basic materials sector investment, a consumer, cyclical sector investment and a consumer non-cyclical sector investment with losses aggregating $537 million. The negative performance of our Investment segment's short positions was driven by the negative performance of broad market hedges of $650 million, offset in part by the aggregate performance of multiple short positions with net gains across various sectors.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76" w:right="239" w:bottom="1440" w:gutter="0" w:footer="0" w:header="0"/>
        </w:sectPr>
      </w:pPr>
    </w:p>
    <w:bookmarkStart w:id="50" w:name="page51"/>
    <w:bookmarkEnd w:id="50"/>
    <w:p>
      <w:pPr>
        <w:ind w:firstLine="378"/>
        <w:spacing w:after="0" w:line="291" w:lineRule="auto"/>
        <w:rPr>
          <w:sz w:val="20"/>
          <w:szCs w:val="20"/>
          <w:color w:val="auto"/>
        </w:rPr>
      </w:pPr>
      <w:r>
        <w:rPr>
          <w:rFonts w:ascii="Arial" w:cs="Arial" w:eastAsia="Arial" w:hAnsi="Arial"/>
          <w:sz w:val="16"/>
          <w:szCs w:val="16"/>
          <w:color w:val="auto"/>
        </w:rPr>
        <w:t>For the nine months ended September 30, 2017, the Investment Funds' positive performance was driven by net gains in their long positions, offset in part by net losses in their short positions. The positive performance of our Investment segment's long positions was driven by gains from two consumer, non-cyclical sector investments, a technology sector investment and a consumer, cyclical sector investment with gains aggregating approximately $1.1 billion. The aggregate performance of investments with gains across various other sectors accounted for the additional positive performance of our Investment segment's long positions, offset in part by the aggregate performance of investments with losses in the financial sector. Losses in short positions were attributable to the negative performance of broad market hedges of approximately $1.6 billion and the negative performance of various other short positions across multiple sectors. Losses in short positions were offset in part by the positive performance of short positions in the consumer, cyclical sector aggregating $735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71" w:lineRule="exact"/>
        <w:rPr>
          <w:sz w:val="20"/>
          <w:szCs w:val="20"/>
          <w:color w:val="auto"/>
        </w:rPr>
      </w:pPr>
    </w:p>
    <w:p>
      <w:pPr>
        <w:ind w:right="40" w:firstLine="378"/>
        <w:spacing w:after="0" w:line="271" w:lineRule="auto"/>
        <w:rPr>
          <w:sz w:val="20"/>
          <w:szCs w:val="20"/>
          <w:color w:val="auto"/>
        </w:rPr>
      </w:pPr>
      <w:r>
        <w:rPr>
          <w:rFonts w:ascii="Arial" w:cs="Arial" w:eastAsia="Arial" w:hAnsi="Arial"/>
          <w:sz w:val="17"/>
          <w:szCs w:val="17"/>
          <w:color w:val="auto"/>
        </w:rPr>
        <w:t>Our Automotive segment's results of operations are generally driven by the distribution and installation of automotive parts and are affected by the relative strength of automotive part replacement trends, among other factors. Acquisitions in recent years within our Automotive segment, including our acquisitions of the franchise businesses of Precision Tune Auto Care and American Driveline Systems, the franchisor of AAMCO and licensor of Cottman Transmission service centers, in 2017, provided operating synergies, expanded our market presence, strengthened our parts distribution channel and enhanced our Automotive segment's ability to better service its customers. Our Automotive segment's results of operations also include automotive services labor. Automotive services labor revenues are included in other revenues from operations in our condensed consolidated statements of operations, however, the sale of any installed parts or materials related to automotive services are included in net sales. Therefore, we discuss the combined results of our automotive net sales and automotive services labor revenues below.</w:t>
      </w:r>
    </w:p>
    <w:p>
      <w:pPr>
        <w:spacing w:after="0" w:line="7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Our Automotive segment is in the process of implementing a multi-year transformation plan, which includes the integration and restructuring of the operations of The Pep Boys - Manny, Moe &amp; Jack ("Pep Boys"), IEH Auto Parts Holding LLC ("IEH Auto") and the franchise businesses of Precision Tune Auto Care and American Driveline Systems. Our Automotive segment's priorities include:</w:t>
      </w:r>
    </w:p>
    <w:p>
      <w:pPr>
        <w:spacing w:after="0" w:line="19" w:lineRule="exact"/>
        <w:rPr>
          <w:sz w:val="20"/>
          <w:szCs w:val="20"/>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Positioning the service business to take advantage of opportunities in the do-it-for-me market and vehicle fleets;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Optimizing the value of the commercial parts distribution business in high volume markets;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Improving inventory management across Icahn Automotive's parts and tire distribution network;</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Optimizing the store and warehouse footprint through openings, closings, consolidations and conversions by market;</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Digital initiatives including a new e-commerce platform and enhanced e-fulfillment capabilities;</w:t>
      </w:r>
    </w:p>
    <w:p>
      <w:pPr>
        <w:spacing w:after="0" w:line="157"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 in customer experience initiatives such as enhanced customer loyalty programs and selective upgrades in facilities;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 in employees with focus on training and career development investments;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process improvements, including investments in our supply chain and information technology capabilities.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8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92"/>
              </w:rPr>
              <w:t>September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6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and services labor revenues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 and services labor</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4"/>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1,451</w:t>
            </w:r>
          </w:p>
        </w:tc>
      </w:tr>
      <w:tr>
        <w:trPr>
          <w:trHeight w:val="27"/>
        </w:trPr>
        <w:tc>
          <w:tcPr>
            <w:tcW w:w="4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2018 and 2017</w:t>
      </w:r>
    </w:p>
    <w:p>
      <w:pPr>
        <w:spacing w:after="0" w:line="117"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Net sales and automotive services labor revenues for our Automotive segment for the three months ended September 30, 2018 increased by $35 million (5%) as compared to the comparable prior year period. The increase was due to organic revenue growth of $18 million and acquisitions, which accounted for $29 million of the increase, offset in part by $12 million due to the effects of the adoption of FASB ASC Topic 606, net of other adjustments. On an organic basis, commercial sales increased $18 million (8%), driven by increases in IEH Auto sales as well as growth in Pep Boys commercial programs, service sales (including labor) increased $8 million (3%), due to growing do-it-for-me and fleet businesses, and retail sales decreased $8 million (5%).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76" w:right="239" w:bottom="1440" w:gutter="0" w:footer="0" w:header="0"/>
        </w:sectPr>
      </w:pPr>
    </w:p>
    <w:bookmarkStart w:id="51" w:name="page52"/>
    <w:bookmarkEnd w:id="51"/>
    <w:p>
      <w:pPr>
        <w:ind w:right="40" w:firstLine="405"/>
        <w:spacing w:after="0" w:line="293" w:lineRule="auto"/>
        <w:rPr>
          <w:sz w:val="20"/>
          <w:szCs w:val="20"/>
          <w:color w:val="auto"/>
        </w:rPr>
      </w:pPr>
      <w:r>
        <w:rPr>
          <w:rFonts w:ascii="Arial" w:cs="Arial" w:eastAsia="Arial" w:hAnsi="Arial"/>
          <w:sz w:val="16"/>
          <w:szCs w:val="16"/>
          <w:color w:val="auto"/>
        </w:rPr>
        <w:t>Cost of goods sold and automotive services labor for the three months ended September 30, 2018 decreased by $7 million (1%), as compared to the comparable prior year period. The decrease was due to the effects of the adoption of FASB ASC Topic 606, as discussed above, offset in part by volume increases. Gross margin on net sales and automotive services labor revenues for the three months ended September 30, 2018 increased by $42 million (21%) as compared to the comparable prior year period. Gross margin as a percentage of net sales and automotive services labor revenues was 33% and 28% for the three months ended September 30, 2018 and 2017, respectively. The improvement in gross margin primarily reflects higher margin percentages from franchisor operations as well as higher margins in automotive services due to cost improvements and selective price increases.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2018 and 2017</w:t>
      </w:r>
    </w:p>
    <w:p>
      <w:pPr>
        <w:spacing w:after="0" w:line="11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Net sales and automotive services labor revenues for our Automotive segment for the nine months ended September 30, 2018 increased by $127 million (6%) as compared to the comparable prior year period. The increase was due to organic revenue growth of $70 million and acquisitions, which accounted for $105 million of the increase, offset in part by $48 million due to the effects of the adoption of FASB ASC Topic 606, net of other adjustments. On an organic basis, commercial sales increased $47 million (7%), driven by increases in IEH Auto sales as well as growth in Pep Boys commercial programs, service sales (including labor) increased $34 million (4%), due to growing do-it-for-me and fleet businesses, and retail sales decreased $11 million (3%).</w:t>
      </w:r>
    </w:p>
    <w:p>
      <w:pPr>
        <w:spacing w:after="0" w:line="50"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Cost of goods sold and automotive services labor for the nine months ended September 30, 2018 increased by $20 million (1%), as compared to the comparable prior year period. The increase was due to volume increases offset in part by the effects of the adoption of FASB ASC Topic 606 as discussed above. Gross margin on net sales and automotive services labor revenues for the nine months ended September 30, 2018 increased by $107 million (18%) as compared to the comparable prior year period. Gross margin as a percentage of net sales and automotive services labor revenues was 32% and 29% for the nine months ended September 30, 2018 and 2017, respectively. The improvement in gross margin primarily reflects higher margin percentages from franchisor operations as well as higher margins in automotive services due to cost improvements and selective price increases.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71"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Our Energy segment is primarily engaged in the petroleum refining and nitrogen fertilizer manufacturing businesses. The petroleum business accounted for approximately 95% and 94% of our Energy segment's net sales for the nine months ended September 30, 2018 and 2017, respectively.</w:t>
      </w:r>
    </w:p>
    <w:p>
      <w:pPr>
        <w:spacing w:after="0" w:line="38" w:lineRule="exact"/>
        <w:rPr>
          <w:sz w:val="20"/>
          <w:szCs w:val="20"/>
          <w:color w:val="auto"/>
        </w:rPr>
      </w:pPr>
    </w:p>
    <w:p>
      <w:pPr>
        <w:ind w:right="40" w:firstLine="378"/>
        <w:spacing w:after="0" w:line="270" w:lineRule="auto"/>
        <w:rPr>
          <w:sz w:val="20"/>
          <w:szCs w:val="20"/>
          <w:color w:val="auto"/>
        </w:rPr>
      </w:pPr>
      <w:r>
        <w:rPr>
          <w:rFonts w:ascii="Arial" w:cs="Arial" w:eastAsia="Arial" w:hAnsi="Arial"/>
          <w:sz w:val="17"/>
          <w:szCs w:val="17"/>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depends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short-term fluctuations in the market price of inventory. The effect of changes in crude oil prices on the petroleum business' results of operations is influenced by the rate at which the prices of refined products adjust to reflect these changes.</w:t>
      </w:r>
    </w:p>
    <w:p>
      <w:pPr>
        <w:spacing w:after="0" w:line="74" w:lineRule="exact"/>
        <w:rPr>
          <w:sz w:val="20"/>
          <w:szCs w:val="20"/>
          <w:color w:val="auto"/>
        </w:rPr>
      </w:pPr>
    </w:p>
    <w:p>
      <w:pPr>
        <w:ind w:right="20" w:firstLine="378"/>
        <w:spacing w:after="0" w:line="253" w:lineRule="auto"/>
        <w:rPr>
          <w:sz w:val="20"/>
          <w:szCs w:val="20"/>
          <w:color w:val="auto"/>
        </w:rPr>
      </w:pPr>
      <w:r>
        <w:rPr>
          <w:rFonts w:ascii="Arial" w:cs="Arial" w:eastAsia="Arial" w:hAnsi="Arial"/>
          <w:sz w:val="18"/>
          <w:szCs w:val="18"/>
          <w:color w:val="auto"/>
        </w:rPr>
        <w:t>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which requires it to either blend “renewable fuels” in with its transportation fuels or purchase renewable fuel credits, known as renewable identification numbers (“RINs”), in lieu of blending.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16, "Commitments and Contingencies," to the condensed consolidated financial statements for further discussion of RINs.</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76" w:right="27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7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4"/>
              </w:rPr>
              <w:t>September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1,935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1,454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1,742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4"/>
              <w:spacing w:after="0"/>
              <w:rPr>
                <w:sz w:val="20"/>
                <w:szCs w:val="20"/>
                <w:color w:val="auto"/>
              </w:rPr>
            </w:pPr>
            <w:r>
              <w:rPr>
                <w:rFonts w:ascii="Arial" w:cs="Arial" w:eastAsia="Arial" w:hAnsi="Arial"/>
                <w:sz w:val="18"/>
                <w:szCs w:val="18"/>
                <w:color w:val="auto"/>
                <w:w w:val="93"/>
              </w:rPr>
              <w:t>1,357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4,191</w:t>
            </w: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2018 and 2017</w:t>
      </w:r>
    </w:p>
    <w:p>
      <w:pPr>
        <w:spacing w:after="0" w:line="117" w:lineRule="exact"/>
        <w:rPr>
          <w:sz w:val="20"/>
          <w:szCs w:val="20"/>
          <w:color w:val="auto"/>
        </w:rPr>
      </w:pPr>
    </w:p>
    <w:p>
      <w:pPr>
        <w:ind w:right="80" w:firstLine="378"/>
        <w:spacing w:after="0" w:line="257" w:lineRule="auto"/>
        <w:rPr>
          <w:sz w:val="20"/>
          <w:szCs w:val="20"/>
          <w:color w:val="auto"/>
        </w:rPr>
      </w:pPr>
      <w:r>
        <w:rPr>
          <w:rFonts w:ascii="Arial" w:cs="Arial" w:eastAsia="Arial" w:hAnsi="Arial"/>
          <w:sz w:val="18"/>
          <w:szCs w:val="18"/>
          <w:color w:val="auto"/>
        </w:rPr>
        <w:t>Net sales for our Energy segment increased by $481 million (33%) for the three months ended September 30, 2018 as compared to the comparable prior year period. The increase was primarily due to our petroleum business increasing $471 million as a result of higher refined product sales volumes, offset in part by lower refined product crack spreads. The sales volume increase was primarily due to maintenance at one of the refineries during the comparable prior year period. In addition, our nitrogen fertilizer business' net sales increased $10 million primarily due to higher sales prices resulting from favorable market conditions.</w:t>
      </w:r>
    </w:p>
    <w:p>
      <w:pPr>
        <w:spacing w:after="0" w:line="80"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Cost of goods sold for our Energy segment increased by $385 million (28%) for the three months ended September 30, 2018 as compared to the comparable prior year period. The increase was primarily due to our petroleum business as a result of a higher cost of consumed crude oil due to an increase in crude oil prices as well as a slight increase in crude oil volume.</w:t>
      </w:r>
    </w:p>
    <w:p>
      <w:pPr>
        <w:spacing w:after="0" w:line="73" w:lineRule="exact"/>
        <w:rPr>
          <w:sz w:val="20"/>
          <w:szCs w:val="20"/>
          <w:color w:val="auto"/>
        </w:rPr>
      </w:pPr>
    </w:p>
    <w:p>
      <w:pPr>
        <w:ind w:right="180" w:firstLine="378"/>
        <w:spacing w:after="0" w:line="255" w:lineRule="auto"/>
        <w:rPr>
          <w:sz w:val="20"/>
          <w:szCs w:val="20"/>
          <w:color w:val="auto"/>
        </w:rPr>
      </w:pPr>
      <w:r>
        <w:rPr>
          <w:rFonts w:ascii="Arial" w:cs="Arial" w:eastAsia="Arial" w:hAnsi="Arial"/>
          <w:sz w:val="18"/>
          <w:szCs w:val="18"/>
          <w:color w:val="auto"/>
        </w:rPr>
        <w:t>Gross margin for our Energy segment increased by $96 million for the three months ended September 30, 2018 as compared to the comparable prior year period. Gross margin as a percentage of net sales was 10% and 7% for the three months ended September 30, 2018 and 2017, respectively, with an increase attributable to both our petroleum and nitrogen fertilizer businesses. The increase in the gross margin as a percentage of net sales for our petroleum business was primarily due to higher gross margins per barrel resulting from reduced RINs costs and higher refined product sales volumes, offset in part by lower refined product crack spreads. The increase in the gross margin as a percentage of net sales for our nitrogen fertilizer business was due to higher sales prices.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2018 and 2017</w:t>
      </w:r>
    </w:p>
    <w:p>
      <w:pPr>
        <w:spacing w:after="0" w:line="117" w:lineRule="exact"/>
        <w:rPr>
          <w:sz w:val="20"/>
          <w:szCs w:val="20"/>
          <w:color w:val="auto"/>
        </w:rPr>
      </w:pPr>
    </w:p>
    <w:p>
      <w:pPr>
        <w:ind w:right="120" w:firstLine="378"/>
        <w:spacing w:after="0" w:line="312" w:lineRule="auto"/>
        <w:rPr>
          <w:sz w:val="20"/>
          <w:szCs w:val="20"/>
          <w:color w:val="auto"/>
        </w:rPr>
      </w:pPr>
      <w:r>
        <w:rPr>
          <w:rFonts w:ascii="Arial" w:cs="Arial" w:eastAsia="Arial" w:hAnsi="Arial"/>
          <w:sz w:val="16"/>
          <w:szCs w:val="16"/>
          <w:color w:val="auto"/>
        </w:rPr>
        <w:t>Net sales for our Energy segment increased by $991 million (23%) for the nine months ended September 30, 2018 as compared to the comparable prior year period. The increase was due to our petroleum business as a result of higher refined product spreads, offset in part by lower refined product sales volumes. Our nitrogen fertilizer business' net sales were flat over the comparable periods with higher sales prices offset by lower volumes.</w:t>
      </w:r>
    </w:p>
    <w:p>
      <w:pPr>
        <w:spacing w:after="0" w:line="39"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Cost of goods sold for our Energy segment increased by $757 million (18%) for the nine months ended September 30, 2018 as compared to the comparable prior year period. The increase was primarily due to our petroleum business as a result of a higher cost of consumed crude oil due to an increase in crude oil prices, offset in part by a decrease in the net cost of RINs. The net cost of RINs was favorably impacted by a reduction in the petroleum segment's RFS obligation and reduced market pricing.</w:t>
      </w:r>
    </w:p>
    <w:p>
      <w:pPr>
        <w:spacing w:after="0" w:line="79"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Gross margin for our Energy segment increased by $234 million for the nine months ended September 30, 2018 as compared to the comparable prior year period. Gross margin as a percentage of net sales was 8% and 5% for the nine months ended September 30, 2018 and 2017, respectively, with an increase attributable to our petroleum business offset in part by a decrease attributable to our fertilizer business. The increase in the gross margin as a percentage of net sales for our petroleum business was primarily due to higher gross margins per barrel resulting from a higher refined product crack spreads and reduced RINs costs, offset in part by lower sales volumes. The decrease in the gross margin as a percentage of net sales for our nitrogen fertilizer business was due to lower sales volumes.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3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Railcar</w:t>
      </w:r>
    </w:p>
    <w:p>
      <w:pPr>
        <w:spacing w:after="0" w:line="171"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Our Railcar segment's results of operations are generally driven by the manufacturing and leasing of railcars. On June 1, 2017 we sold American Railcar Leasing, LLC ("ARL") along with a majority of its railcar lease fleet. We sold the remaining railcars previously owned by ARL throughout the remainder of 2017 and the first nine months of 2018.</w:t>
      </w:r>
    </w:p>
    <w:p>
      <w:pPr>
        <w:spacing w:after="0" w:line="73" w:lineRule="exact"/>
        <w:rPr>
          <w:sz w:val="20"/>
          <w:szCs w:val="20"/>
          <w:color w:val="auto"/>
        </w:rPr>
      </w:pPr>
    </w:p>
    <w:p>
      <w:pPr>
        <w:ind w:right="580" w:firstLine="378"/>
        <w:spacing w:after="0" w:line="277" w:lineRule="auto"/>
        <w:rPr>
          <w:sz w:val="20"/>
          <w:szCs w:val="20"/>
          <w:color w:val="auto"/>
        </w:rPr>
      </w:pPr>
      <w:r>
        <w:rPr>
          <w:rFonts w:ascii="Arial" w:cs="Arial" w:eastAsia="Arial" w:hAnsi="Arial"/>
          <w:sz w:val="18"/>
          <w:szCs w:val="18"/>
          <w:color w:val="auto"/>
        </w:rPr>
        <w:t>In addition, on October 22, 2018, we announced a definitive agreement to sell ARI, which constitutes the remainder of our Railcar segment. This transaction is expected to close in the fourth quarter of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8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Nine Months Ended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92"/>
              </w:rPr>
              <w:t>September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w w:val="94"/>
              </w:rPr>
              <w:t>September 30,</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40" w:type="dxa"/>
            <w:vAlign w:val="bottom"/>
            <w:gridSpan w:val="3"/>
          </w:tcPr>
          <w:p>
            <w:pPr>
              <w:jc w:val="right"/>
              <w:ind w:right="65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Net Sales/Other Revenues From Operations:</w:t>
            </w: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 of Goods Sold/Other Expenses From Operations:</w:t>
            </w:r>
          </w:p>
        </w:tc>
        <w:tc>
          <w:tcPr>
            <w:tcW w:w="1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Manufacturing</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Leasing</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Railcar Services</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580" w:firstLine="378"/>
        <w:spacing w:after="0" w:line="277" w:lineRule="auto"/>
        <w:rPr>
          <w:sz w:val="20"/>
          <w:szCs w:val="20"/>
          <w:color w:val="auto"/>
        </w:rPr>
      </w:pPr>
      <w:r>
        <w:rPr>
          <w:rFonts w:ascii="Arial" w:cs="Arial" w:eastAsia="Arial" w:hAnsi="Arial"/>
          <w:sz w:val="18"/>
          <w:szCs w:val="18"/>
          <w:color w:val="auto"/>
        </w:rPr>
        <w:t>Summarized shipments of railcars to leasing and non-leasing customers for the three and nine months ended September 30, 2018 and 2017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82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2"/>
              </w:rPr>
              <w:t>Three Months Ended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1"/>
              </w:rPr>
              <w:t>Nine Months Ended</w:t>
            </w:r>
          </w:p>
        </w:tc>
        <w:tc>
          <w:tcPr>
            <w:tcW w:w="56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6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9"/>
              </w:rPr>
              <w:t>September 30,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5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5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2017</w:t>
            </w: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Shipments to leasing customers</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1,422</w:t>
            </w:r>
          </w:p>
        </w:tc>
      </w:tr>
      <w:tr>
        <w:trPr>
          <w:trHeight w:val="243"/>
        </w:trPr>
        <w:tc>
          <w:tcPr>
            <w:tcW w:w="5760" w:type="dxa"/>
            <w:vAlign w:val="bottom"/>
            <w:gridSpan w:val="2"/>
          </w:tcPr>
          <w:p>
            <w:pPr>
              <w:ind w:left="40"/>
              <w:spacing w:after="0"/>
              <w:rPr>
                <w:sz w:val="20"/>
                <w:szCs w:val="20"/>
                <w:color w:val="auto"/>
              </w:rPr>
            </w:pPr>
            <w:r>
              <w:rPr>
                <w:rFonts w:ascii="Arial" w:cs="Arial" w:eastAsia="Arial" w:hAnsi="Arial"/>
                <w:sz w:val="18"/>
                <w:szCs w:val="18"/>
                <w:color w:val="auto"/>
              </w:rPr>
              <w:t>Shipments to non-leasing customers</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1,797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1,698</w:t>
            </w:r>
          </w:p>
        </w:tc>
      </w:tr>
      <w:tr>
        <w:trPr>
          <w:trHeight w:val="27"/>
        </w:trPr>
        <w:tc>
          <w:tcPr>
            <w:tcW w:w="4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2,398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3,120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As of September 30, 2018, our Railcar segment had a backlog of 11,215 railcars, including 1,486 railcars expected to be built for lease customers and 9,729 railcars for non-lease customers. In response to changes in customer demand, our Railcar segment continues to adjust production rates at its railcar manufacturing facilities as needed.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2018 and 2017</w:t>
      </w:r>
    </w:p>
    <w:p>
      <w:pPr>
        <w:spacing w:after="0" w:line="117"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Total manufacturing revenues for the three months ended September 30, 2018 decreased by $28 million (41%) as compared to the comparable prior year period. The decrease was primarily due to a decrease in shipments to non-leasing customers offset in part by an increase in average selling prices due to a shift in mix of railcars shipped as well as higher revenues from material cost changes that are generally passed through to customers.</w:t>
      </w:r>
    </w:p>
    <w:p>
      <w:pPr>
        <w:spacing w:after="0" w:line="57"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Gross margin from manufacturing operations for the three months ended September 30, 2018 decreased by $5 million as compared to the comparable prior year period. Gross margin from manufacturing operations as a percentage of manufacturing revenues was negative for the three months ended September 30, 2018 compared to 4% for the three months ended September 30, 2017. The decrease in gross margin as a percentage of revenue was due to higher costs associated with lower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8" w:right="239" w:bottom="1440" w:gutter="0" w:footer="0" w:header="0"/>
        </w:sectPr>
      </w:pPr>
    </w:p>
    <w:bookmarkStart w:id="54" w:name="page55"/>
    <w:bookmarkEnd w:id="54"/>
    <w:p>
      <w:pPr>
        <w:ind w:right="340"/>
        <w:spacing w:after="0" w:line="264" w:lineRule="auto"/>
        <w:rPr>
          <w:sz w:val="20"/>
          <w:szCs w:val="20"/>
          <w:color w:val="auto"/>
        </w:rPr>
      </w:pPr>
      <w:r>
        <w:rPr>
          <w:rFonts w:ascii="Arial" w:cs="Arial" w:eastAsia="Arial" w:hAnsi="Arial"/>
          <w:sz w:val="18"/>
          <w:szCs w:val="18"/>
          <w:color w:val="auto"/>
        </w:rPr>
        <w:t>production volumes, a more competitive market for both hopper and tank railcars and certain inefficiencies encountered in ARI's railcar manufacturing facilities, including the direct and indirect costs associated with ARI's efforts to hire, train and retain workers to meet current demand for both hopper and tank railcars.</w:t>
      </w:r>
    </w:p>
    <w:p>
      <w:pPr>
        <w:spacing w:after="0" w:line="73"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Railcar leasing revenues decreased for the three months ended September 30, 2018 as compared to the comparable prior year period due to a decrease in leased railcars as a result of selling the remaining railcars previously owned by ARL, a decrease in weighted average lease rates and increased time off-lease for railcar reassignments. The lease fleet decreased to 13,506 railcars at September 30, 2018 from 17,122 railcars at September 30, 2017.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2018 and 2017</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Total manufacturing revenues for the nine months ended September 30, 2018 increased by $10 million (5%) as compared to the comparable prior year period. The increase was primarily due to an increase in shipments to non-leasing customers as well as higher revenues from material cost changes that are generally passed through to customers. The increases were offset in part by a decrease in average selling prices due to a shift in mix of railcars shipped as well as more competitive pricing for both hopper and tank railcars.</w:t>
      </w:r>
    </w:p>
    <w:p>
      <w:pPr>
        <w:spacing w:after="0" w:line="79"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Gross margin from manufacturing operations for the nine months ended September 30, 2018 decreased by $4 million as compared to the comparable prior year period. Gross margin from manufacturing operations as a percentage of manufacturing revenues was 5% and 8% for the nine months ended September 30, 2018 and 2017, respectively. The decrease in gross margin as a percentage of revenue was due to higher costs associated with lower production volumes, a more competitive market for both hopper and tank railcars and certain inefficiencies encountered in ARI's railcar manufacturing facilities, including the direct and indirect costs associated with ARI's efforts to hire, train and retain workers to meet current demand for both hopper and tank railcars.</w:t>
      </w:r>
    </w:p>
    <w:p>
      <w:pPr>
        <w:spacing w:after="0" w:line="50"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Railcar leasing revenues decreased for the nine months ended September 30, 2018 as compared to the comparable prior year period due to a decrease in leased railcars as a result of the sale of ARL in 2017, a decrease in weighted average lease rates and increased time off-lease for railcar reassignments. The lease fleet decreased to 13,506 railcars at September 30, 2018 from 17,122 railcars at September 30, 2017.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jc w:val="both"/>
        <w:ind w:right="160" w:firstLine="378"/>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United States and other global markets. Ferrous and non-ferrous scrap has been historically vulnerable to significant declines in consumption and product pricing during prolonged periods of economic downturn or stagnation.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2018 and 2017</w:t>
      </w:r>
    </w:p>
    <w:p>
      <w:pPr>
        <w:spacing w:after="0" w:line="117" w:lineRule="exact"/>
        <w:rPr>
          <w:sz w:val="20"/>
          <w:szCs w:val="20"/>
          <w:color w:val="auto"/>
        </w:rPr>
      </w:pPr>
    </w:p>
    <w:p>
      <w:pPr>
        <w:ind w:right="80" w:firstLine="378"/>
        <w:spacing w:after="0" w:line="276" w:lineRule="auto"/>
        <w:rPr>
          <w:sz w:val="20"/>
          <w:szCs w:val="20"/>
          <w:color w:val="auto"/>
        </w:rPr>
      </w:pPr>
      <w:r>
        <w:rPr>
          <w:rFonts w:ascii="Arial" w:cs="Arial" w:eastAsia="Arial" w:hAnsi="Arial"/>
          <w:sz w:val="17"/>
          <w:szCs w:val="17"/>
          <w:color w:val="auto"/>
        </w:rPr>
        <w:t>Net sales for the three months ended September 30, 2018 increased by $10 million (9%) compared to the comparable prior year period primarily due to higher average selling prices for most grades of material and higher ferrous and non-ferrous auto residue volumes. Ferrous selling prices increased due to higher market pricing as domestic mill production benefited from trade cases and the effects of tariffs implemented in 2018. Improved consumer market pricing was also driven primarily by the increased demand from domestic steel mills. Non-ferrous shipment volumes decreased due to a domestic oversupply of aluminum resulting from the ongoing trade war with China, which has significantly curtailed scrap imports.</w:t>
      </w:r>
    </w:p>
    <w:p>
      <w:pPr>
        <w:spacing w:after="0" w:line="64" w:lineRule="exact"/>
        <w:rPr>
          <w:sz w:val="20"/>
          <w:szCs w:val="20"/>
          <w:color w:val="auto"/>
        </w:rPr>
      </w:pPr>
    </w:p>
    <w:p>
      <w:pPr>
        <w:jc w:val="both"/>
        <w:ind w:right="120" w:firstLine="378"/>
        <w:spacing w:after="0" w:line="259" w:lineRule="auto"/>
        <w:rPr>
          <w:sz w:val="20"/>
          <w:szCs w:val="20"/>
          <w:color w:val="auto"/>
        </w:rPr>
      </w:pPr>
      <w:r>
        <w:rPr>
          <w:rFonts w:ascii="Arial" w:cs="Arial" w:eastAsia="Arial" w:hAnsi="Arial"/>
          <w:sz w:val="18"/>
          <w:szCs w:val="18"/>
          <w:color w:val="auto"/>
        </w:rPr>
        <w:t>Cost of goods sold for the three months ended September 30, 2018 increased by $10 million (10%) compared to the comparable prior year period. The increase was due to increased material costs due to higher ferrous market prices, offset in part by lower non-ferrous pricing. Gross margin as a percentage of net sales was flat for the three months ended September 30, 2018 compared to the comparable prior year period as higher ferrous margins were mostly offset by lower margins on non-ferrous and non-ferrous auto residue.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2018 and 2017</w:t>
      </w:r>
    </w:p>
    <w:p>
      <w:pPr>
        <w:spacing w:after="0" w:line="117" w:lineRule="exact"/>
        <w:rPr>
          <w:sz w:val="20"/>
          <w:szCs w:val="20"/>
          <w:color w:val="auto"/>
        </w:rPr>
      </w:pPr>
    </w:p>
    <w:p>
      <w:pPr>
        <w:ind w:right="160" w:firstLine="378"/>
        <w:spacing w:after="0" w:line="259" w:lineRule="auto"/>
        <w:rPr>
          <w:sz w:val="20"/>
          <w:szCs w:val="20"/>
          <w:color w:val="auto"/>
        </w:rPr>
      </w:pPr>
      <w:r>
        <w:rPr>
          <w:rFonts w:ascii="Arial" w:cs="Arial" w:eastAsia="Arial" w:hAnsi="Arial"/>
          <w:sz w:val="18"/>
          <w:szCs w:val="18"/>
          <w:color w:val="auto"/>
        </w:rPr>
        <w:t>Net sales for the nine months ended September 30, 2018 increased by $55 million (17%) compared to the comparable prior year period due to higher average selling prices for most grades of material and higher ferrous volumes. Ferrous selling prices increased due to higher market pricing as domestic mill production benefited from trade cases the effects of tariffs implemented in 2018. Improved consumer market pricing was also driven primarily by the increased demand from domestic steel mills.</w:t>
      </w:r>
    </w:p>
    <w:p>
      <w:pPr>
        <w:spacing w:after="0" w:line="79" w:lineRule="exact"/>
        <w:rPr>
          <w:sz w:val="20"/>
          <w:szCs w:val="20"/>
          <w:color w:val="auto"/>
        </w:rPr>
      </w:pPr>
    </w:p>
    <w:p>
      <w:pPr>
        <w:jc w:val="both"/>
        <w:ind w:right="240" w:firstLine="378"/>
        <w:spacing w:after="0" w:line="264" w:lineRule="auto"/>
        <w:rPr>
          <w:sz w:val="20"/>
          <w:szCs w:val="20"/>
          <w:color w:val="auto"/>
        </w:rPr>
      </w:pPr>
      <w:r>
        <w:rPr>
          <w:rFonts w:ascii="Arial" w:cs="Arial" w:eastAsia="Arial" w:hAnsi="Arial"/>
          <w:sz w:val="18"/>
          <w:szCs w:val="18"/>
          <w:color w:val="auto"/>
        </w:rPr>
        <w:t>Cost of goods sold for the nine months ended September 30, 2018 increased by $50 million (17%) compared to the comparable prior year period. The increase was primarily due to higher shipment volumes, as discussed above, and to increased material costs due to higher market prices. Gross margin as a percentage of net sales was 6% and 5% for the nine months ended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76" w:right="239" w:bottom="1440" w:gutter="0" w:footer="0" w:header="0"/>
        </w:sectPr>
      </w:pPr>
    </w:p>
    <w:bookmarkStart w:id="55" w:name="page56"/>
    <w:bookmarkEnd w:id="55"/>
    <w:p>
      <w:pPr>
        <w:ind w:right="440"/>
        <w:spacing w:after="0" w:line="375" w:lineRule="auto"/>
        <w:rPr>
          <w:sz w:val="20"/>
          <w:szCs w:val="20"/>
          <w:color w:val="auto"/>
        </w:rPr>
      </w:pPr>
      <w:r>
        <w:rPr>
          <w:rFonts w:ascii="Arial" w:cs="Arial" w:eastAsia="Arial" w:hAnsi="Arial"/>
          <w:sz w:val="18"/>
          <w:szCs w:val="18"/>
          <w:color w:val="auto"/>
        </w:rPr>
        <w:t xml:space="preserve">September 30, 2018 and 2017, respectively, as higher ferrous margins were offset in part by lower margins on non-ferrous and non-ferrous auto residue. </w:t>
      </w:r>
      <w:r>
        <w:rPr>
          <w:rFonts w:ascii="Arial" w:cs="Arial" w:eastAsia="Arial" w:hAnsi="Arial"/>
          <w:sz w:val="18"/>
          <w:szCs w:val="18"/>
          <w:b w:val="1"/>
          <w:bCs w:val="1"/>
          <w:i w:val="1"/>
          <w:iCs w:val="1"/>
          <w:color w:val="auto"/>
        </w:rPr>
        <w:t>Mining</w:t>
      </w:r>
    </w:p>
    <w:p>
      <w:pPr>
        <w:spacing w:after="0" w:line="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Our Mining segment's performance is driven by global iron ore prices and demand for raw materials from Chinese steelmakers. Since acquiring Ferrous Resources Ltd. in 2015, our Mining segment has been concentrating on sales in its domestic market, Brazil.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2018 and 2017</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Net sales for the three months ended September 30, 2018 increased $5 million as compared to the comparable prior year period primarily due to iron ore price and volume increases. Cost of goods sold for the three months ended September 30, 2018 increased $3 million (20%) compared to the comparable prior year period due to a certain plant operation resuming in 2018, increasing the cost of production to produce a higher quality of iron ore.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2018 and 2017</w:t>
      </w:r>
    </w:p>
    <w:p>
      <w:pPr>
        <w:spacing w:after="0" w:line="117"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Net sales for the nine months ended September 30, 2018 decreased $4 million as compared to the comparable prior year period primarily due to iron ore price decreases. Cost of goods sold for the nine months ended September 30, 2018 increased $9 million (20%) compared to the comparable prior year period due to a certain plant operation resuming in 2018, increasing the cost of production to produce a higher quality of iron ore.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2018 and 2017</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Net sales for the three months ended September 30, 2018 decreased by $1 million (1%) as compared to the corresponding prior year period. The decrease was primarily due to lower sales volume offset in part by higher prices and favorable product mix. Cost of goods sold for the three months ended September 30, 2018 increased by $2 million (3%) as compared to the corresponding prior year period due to lower production volume resulting in lower fixed cost absorption, input material and labor cost increases, offset in part by lower cost related to acquisition synergies. Gross margin as a percentage of net sales was 21% and 24% for the three months ended September 30, 2018 and 2017, respectively. The decrease in gross margin as a percentage of net sales over the comparable periods was primarily due to increasing raw material costs and lower fixed cost absorption.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2018 and 2017</w:t>
      </w:r>
    </w:p>
    <w:p>
      <w:pPr>
        <w:spacing w:after="0" w:line="11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Net sales for the nine months ended September 30, 2018 increased by $11 million (4%) as compared to the corresponding prior year period. The increase was primarily due to higher sales volume and the favorable effects of foreign exchange, offset in part by lower prices and unfavorable product mix. Cost of goods sold for the nine months ended September 30, 2018 increased by $16 million (7%) as compared to the corresponding prior year period due to higher sales volume, lower production volume resulting in lower fixed cost absorption, input material and labor cost increases, offset in part by lower cost related to acquisition synergies. Gross margin as a percentage of net sales was 22% and 24% for the nine months ended September 30, 2018 and 2017, respectively. The decrease in gross margin as a percentage of net sales over the comparable periods was primarily due to increasing raw material costs and lower fixed cost absorption.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jc w:val="both"/>
        <w:ind w:right="200" w:firstLine="405"/>
        <w:spacing w:after="0" w:line="288" w:lineRule="auto"/>
        <w:rPr>
          <w:sz w:val="20"/>
          <w:szCs w:val="20"/>
          <w:color w:val="auto"/>
        </w:rPr>
      </w:pPr>
      <w:r>
        <w:rPr>
          <w:rFonts w:ascii="Arial" w:cs="Arial" w:eastAsia="Arial" w:hAnsi="Arial"/>
          <w:sz w:val="16"/>
          <w:szCs w:val="16"/>
          <w:color w:val="auto"/>
        </w:rPr>
        <w:t>Real Estate revenues and expenses primarily include sales of residential units, results from club operations and rental income and expenses, including income from financing leases. Sales of residential units are included in net sales in our condensed consolidated financial statements. Results from club and rental operations, including financing lease income, are included in other revenues from operations in our condensed consolidated financial statements.</w:t>
      </w:r>
    </w:p>
    <w:p>
      <w:pPr>
        <w:jc w:val="both"/>
        <w:ind w:right="220"/>
        <w:spacing w:after="0" w:line="261" w:lineRule="auto"/>
        <w:rPr>
          <w:sz w:val="20"/>
          <w:szCs w:val="20"/>
          <w:color w:val="auto"/>
        </w:rPr>
      </w:pPr>
      <w:r>
        <w:rPr>
          <w:rFonts w:ascii="Arial" w:cs="Arial" w:eastAsia="Arial" w:hAnsi="Arial"/>
          <w:sz w:val="18"/>
          <w:szCs w:val="18"/>
          <w:color w:val="auto"/>
        </w:rPr>
        <w:t>Revenue from our real estate operations for each of the three and nine months ended September 30, 2018 and 2017 were substantially derived from income from club and rental operations.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76"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2018 and 2017</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Net sales for the three months ended September 30, 2018 decreased $8 million (17%) compared to the comparable prior year period due to lower sales volume. Cost of goods sold for the three months ended September 30, 2018 decreased by $6 million (15%) compared to the comparable prior year period due to lower sales volumes and product mix. Gross margin as a percentage of net sales was 13% and 15% for the three months ended September 30, 2018 and 2017, respectively. The decrease was due to product mix.</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2018 and 2017</w:t>
      </w:r>
    </w:p>
    <w:p>
      <w:pPr>
        <w:spacing w:after="0" w:line="117"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Net sales for the nine months ended September 30, 2018 decreased by $13 million (9%) compared to the comparable prior year period due to lower sales volume. Cost of goods sold for the nine months ended September 30, 2018 decreased by $11 million (9%) compared to the comparable prior year period due to lower sales volume. Gross margin as a percentage of net sales was flat at 14% for the nine months ended September 30, 2018 and 2017,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Assets, Net</w:t>
      </w:r>
    </w:p>
    <w:p>
      <w:pPr>
        <w:spacing w:after="0" w:line="229"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In August 2018, our Real Estate segment sold a commercial rental property, resulting in a pretax gain on disposition of assets of $67 million for the three and nine months ended September 30, 2018.</w:t>
      </w:r>
    </w:p>
    <w:p>
      <w:pPr>
        <w:spacing w:after="0" w:line="62"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In June 2017, we closed on the initial sale of ARL, resulting in a pretax gain on disposition of assets of approximately $1.5 billion recorded by our Railcar segment for the nine months ended September 30, 2017. Additionally, in August 2017, our Real Estate segment sold a development property in Las Vegas, resulting in a pretax gain on disposition of assets of $456 million for the three and nine months ended September 30, 2017.</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2018 and 2017</w:t>
      </w:r>
    </w:p>
    <w:p>
      <w:pPr>
        <w:spacing w:after="0" w:line="11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Our consolidated selling, general and administrative for the three months ended September 30, 2018 increased by $17 million (5%) as compared to the comparable prior year period. The increase was primarily attributable to an increase from our Automotive segment of $24 million primarily due to the inclusion of various acquisitions of automotive businesses as well as costs associated with the growth of the commercial parts business offset by aggregate decreases within various segments.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2018 and 2017</w:t>
      </w:r>
    </w:p>
    <w:p>
      <w:pPr>
        <w:spacing w:after="0" w:line="11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Our consolidated selling, general and administrative for the nine months ended September 30, 2018 increased by $97 million (10%) as compared to the comparable prior year period. The increase was primarily attributable to an increase from our Automotive segment of $112 million primarily due to the inclusion of various acquisitions of automotive businesses as well as costs associated with the growth of the commercial parts business. This increase was offset in part primarily due to our Railcar segment, which decreased due to the sale of ARL in the second quarter of 2017, as well as aggregate decreases within various other segments.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Net</w:t>
      </w:r>
    </w:p>
    <w:p>
      <w:pPr>
        <w:spacing w:after="0" w:line="229"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During the three and nine months ended September 30, 2018, our Food Packaging segment recorded $10 million of restructuring charges for employee costs relating to certain of its European operations. During the three and nine months ended September 30, 2018, our Energy segment recorded $4 million of restructuring charges for employee costs and other exit costs relating to an office closure. During the three and nine months ended September 30, 2018, our Automotive segment recorded $4 million of restructuring charges primarily for exit costs relating to facility closures. Refer to Note 11, "Segment Reporting," to the condensed consolidated financial statements for net restructuring charges recorded by each of our segments.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Note 5, "Fair Value Measurements," to the condensed consolidated financial statements for discussion of impairment of assets.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76"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2018 and 2017</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consolidated interest expense during the three months ended September 30, 2018 decreased by $34 million as compared the corresponding prior year period. The decrease was primarily due to lower interest expense from our Investment segment attributable to a decrease in due to broker balances over the respective periods. These decreases were offset in part by higher interest expense from our Holding Company due to debt refinancing in December 2017, resulting in debt with higher interest rates.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2018 and 2017</w:t>
      </w:r>
    </w:p>
    <w:p>
      <w:pPr>
        <w:spacing w:after="0" w:line="11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Our consolidated interest expense during the nine months ended September 30, 2018 decreased by $118 million as compared the corresponding prior year period. The decrease was primarily due to lower interest expense from our Investment segment attributable to a decrease in due to broker balances over the respective periods, as well as lower interest expense from our Railcar segment due to the sale of ARL in the second quarter of 2017. These decreases were offset in part by higher interest expense from our Holding Company due to debt refinancing in December 2017, resulting in debt with higher interest rates.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Certain of our subsidiaries are partnerships not subject to taxation in our consolidated financial statements and certain other subsidiaries are corporations, or subsidiaries of corporations, subject to taxation in our consolidated financial statements. Therefore, our consolidated effective tax rate generally differs from the statutory federal tax rate. For the three and nine months ended September 30, 2018, the statutory federal tax rate was 21% which decreased as compared to the statutory federal tax rate of 35% for the three and nine months ended September 30, 2017, as a result of tax legislation enacted in December 2017. Refer to Note 13, "Income Taxes," to the condensed consolidated financial statements for a discussion of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discussed in Note 1, "Description of Business," we operated discontinued operations previously included in our Automotive segment and our former Gaming segment effective in the second quarter of 2018. The sales of each of the businesses closed on October 1, 2018.</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12, "Discontinued Operations," for financial information with respect to each of our discontinued operating businesses.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72" w:right="2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117"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89"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As of September 30, 2018, our Holding Company had cash and cash equivalents of $97 million and total debt of approximately $5.5 billion. During the nine months ended September 30, 2018, our Holding Company redeemed $145 million from the Investment Funds. As of September 30, 2018, our Holding Company had investments in the Investment Funds with a total fair market value of approximately $3.0 billion. Subsequent to September 30, 2018, our Holding Company invested an additional approximately $1.9 billion in the Investment Funds. We may redeem our direct investment in the Investment Funds upon notice. See "Segment Liquidity and Capital Resources" below for additional information with respect to our Investment segment liquidity.</w:t>
      </w:r>
    </w:p>
    <w:p>
      <w:pPr>
        <w:spacing w:after="0" w:line="5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October 1, 2018, we closed on the sales of Federal-Mogul and Tropicana resulting in aggregate cash proceeds of approximately $2.3 billion. In addition, on October 22, 2018, we announced a definitive agreement to sell ARI. In connection with the pending sale of ARI, our Holding Company is expected to receive approximately $831 million in proceeds in the fourth quarter of 2018. On a pro forma basis, if such transactions closed on September 30, 2018, our Holding Company would have had cash and cash equivalents of approximately $3.3 billion. Refer to Note 1, "Description of Business," to the condensed consolidated financial statements for further discussion.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From/Investments In Subsidiaries</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During the nine months ended September 30, 2018, we received $134 million in aggregate dividends and distributions from our Energy segment. In addition, CVR Energy and CVR Refining declared a quarterly dividend and distribution, respectively, for the third quarter of 2018, which should result in an additional aggregate $59 million in dividends and distributions payable to us in the fourth quarter of 2018.</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nine months ended September 30, 2018, we received $31 million in aggregate dividends and distributions from our Railcar segment.</w:t>
      </w:r>
    </w:p>
    <w:p>
      <w:pPr>
        <w:spacing w:after="0" w:line="12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During the nine months ended September 30, 2018, we received $32 million in distributions from our Real Estate segment. In addition, during October 2018, we received an additional $503 million in distributions from our Real Estate segment.</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nine months ended September 30, 2018, we invested $270 million in our Automotive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Additional Interests in Consolidated Subsidiaries</w:t>
      </w:r>
    </w:p>
    <w:p>
      <w:pPr>
        <w:spacing w:after="0" w:line="11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During January 2018, we increased our ownership in Viskase to 78.6% through a rights offering for additional shares of Viskase common stock for an aggregate additional investment of $44 million.</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364" w:right="3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i w:val="1"/>
                <w:iCs w:val="1"/>
                <w:color w:val="auto"/>
              </w:rPr>
              <w:t>Holding Company Borrowings and Availability</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812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8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6.000% senior unsecured notes due 2020</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5.875% senior unsecured notes due 2022</w:t>
            </w:r>
          </w:p>
        </w:tc>
        <w:tc>
          <w:tcPr>
            <w:tcW w:w="6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1,342</w:t>
            </w: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6.250% senior unsecured notes due 2022</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6.750% senior unsecured notes due 2024</w:t>
            </w:r>
          </w:p>
        </w:tc>
        <w:tc>
          <w:tcPr>
            <w:tcW w:w="6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6.375% senior unsecured notes due 2025</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37"/>
        </w:trPr>
        <w:tc>
          <w:tcPr>
            <w:tcW w:w="8120" w:type="dxa"/>
            <w:vAlign w:val="bottom"/>
          </w:tcPr>
          <w:p>
            <w:pPr>
              <w:spacing w:after="0"/>
              <w:rPr>
                <w:sz w:val="20"/>
                <w:szCs w:val="20"/>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5,507</w:t>
            </w:r>
          </w:p>
        </w:tc>
      </w:tr>
      <w:tr>
        <w:trPr>
          <w:trHeight w:val="27"/>
        </w:trPr>
        <w:tc>
          <w:tcPr>
            <w:tcW w:w="8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Holding Company debt consists of various issues of fixed-rate senior unsecured notes issued by Icahn Enterprises and Icahn Enterprises Finance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guaranteed by Icahn Enterprises Holdings. Interest on each of the senior unsecured notes are payable semi-annually.</w:t>
      </w:r>
    </w:p>
    <w:p>
      <w:pPr>
        <w:spacing w:after="0" w:line="10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September 30, 2018 are subject to optional redemption premiums in the event we redeem any of the notes prior to certain dates as described in the indentures.</w:t>
      </w:r>
    </w:p>
    <w:p>
      <w:pPr>
        <w:spacing w:after="0" w:line="70"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As of September 30, 2018 and 2017, we were in compliance with all covenants, including maintaining certain minimum financial ratios, as defined in the indentures. Additionally, as of September 30, 2018, based on covenants in the indentures governing our senior unsecured notes, we are permitted to incur approximately $941 million of additional indebtedness.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Depositary Units</w:t>
      </w:r>
    </w:p>
    <w:p>
      <w:pPr>
        <w:spacing w:after="0" w:line="117" w:lineRule="exact"/>
        <w:rPr>
          <w:sz w:val="20"/>
          <w:szCs w:val="20"/>
          <w:color w:val="auto"/>
        </w:rPr>
      </w:pPr>
    </w:p>
    <w:p>
      <w:pPr>
        <w:jc w:val="both"/>
        <w:ind w:right="340" w:firstLine="405"/>
        <w:spacing w:after="0" w:line="286" w:lineRule="auto"/>
        <w:rPr>
          <w:sz w:val="20"/>
          <w:szCs w:val="20"/>
          <w:color w:val="auto"/>
        </w:rPr>
      </w:pPr>
      <w:r>
        <w:rPr>
          <w:rFonts w:ascii="Arial" w:cs="Arial" w:eastAsia="Arial" w:hAnsi="Arial"/>
          <w:sz w:val="17"/>
          <w:szCs w:val="17"/>
          <w:color w:val="auto"/>
        </w:rPr>
        <w:t>On October 31, 2018, the Board of Directors of the general partner of Icahn Enterprises declared a quarterly distribution in the amount of $1.75 per depositary unit. The quarterly distribution is payable in either cash or additional depositary units, at the election of each depositary unit holder and will be paid on or about December 18, 2018 to depositary unit holders of record at the close of business on November 12, 2018.</w:t>
      </w:r>
    </w:p>
    <w:p>
      <w:pPr>
        <w:spacing w:after="0" w:line="57"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During the nine months ended September 30, 2018, we declared three quarterly distributions aggregating $5.25 per depositary unit. Mr. Icahn and his affiliates elected to receive their proportionate share of these distributions in depositary units. Mr. Icahn and his affiliates owned approximately 91.5% of Icahn Enterprises' outstanding depositary units as of September 30, 2018. In connection with these distributions, aggregate cash distributions to all depositary unitholders was $71 million during the nine months ended September 30, 2018.</w:t>
      </w:r>
    </w:p>
    <w:p>
      <w:pPr>
        <w:spacing w:after="0" w:line="79"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117" w:lineRule="exact"/>
        <w:rPr>
          <w:sz w:val="20"/>
          <w:szCs w:val="20"/>
          <w:color w:val="auto"/>
        </w:rPr>
      </w:pPr>
    </w:p>
    <w:p>
      <w:pPr>
        <w:ind w:right="240" w:firstLine="378"/>
        <w:spacing w:after="0" w:line="312" w:lineRule="auto"/>
        <w:rPr>
          <w:sz w:val="20"/>
          <w:szCs w:val="20"/>
          <w:color w:val="auto"/>
        </w:rPr>
      </w:pPr>
      <w:r>
        <w:rPr>
          <w:rFonts w:ascii="Arial" w:cs="Arial" w:eastAsia="Arial" w:hAnsi="Arial"/>
          <w:sz w:val="16"/>
          <w:szCs w:val="16"/>
          <w:color w:val="auto"/>
        </w:rPr>
        <w:t>During the nine months ended September 30, 2018, affiliates of Mr. Icahn (excluding us and our subsidiaries) invested $280 million in the Investment Funds and we redeemed $145 million from the Investment Funds. In addition to investments by us and Mr. Icahn, the Investment Funds historically have access to significant amounts of cash available from prime brokerage lines of credit, subject to customary terms and market conditions.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76" w:right="239" w:bottom="1440" w:gutter="0" w:footer="0" w:header="0"/>
        </w:sectPr>
      </w:pPr>
    </w:p>
    <w:bookmarkStart w:id="60" w:name="page61"/>
    <w:bookmarkEnd w:id="60"/>
    <w:p>
      <w:pPr>
        <w:ind w:right="20" w:firstLine="405"/>
        <w:spacing w:after="0" w:line="279" w:lineRule="auto"/>
        <w:rPr>
          <w:sz w:val="20"/>
          <w:szCs w:val="20"/>
          <w:color w:val="auto"/>
        </w:rPr>
      </w:pPr>
      <w:r>
        <w:rPr>
          <w:rFonts w:ascii="Arial" w:cs="Arial" w:eastAsia="Arial" w:hAnsi="Arial"/>
          <w:sz w:val="17"/>
          <w:szCs w:val="17"/>
          <w:color w:val="auto"/>
        </w:rPr>
        <w:t>Additionally, our Investment segment liquidity is driven by the investment activities and performance of the Investment Funds. As of September 30, 2018, the Investment Funds' had a net short notional exposure of 26%. The Investment Funds' long exposure was 115% (112% long equity and 3% long credit and other) and its short exposure was 141% (137% short equity, 4% short credit and other). The notional exposure represents the ratio of the notional exposure of the Investment Funds' invested capital to the net asset value of the Investment Funds at September 30, 2018.</w:t>
      </w:r>
    </w:p>
    <w:p>
      <w:pPr>
        <w:spacing w:after="0" w:line="63" w:lineRule="exact"/>
        <w:rPr>
          <w:sz w:val="20"/>
          <w:szCs w:val="20"/>
          <w:color w:val="auto"/>
        </w:rPr>
      </w:pPr>
    </w:p>
    <w:p>
      <w:pPr>
        <w:ind w:right="180" w:firstLine="378"/>
        <w:spacing w:after="0" w:line="286" w:lineRule="auto"/>
        <w:rPr>
          <w:sz w:val="20"/>
          <w:szCs w:val="20"/>
          <w:color w:val="auto"/>
        </w:rPr>
      </w:pPr>
      <w:r>
        <w:rPr>
          <w:rFonts w:ascii="Arial" w:cs="Arial" w:eastAsia="Arial" w:hAnsi="Arial"/>
          <w:sz w:val="17"/>
          <w:szCs w:val="17"/>
          <w:color w:val="auto"/>
        </w:rPr>
        <w:t>Of the Investment Funds' 115% long exposure, 112% was comprised of the fair value of its long positions (with certain adjustments) and 3% was comprised of single name equity forward contracts and credit contracts. Of the Investment Funds' 141% short exposure, 8% was comprised of the fair value of our short positions and 133% was comprised of short credit default swap contracts and short broad market index swap derivative contracts.</w:t>
      </w:r>
    </w:p>
    <w:p>
      <w:pPr>
        <w:spacing w:after="0" w:line="5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With respect to both our long positions that are not notionalized (112% long exposure) and our short positions that are not notionalized (8% short),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79"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With respect to the notional value of our other short positions (133%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 Liquidity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Cash and Cash Equivalents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Segment cash and cash equivalents (excluding our Investment segment)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8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0" w:type="dxa"/>
            <w:vAlign w:val="bottom"/>
            <w:gridSpan w:val="3"/>
          </w:tcPr>
          <w:p>
            <w:pPr>
              <w:jc w:val="right"/>
              <w:ind w:right="350"/>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Automotive</w:t>
            </w:r>
          </w:p>
        </w:tc>
        <w:tc>
          <w:tcPr>
            <w:tcW w:w="530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480" w:type="dxa"/>
            <w:vAlign w:val="bottom"/>
          </w:tcPr>
          <w:p>
            <w:pPr>
              <w:ind w:left="180"/>
              <w:spacing w:after="0"/>
              <w:rPr>
                <w:sz w:val="20"/>
                <w:szCs w:val="20"/>
                <w:color w:val="auto"/>
              </w:rPr>
            </w:pPr>
            <w:r>
              <w:rPr>
                <w:rFonts w:ascii="Arial" w:cs="Arial" w:eastAsia="Arial" w:hAnsi="Arial"/>
                <w:sz w:val="18"/>
                <w:szCs w:val="18"/>
                <w:color w:val="auto"/>
              </w:rPr>
              <w:t>Energy</w:t>
            </w:r>
          </w:p>
        </w:tc>
        <w:tc>
          <w:tcPr>
            <w:tcW w:w="4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Railcar</w:t>
            </w:r>
          </w:p>
        </w:tc>
        <w:tc>
          <w:tcPr>
            <w:tcW w:w="46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3480" w:type="dxa"/>
            <w:vAlign w:val="bottom"/>
          </w:tcPr>
          <w:p>
            <w:pPr>
              <w:ind w:left="180"/>
              <w:spacing w:after="0"/>
              <w:rPr>
                <w:sz w:val="20"/>
                <w:szCs w:val="20"/>
                <w:color w:val="auto"/>
              </w:rPr>
            </w:pPr>
            <w:r>
              <w:rPr>
                <w:rFonts w:ascii="Arial" w:cs="Arial" w:eastAsia="Arial" w:hAnsi="Arial"/>
                <w:sz w:val="18"/>
                <w:szCs w:val="18"/>
                <w:color w:val="auto"/>
              </w:rPr>
              <w:t>Metals</w:t>
            </w:r>
          </w:p>
        </w:tc>
        <w:tc>
          <w:tcPr>
            <w:tcW w:w="4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Mining</w:t>
            </w:r>
          </w:p>
        </w:tc>
        <w:tc>
          <w:tcPr>
            <w:tcW w:w="46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480" w:type="dxa"/>
            <w:vAlign w:val="bottom"/>
          </w:tcPr>
          <w:p>
            <w:pPr>
              <w:ind w:left="180"/>
              <w:spacing w:after="0"/>
              <w:rPr>
                <w:sz w:val="20"/>
                <w:szCs w:val="20"/>
                <w:color w:val="auto"/>
              </w:rPr>
            </w:pPr>
            <w:r>
              <w:rPr>
                <w:rFonts w:ascii="Arial" w:cs="Arial" w:eastAsia="Arial" w:hAnsi="Arial"/>
                <w:sz w:val="18"/>
                <w:szCs w:val="18"/>
                <w:color w:val="auto"/>
              </w:rPr>
              <w:t>Food Packaging</w:t>
            </w:r>
          </w:p>
        </w:tc>
        <w:tc>
          <w:tcPr>
            <w:tcW w:w="4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w:t>
            </w:r>
          </w:p>
        </w:tc>
        <w:tc>
          <w:tcPr>
            <w:tcW w:w="46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480" w:type="dxa"/>
            <w:vAlign w:val="bottom"/>
          </w:tcPr>
          <w:p>
            <w:pPr>
              <w:ind w:left="180"/>
              <w:spacing w:after="0"/>
              <w:rPr>
                <w:sz w:val="20"/>
                <w:szCs w:val="20"/>
                <w:color w:val="auto"/>
              </w:rPr>
            </w:pPr>
            <w:r>
              <w:rPr>
                <w:rFonts w:ascii="Arial" w:cs="Arial" w:eastAsia="Arial" w:hAnsi="Arial"/>
                <w:sz w:val="18"/>
                <w:szCs w:val="18"/>
                <w:color w:val="auto"/>
              </w:rPr>
              <w:t>Home Fashion</w:t>
            </w:r>
          </w:p>
        </w:tc>
        <w:tc>
          <w:tcPr>
            <w:tcW w:w="4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80" w:type="dxa"/>
            <w:vAlign w:val="bottom"/>
            <w:tcBorders>
              <w:bottom w:val="single" w:sz="8" w:color="CCEEFF"/>
            </w:tcBorders>
            <w:shd w:val="clear" w:color="auto" w:fill="CCEEFF"/>
          </w:tcPr>
          <w:p>
            <w:pPr>
              <w:spacing w:after="0"/>
              <w:rPr>
                <w:sz w:val="22"/>
                <w:szCs w:val="22"/>
                <w:color w:val="auto"/>
              </w:rPr>
            </w:pPr>
          </w:p>
        </w:tc>
        <w:tc>
          <w:tcPr>
            <w:tcW w:w="530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58</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8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i w:val="1"/>
                <w:iCs w:val="1"/>
                <w:color w:val="auto"/>
              </w:rPr>
              <w:t>Segment Borrowings and Availability</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24"/>
        </w:trPr>
        <w:tc>
          <w:tcPr>
            <w:tcW w:w="8120" w:type="dxa"/>
            <w:vAlign w:val="bottom"/>
          </w:tcPr>
          <w:p>
            <w:pPr>
              <w:ind w:left="420"/>
              <w:spacing w:after="0"/>
              <w:rPr>
                <w:sz w:val="20"/>
                <w:szCs w:val="20"/>
                <w:color w:val="auto"/>
              </w:rPr>
            </w:pPr>
            <w:r>
              <w:rPr>
                <w:rFonts w:ascii="Arial" w:cs="Arial" w:eastAsia="Arial" w:hAnsi="Arial"/>
                <w:sz w:val="18"/>
                <w:szCs w:val="18"/>
                <w:color w:val="auto"/>
              </w:rPr>
              <w:t>Segment debt consists of the following:</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8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Energy</w:t>
            </w:r>
          </w:p>
        </w:tc>
        <w:tc>
          <w:tcPr>
            <w:tcW w:w="6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1,166</w:t>
            </w: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Metals</w:t>
            </w:r>
          </w:p>
        </w:tc>
        <w:tc>
          <w:tcPr>
            <w:tcW w:w="6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Mining</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Food Packaging</w:t>
            </w:r>
          </w:p>
        </w:tc>
        <w:tc>
          <w:tcPr>
            <w:tcW w:w="6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273</w:t>
            </w: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Home Fashion</w:t>
            </w:r>
          </w:p>
        </w:tc>
        <w:tc>
          <w:tcPr>
            <w:tcW w:w="6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8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2,402</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2,411</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740" w:firstLine="405"/>
        <w:spacing w:after="0" w:line="308" w:lineRule="auto"/>
        <w:rPr>
          <w:sz w:val="20"/>
          <w:szCs w:val="20"/>
          <w:color w:val="auto"/>
        </w:rPr>
      </w:pPr>
      <w:r>
        <w:rPr>
          <w:rFonts w:ascii="Arial" w:cs="Arial" w:eastAsia="Arial" w:hAnsi="Arial"/>
          <w:sz w:val="17"/>
          <w:szCs w:val="17"/>
          <w:color w:val="auto"/>
        </w:rPr>
        <w:t>Refer to our Annual Report on Form 10-K for the year ended December 31, 2017 for information concerning terms, restrictions and covenants pertaining to our subsidiaries' debt. As of September 30, 2018, our subsidiaries are in compliance with all debt covenants.</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segments have additional borrowing availability under certain revolving credit facilities as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spacing w:after="0"/>
              <w:rPr>
                <w:sz w:val="20"/>
                <w:szCs w:val="20"/>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September 30, 2018</w:t>
            </w:r>
          </w:p>
        </w:tc>
      </w:tr>
      <w:tr>
        <w:trPr>
          <w:trHeight w:val="27"/>
        </w:trPr>
        <w:tc>
          <w:tcPr>
            <w:tcW w:w="9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52"/>
              <w:spacing w:after="0"/>
              <w:rPr>
                <w:sz w:val="20"/>
                <w:szCs w:val="20"/>
                <w:color w:val="auto"/>
              </w:rPr>
            </w:pPr>
            <w:r>
              <w:rPr>
                <w:rFonts w:ascii="Arial" w:cs="Arial" w:eastAsia="Arial" w:hAnsi="Arial"/>
                <w:sz w:val="14"/>
                <w:szCs w:val="14"/>
                <w:color w:val="auto"/>
              </w:rPr>
              <w:t>(in millions)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Energy</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444</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Metals</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59</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Home Fashion</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7"/>
        </w:trPr>
        <w:tc>
          <w:tcPr>
            <w:tcW w:w="9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above outstanding debt and borrowing availability with respect to each of our continuing operating segments reflects third-party obligations. Certain terms of financings for certain of our businesses impose restrictions on the business' ability to transfer funds to us, including restrictions on dividends, distribution, loans and other transactions.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Subsidiary Dividends and Distributions to Non-Controlling Interests</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During the nine months ended September 30, 2018, our Energy and Railcar segments had dividends and distributions to non-controlling interests of $95 million and $9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Our Holding Company's cash flows are generally driven by payments and proceeds associated with our senior unsecured debt obligations and payments and proceeds associated with equity transactions with Icahn Enterprises' depositary unitholders.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and distributions from Mr. Icahn and his affiliates (including Icahn Enterprises and Icahn Enterprises Holdings), which are included in net cash flows from financing activities. Our other operating segments' cash flows are driven by the activities and performance of each business as well as transactions with our Holding Company, as discussed below.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76" w:right="239" w:bottom="1440" w:gutter="0" w:footer="0" w:header="0"/>
        </w:sectPr>
      </w:pPr>
    </w:p>
    <w:bookmarkStart w:id="62" w:name="page63"/>
    <w:bookmarkEnd w:id="62"/>
    <w:p>
      <w:pPr>
        <w:ind w:right="640" w:firstLine="405"/>
        <w:spacing w:after="0" w:line="277" w:lineRule="auto"/>
        <w:rPr>
          <w:sz w:val="20"/>
          <w:szCs w:val="20"/>
          <w:color w:val="auto"/>
        </w:rPr>
      </w:pPr>
      <w:r>
        <w:rPr>
          <w:rFonts w:ascii="Arial" w:cs="Arial" w:eastAsia="Arial" w:hAnsi="Arial"/>
          <w:sz w:val="18"/>
          <w:szCs w:val="18"/>
          <w:color w:val="auto"/>
        </w:rPr>
        <w:t>The following table summarizes cash flow information for the nine months ended September 30, 2018 and 2017 for Icahn Enterprises' reporting segments, discontinued operations and our Holding Company:</w:t>
      </w:r>
    </w:p>
    <w:p>
      <w:pPr>
        <w:sectPr>
          <w:pgSz w:w="11900" w:h="16838" w:orient="portrait"/>
          <w:cols w:equalWidth="0" w:num="1">
            <w:col w:w="11420"/>
          </w:cols>
          <w:pgMar w:left="240" w:top="476" w:right="239" w:bottom="1440" w:gutter="0" w:footer="0" w:header="0"/>
        </w:sectPr>
      </w:pPr>
    </w:p>
    <w:p>
      <w:pPr>
        <w:spacing w:after="0" w:line="130" w:lineRule="exact"/>
        <w:rPr>
          <w:sz w:val="20"/>
          <w:szCs w:val="20"/>
          <w:color w:val="auto"/>
        </w:rPr>
      </w:pPr>
    </w:p>
    <w:p>
      <w:pPr>
        <w:jc w:val="center"/>
        <w:ind w:left="4260"/>
        <w:spacing w:after="0"/>
        <w:rPr>
          <w:sz w:val="20"/>
          <w:szCs w:val="20"/>
          <w:color w:val="auto"/>
        </w:rPr>
      </w:pPr>
      <w:r>
        <w:rPr>
          <w:rFonts w:ascii="Arial" w:cs="Arial" w:eastAsia="Arial" w:hAnsi="Arial"/>
          <w:sz w:val="16"/>
          <w:szCs w:val="16"/>
          <w:b w:val="1"/>
          <w:bCs w:val="1"/>
          <w:color w:val="auto"/>
        </w:rPr>
        <w:t>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37465</wp:posOffset>
            </wp:positionV>
            <wp:extent cx="23666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66" w:lineRule="exact"/>
        <w:rPr>
          <w:sz w:val="20"/>
          <w:szCs w:val="20"/>
          <w:color w:val="auto"/>
        </w:rPr>
      </w:pPr>
    </w:p>
    <w:p>
      <w:pPr>
        <w:jc w:val="center"/>
        <w:ind w:left="4260"/>
        <w:spacing w:after="0"/>
        <w:rPr>
          <w:sz w:val="20"/>
          <w:szCs w:val="20"/>
          <w:color w:val="auto"/>
        </w:rPr>
      </w:pPr>
      <w:r>
        <w:rPr>
          <w:rFonts w:ascii="Arial" w:cs="Arial" w:eastAsia="Arial" w:hAnsi="Arial"/>
          <w:sz w:val="16"/>
          <w:szCs w:val="16"/>
          <w:b w:val="1"/>
          <w:bCs w:val="1"/>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37465</wp:posOffset>
            </wp:positionV>
            <wp:extent cx="23666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66" w:lineRule="exact"/>
        <w:rPr>
          <w:sz w:val="20"/>
          <w:szCs w:val="20"/>
          <w:color w:val="auto"/>
        </w:rPr>
      </w:pPr>
    </w:p>
    <w:p>
      <w:pPr>
        <w:ind w:left="4240"/>
        <w:spacing w:after="0"/>
        <w:tabs>
          <w:tab w:leader="none" w:pos="5520" w:val="left"/>
          <w:tab w:leader="none" w:pos="6780" w:val="left"/>
        </w:tabs>
        <w:rPr>
          <w:sz w:val="20"/>
          <w:szCs w:val="20"/>
          <w:color w:val="auto"/>
        </w:rPr>
      </w:pPr>
      <w:r>
        <w:rPr>
          <w:rFonts w:ascii="Arial" w:cs="Arial" w:eastAsia="Arial" w:hAnsi="Arial"/>
          <w:sz w:val="16"/>
          <w:szCs w:val="16"/>
          <w:b w:val="1"/>
          <w:bCs w:val="1"/>
          <w:color w:val="auto"/>
        </w:rPr>
        <w:t>Operating</w:t>
      </w:r>
      <w:r>
        <w:rPr>
          <w:sz w:val="20"/>
          <w:szCs w:val="20"/>
          <w:color w:val="auto"/>
        </w:rPr>
        <w:tab/>
      </w:r>
      <w:r>
        <w:rPr>
          <w:rFonts w:ascii="Arial" w:cs="Arial" w:eastAsia="Arial" w:hAnsi="Arial"/>
          <w:sz w:val="16"/>
          <w:szCs w:val="16"/>
          <w:b w:val="1"/>
          <w:bCs w:val="1"/>
          <w:color w:val="auto"/>
        </w:rPr>
        <w:t>Investing</w:t>
      </w:r>
      <w:r>
        <w:rPr>
          <w:sz w:val="20"/>
          <w:szCs w:val="20"/>
          <w:color w:val="auto"/>
        </w:rPr>
        <w:tab/>
      </w:r>
      <w:r>
        <w:rPr>
          <w:rFonts w:ascii="Arial" w:cs="Arial" w:eastAsia="Arial" w:hAnsi="Arial"/>
          <w:sz w:val="14"/>
          <w:szCs w:val="14"/>
          <w:b w:val="1"/>
          <w:bCs w:val="1"/>
          <w:color w:val="auto"/>
        </w:rPr>
        <w:t>Financing</w:t>
      </w:r>
    </w:p>
    <w:p>
      <w:pPr>
        <w:spacing w:after="0" w:line="26" w:lineRule="exact"/>
        <w:rPr>
          <w:sz w:val="20"/>
          <w:szCs w:val="20"/>
          <w:color w:val="auto"/>
        </w:rPr>
      </w:pPr>
    </w:p>
    <w:p>
      <w:pPr>
        <w:ind w:left="4260"/>
        <w:spacing w:after="0"/>
        <w:tabs>
          <w:tab w:leader="none" w:pos="5520" w:val="left"/>
          <w:tab w:leader="none" w:pos="6800" w:val="left"/>
        </w:tabs>
        <w:rPr>
          <w:sz w:val="20"/>
          <w:szCs w:val="20"/>
          <w:color w:val="auto"/>
        </w:rPr>
      </w:pP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4"/>
          <w:szCs w:val="14"/>
          <w:b w:val="1"/>
          <w:bCs w:val="1"/>
          <w:color w:val="auto"/>
        </w:rPr>
        <w:t>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33020</wp:posOffset>
            </wp:positionV>
            <wp:extent cx="4707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Nine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37465</wp:posOffset>
            </wp:positionV>
            <wp:extent cx="22726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66"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37465</wp:posOffset>
            </wp:positionV>
            <wp:extent cx="22726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66" w:lineRule="exact"/>
        <w:rPr>
          <w:sz w:val="20"/>
          <w:szCs w:val="20"/>
          <w:color w:val="auto"/>
        </w:rPr>
      </w:pPr>
    </w:p>
    <w:p>
      <w:pPr>
        <w:spacing w:after="0"/>
        <w:tabs>
          <w:tab w:leader="none" w:pos="1260" w:val="left"/>
          <w:tab w:leader="none" w:pos="2460" w:val="left"/>
        </w:tabs>
        <w:rPr>
          <w:sz w:val="20"/>
          <w:szCs w:val="20"/>
          <w:color w:val="auto"/>
        </w:rPr>
      </w:pPr>
      <w:r>
        <w:rPr>
          <w:rFonts w:ascii="Arial" w:cs="Arial" w:eastAsia="Arial" w:hAnsi="Arial"/>
          <w:sz w:val="16"/>
          <w:szCs w:val="16"/>
          <w:b w:val="1"/>
          <w:bCs w:val="1"/>
          <w:color w:val="auto"/>
        </w:rPr>
        <w:t>Operating</w:t>
      </w:r>
      <w:r>
        <w:rPr>
          <w:sz w:val="20"/>
          <w:szCs w:val="20"/>
          <w:color w:val="auto"/>
        </w:rPr>
        <w:tab/>
      </w:r>
      <w:r>
        <w:rPr>
          <w:rFonts w:ascii="Arial" w:cs="Arial" w:eastAsia="Arial" w:hAnsi="Arial"/>
          <w:sz w:val="16"/>
          <w:szCs w:val="16"/>
          <w:b w:val="1"/>
          <w:bCs w:val="1"/>
          <w:color w:val="auto"/>
        </w:rPr>
        <w:t>Investing</w:t>
      </w:r>
      <w:r>
        <w:rPr>
          <w:sz w:val="20"/>
          <w:szCs w:val="20"/>
          <w:color w:val="auto"/>
        </w:rPr>
        <w:tab/>
      </w:r>
      <w:r>
        <w:rPr>
          <w:rFonts w:ascii="Arial" w:cs="Arial" w:eastAsia="Arial" w:hAnsi="Arial"/>
          <w:sz w:val="14"/>
          <w:szCs w:val="14"/>
          <w:b w:val="1"/>
          <w:bCs w:val="1"/>
          <w:color w:val="auto"/>
        </w:rPr>
        <w:t>Financing</w:t>
      </w:r>
    </w:p>
    <w:p>
      <w:pPr>
        <w:spacing w:after="0" w:line="26" w:lineRule="exact"/>
        <w:rPr>
          <w:sz w:val="20"/>
          <w:szCs w:val="20"/>
          <w:color w:val="auto"/>
        </w:rPr>
      </w:pPr>
    </w:p>
    <w:p>
      <w:pPr>
        <w:ind w:left="40"/>
        <w:spacing w:after="0"/>
        <w:tabs>
          <w:tab w:leader="none" w:pos="1240" w:val="left"/>
          <w:tab w:leader="none" w:pos="2480" w:val="left"/>
        </w:tabs>
        <w:rPr>
          <w:sz w:val="20"/>
          <w:szCs w:val="20"/>
          <w:color w:val="auto"/>
        </w:rPr>
      </w:pP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4"/>
          <w:szCs w:val="14"/>
          <w:b w:val="1"/>
          <w:bCs w:val="1"/>
          <w:color w:val="auto"/>
        </w:rPr>
        <w:t>Activities</w:t>
      </w:r>
    </w:p>
    <w:p>
      <w:pPr>
        <w:spacing w:after="0" w:line="127" w:lineRule="exact"/>
        <w:rPr>
          <w:sz w:val="20"/>
          <w:szCs w:val="20"/>
          <w:color w:val="auto"/>
        </w:rPr>
      </w:pPr>
    </w:p>
    <w:p>
      <w:pPr>
        <w:sectPr>
          <w:pgSz w:w="11900" w:h="16838" w:orient="portrait"/>
          <w:cols w:equalWidth="0" w:num="2">
            <w:col w:w="7500" w:space="540"/>
            <w:col w:w="3380"/>
          </w:cols>
          <w:pgMar w:left="240" w:top="47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gridSpan w:val="3"/>
          </w:tcPr>
          <w:p>
            <w:pPr>
              <w:jc w:val="right"/>
              <w:ind w:right="99"/>
              <w:spacing w:after="0"/>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56"/>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Holding Company</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w:t>
            </w: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Investment</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(1,397)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1,600</w:t>
            </w:r>
          </w:p>
        </w:tc>
      </w:tr>
      <w:tr>
        <w:trPr>
          <w:trHeight w:val="33"/>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03"/>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Other Operating Segments:</w:t>
            </w: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760" w:type="dxa"/>
            <w:vAlign w:val="bottom"/>
            <w:tcBorders>
              <w:top w:val="single" w:sz="8" w:color="auto"/>
            </w:tcBorders>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Automotive</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w:t>
            </w:r>
          </w:p>
        </w:tc>
      </w:tr>
      <w:tr>
        <w:trPr>
          <w:trHeight w:val="237"/>
        </w:trPr>
        <w:tc>
          <w:tcPr>
            <w:tcW w:w="40" w:type="dxa"/>
            <w:vAlign w:val="bottom"/>
          </w:tcPr>
          <w:p>
            <w:pPr>
              <w:spacing w:after="0"/>
              <w:rPr>
                <w:sz w:val="20"/>
                <w:szCs w:val="20"/>
                <w:color w:val="auto"/>
              </w:rPr>
            </w:pPr>
          </w:p>
        </w:tc>
        <w:tc>
          <w:tcPr>
            <w:tcW w:w="3960" w:type="dxa"/>
            <w:vAlign w:val="bottom"/>
            <w:gridSpan w:val="2"/>
          </w:tcPr>
          <w:p>
            <w:pPr>
              <w:ind w:left="120"/>
              <w:spacing w:after="0"/>
              <w:rPr>
                <w:sz w:val="20"/>
                <w:szCs w:val="20"/>
                <w:color w:val="auto"/>
              </w:rPr>
            </w:pPr>
            <w:r>
              <w:rPr>
                <w:rFonts w:ascii="Arial" w:cs="Arial" w:eastAsia="Arial" w:hAnsi="Arial"/>
                <w:sz w:val="16"/>
                <w:szCs w:val="16"/>
                <w:color w:val="auto"/>
              </w:rPr>
              <w:t>Energy</w:t>
            </w:r>
          </w:p>
        </w:tc>
        <w:tc>
          <w:tcPr>
            <w:tcW w:w="44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33"/>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Railcar</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r>
      <w:tr>
        <w:trPr>
          <w:trHeight w:val="237"/>
        </w:trPr>
        <w:tc>
          <w:tcPr>
            <w:tcW w:w="40" w:type="dxa"/>
            <w:vAlign w:val="bottom"/>
          </w:tcPr>
          <w:p>
            <w:pPr>
              <w:spacing w:after="0"/>
              <w:rPr>
                <w:sz w:val="20"/>
                <w:szCs w:val="20"/>
                <w:color w:val="auto"/>
              </w:rPr>
            </w:pPr>
          </w:p>
        </w:tc>
        <w:tc>
          <w:tcPr>
            <w:tcW w:w="3960" w:type="dxa"/>
            <w:vAlign w:val="bottom"/>
            <w:gridSpan w:val="2"/>
          </w:tcPr>
          <w:p>
            <w:pPr>
              <w:ind w:left="120"/>
              <w:spacing w:after="0"/>
              <w:rPr>
                <w:sz w:val="20"/>
                <w:szCs w:val="20"/>
                <w:color w:val="auto"/>
              </w:rPr>
            </w:pPr>
            <w:r>
              <w:rPr>
                <w:rFonts w:ascii="Arial" w:cs="Arial" w:eastAsia="Arial" w:hAnsi="Arial"/>
                <w:sz w:val="16"/>
                <w:szCs w:val="16"/>
                <w:color w:val="auto"/>
              </w:rPr>
              <w:t>Metals</w:t>
            </w:r>
          </w:p>
        </w:tc>
        <w:tc>
          <w:tcPr>
            <w:tcW w:w="44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Mining</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37"/>
        </w:trPr>
        <w:tc>
          <w:tcPr>
            <w:tcW w:w="40" w:type="dxa"/>
            <w:vAlign w:val="bottom"/>
          </w:tcPr>
          <w:p>
            <w:pPr>
              <w:spacing w:after="0"/>
              <w:rPr>
                <w:sz w:val="20"/>
                <w:szCs w:val="20"/>
                <w:color w:val="auto"/>
              </w:rPr>
            </w:pPr>
          </w:p>
        </w:tc>
        <w:tc>
          <w:tcPr>
            <w:tcW w:w="3960" w:type="dxa"/>
            <w:vAlign w:val="bottom"/>
            <w:gridSpan w:val="2"/>
          </w:tcPr>
          <w:p>
            <w:pPr>
              <w:ind w:left="120"/>
              <w:spacing w:after="0"/>
              <w:rPr>
                <w:sz w:val="20"/>
                <w:szCs w:val="20"/>
                <w:color w:val="auto"/>
              </w:rPr>
            </w:pPr>
            <w:r>
              <w:rPr>
                <w:rFonts w:ascii="Arial" w:cs="Arial" w:eastAsia="Arial" w:hAnsi="Arial"/>
                <w:sz w:val="16"/>
                <w:szCs w:val="16"/>
                <w:color w:val="auto"/>
              </w:rPr>
              <w:t>Food Packaging</w:t>
            </w:r>
          </w:p>
        </w:tc>
        <w:tc>
          <w:tcPr>
            <w:tcW w:w="44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Real Estate</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37"/>
        </w:trPr>
        <w:tc>
          <w:tcPr>
            <w:tcW w:w="40" w:type="dxa"/>
            <w:vAlign w:val="bottom"/>
          </w:tcPr>
          <w:p>
            <w:pPr>
              <w:spacing w:after="0"/>
              <w:rPr>
                <w:sz w:val="20"/>
                <w:szCs w:val="20"/>
                <w:color w:val="auto"/>
              </w:rPr>
            </w:pPr>
          </w:p>
        </w:tc>
        <w:tc>
          <w:tcPr>
            <w:tcW w:w="3960" w:type="dxa"/>
            <w:vAlign w:val="bottom"/>
            <w:gridSpan w:val="2"/>
          </w:tcPr>
          <w:p>
            <w:pPr>
              <w:ind w:left="120"/>
              <w:spacing w:after="0"/>
              <w:rPr>
                <w:sz w:val="20"/>
                <w:szCs w:val="20"/>
                <w:color w:val="auto"/>
              </w:rPr>
            </w:pPr>
            <w:r>
              <w:rPr>
                <w:rFonts w:ascii="Arial" w:cs="Arial" w:eastAsia="Arial" w:hAnsi="Arial"/>
                <w:sz w:val="16"/>
                <w:szCs w:val="16"/>
                <w:color w:val="auto"/>
              </w:rPr>
              <w:t>Home Fashion</w:t>
            </w:r>
          </w:p>
        </w:tc>
        <w:tc>
          <w:tcPr>
            <w:tcW w:w="44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Other operating segments</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1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Discontinued operations</w:t>
            </w: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w:t>
            </w:r>
          </w:p>
        </w:tc>
      </w:tr>
      <w:tr>
        <w:trPr>
          <w:trHeight w:val="33"/>
        </w:trPr>
        <w:tc>
          <w:tcPr>
            <w:tcW w:w="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before eliminations</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1,523</w:t>
            </w:r>
          </w:p>
        </w:tc>
      </w:tr>
      <w:tr>
        <w:trPr>
          <w:trHeight w:val="21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Eliminations</w:t>
            </w: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(665)</w:t>
            </w:r>
          </w:p>
        </w:tc>
      </w:tr>
      <w:tr>
        <w:trPr>
          <w:trHeight w:val="33"/>
        </w:trPr>
        <w:tc>
          <w:tcPr>
            <w:tcW w:w="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Consolidated</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858</w:t>
            </w:r>
          </w:p>
        </w:tc>
      </w:tr>
      <w:tr>
        <w:trPr>
          <w:trHeight w:val="20"/>
        </w:trPr>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Eliminations</w:t>
      </w:r>
    </w:p>
    <w:p>
      <w:pPr>
        <w:spacing w:after="0" w:line="117"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Eliminations in the table above relate to our Holding Company's transactions with our Investment and other operating segments. Our Holding Company's net redemptions from (investments in) the Investments Funds were $145 million and ($1.0 billion) for the nine months ended September 30, 2018 and 2017, respectively, which are included in cash flows from investing activities for our Holding Company and cash flows from financing activities for our Investment segment. Our Holding Company's net (investments in) distributions from our other operating segments were $(203) million and $215 million for the nine months ended September 30, 2018 and 2017, respectively, which are included in cash flows from investing activities for our Holding Company and cash flows from financing activities for our other operating segments. In addition, our Holding Company repaid a loan from our Railcar segment of $120 million during the nine months ended September 30,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Company</w:t>
      </w:r>
    </w:p>
    <w:p>
      <w:pPr>
        <w:spacing w:after="0" w:line="117" w:lineRule="exact"/>
        <w:rPr>
          <w:sz w:val="20"/>
          <w:szCs w:val="20"/>
          <w:color w:val="auto"/>
        </w:rPr>
      </w:pPr>
    </w:p>
    <w:p>
      <w:pPr>
        <w:ind w:right="260" w:firstLine="405"/>
        <w:spacing w:after="0" w:line="286" w:lineRule="auto"/>
        <w:rPr>
          <w:sz w:val="20"/>
          <w:szCs w:val="20"/>
          <w:color w:val="auto"/>
        </w:rPr>
      </w:pPr>
      <w:r>
        <w:rPr>
          <w:rFonts w:ascii="Arial" w:cs="Arial" w:eastAsia="Arial" w:hAnsi="Arial"/>
          <w:sz w:val="17"/>
          <w:szCs w:val="17"/>
          <w:color w:val="auto"/>
        </w:rPr>
        <w:t>Our Holding Company's cash flows from operating activities for each of the nine months ended September 30, 2018 and 2017 were primarily attributable to our semi-annual interest payments on our senior unsecured notes of $315 million and $303 million, respectively. In addition, net tax receipts (payments) were $16 million and $(19) million for the nine months ended September 30, 2018 and 2017, respectively.</w:t>
      </w:r>
    </w:p>
    <w:p>
      <w:pPr>
        <w:spacing w:after="0" w:line="5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Our Holding Company's cash flows from investing activities for the nine months ended September 30, 2018 were due to an investment in our Automotive segment of $270 million, contributions to our Food Packaging segment in connection with Viskase's rights offering of $44 million and other net contributions to our subsidiaries of $86 million, offset in part by redemptions form the Investment Funds of $145 million and dividends and distributions received from our Energy, Railcar and Real Estate segments aggregating $197 million. For the nine months ended September 30, 2017, our Holding Company had proceeds of approximately $1.3 billion from the sale of ARL and aggregate dividends and distributions received from our Energy, Railcar and Real Estate segments aggregating $432 million. These proceeds were offset in part by net investments in the Investment Funds of $1.0 billion, payments to acquire additional outstanding common stock of Federal-Mogul and Tropicana aggregating $349 million and other net contributions to our subsidiaries of $217 million.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76" w:right="239" w:bottom="1440" w:gutter="0" w:footer="0" w:header="0"/>
          <w:type w:val="continuous"/>
        </w:sectPr>
      </w:pPr>
    </w:p>
    <w:bookmarkStart w:id="63" w:name="page64"/>
    <w:bookmarkEnd w:id="63"/>
    <w:p>
      <w:pPr>
        <w:ind w:firstLine="405"/>
        <w:spacing w:after="0" w:line="255" w:lineRule="auto"/>
        <w:rPr>
          <w:sz w:val="20"/>
          <w:szCs w:val="20"/>
          <w:color w:val="auto"/>
        </w:rPr>
      </w:pPr>
      <w:r>
        <w:rPr>
          <w:rFonts w:ascii="Arial" w:cs="Arial" w:eastAsia="Arial" w:hAnsi="Arial"/>
          <w:sz w:val="18"/>
          <w:szCs w:val="18"/>
          <w:color w:val="auto"/>
        </w:rPr>
        <w:t>Our Holding Company's cash flows from financing activities for the nine months ended September 30, 2018 were due to payments on our aggregate quarterly distributions of $73 million (including $1 million in distributions to our general partner in order to maintain its ownership percentage in us). Our Holding Company's cash flows from financing activities for the nine months ended September 30, 2017 were due to aggregate proceeds from our rights offering of $612 million (which includes a contribution of $12 million from our general partner in order to maintain its aggregate 1.99% general partner interest in us) and net proceeds from our senior unsecured debt refinancing of $20 million, offset in part by repayment of an intercompany loan due to ARL of $120 million and payments on our aggregate quarterly distributions of $61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Segment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Investment segment's cash flows from operating activities for the comparable periods were attributable to its net investment transactions.</w:t>
      </w:r>
    </w:p>
    <w:p>
      <w:pPr>
        <w:spacing w:after="0" w:line="1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Investment segment's cash flows from financing activities for the comparable periods were due to net contributions from our Holding Company and Mr. Icahn and his affiliates. For the nine months ended September 30, 2018, Mr. Icahn and his affiliates (excluding us) invested $280 million in the Investment Funds, offset in part by redemptions paid to us of $145 million. For the nine months ended September 30, 2017, our Holding Company invested $1.0 billion in the Investment Funds, net of redemptions, and Mr. Icahn and his affiliates (excluding us) invested an additional $600 million in the Investment Funds.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Segments</w:t>
      </w:r>
    </w:p>
    <w:p>
      <w:pPr>
        <w:spacing w:after="0" w:line="11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Our other operating segments' cash flows from continuing operating activities were primarily attributable to net cash flows from operating activities before changes in operating assets and liabilities of $643 million and $552 million for the nine months ended September 30, 2018 and 2017, respectively. The change in net cash provided by continuing operating activities from our other operating segments in 2018 compared to 2017 was primarily attributable to our Energy segment's positive results from operations, offset in part by changes primarily attributable to our Railcar segment. The decrease in our Railcar segment was attributable to the sale of ARL, which had positive cash flows from operating activities prior to its sale in June 2017.</w:t>
      </w:r>
    </w:p>
    <w:p>
      <w:pPr>
        <w:spacing w:after="0" w:line="50" w:lineRule="exact"/>
        <w:rPr>
          <w:sz w:val="20"/>
          <w:szCs w:val="20"/>
          <w:color w:val="auto"/>
        </w:rPr>
      </w:pPr>
    </w:p>
    <w:p>
      <w:pPr>
        <w:ind w:right="200" w:firstLine="405"/>
        <w:spacing w:after="0" w:line="271" w:lineRule="auto"/>
        <w:rPr>
          <w:sz w:val="20"/>
          <w:szCs w:val="20"/>
          <w:color w:val="auto"/>
        </w:rPr>
      </w:pPr>
      <w:r>
        <w:rPr>
          <w:rFonts w:ascii="Arial" w:cs="Arial" w:eastAsia="Arial" w:hAnsi="Arial"/>
          <w:sz w:val="17"/>
          <w:szCs w:val="17"/>
          <w:color w:val="auto"/>
        </w:rPr>
        <w:t>Our other operating segments cash flows from continuing investing activities for the nine months ended September 30, 2018 and 2017 were primarily due to capital expenditures. For the nine months ended September 30, 2018, our Railcar segment's capital expenditures were $81 million, primarily for railcars for lease, our Energy segment's capital expenditures were $68 million, primarily for maintenance, our Automotive segment's capital expenditures were $53 million, primarily for store improvements, and our Mining segment's capital expenditures were $32 million. For the nine months ended September 30, 2017, our Railcar, Energy, Automotive and Mining segments had capital expenditures of $139 million, $80 million, $57 million and $27 million, respectively. In addition, for the nine months ended September 30, 2018 and 2017, our Automotive segment had aggregate payments to acquire businesses, net of cash acquired of $13 million and $74 million, respectively. For the nine months ended September 30, 2018 and 2017, our Real Estate segment had aggregate proceeds from the sale of properties of $139 million and $226 million, respectively.</w:t>
      </w:r>
    </w:p>
    <w:p>
      <w:pPr>
        <w:spacing w:after="0" w:line="71"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Our other operating segments cash flows from continuing financing activities for the nine months ended September 30, 2018 and 2017 were primarily due to contributions from us, dividends and distributions to us and non-controlling interests, and net debt transactions. For the nine months ended September 30, 2018 and 2017, our other operating segments had net cash contributions from (distributions to) our Holding Company of $203 million and $(215) million, respectively, as described above. Distributions to non-controlling interests were $104 million and $34 million for the nine months ended September 30, 2018 and 2017, respectively, primarily from our Energy and Railcar segments. In addition, our other operating segments had net cash repayments for debt and vendor financing transactions of $62 million and $90 million, for the nine months ended September 30, 2018 and 2017,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Our cash flows from discontinued operating activities for the nine months ended September 30, 2018 was comprised of $225 million provided by Federal-Mogul and $127 million provided by our former Gaming segment compared to $300 million provided by Federal-Mogul and $110 million provided by our former Gaming segment for the nine months ended September 30, 2017 primarily due to net cash flows from operating activities before changes in operating assets and liabilities. Cash flows provided by operating activities from discontinued operations was net of cash payments for interest of $126 million for Federal-Mogul and $4 million for our former Gaming segment for the nine months ended September 30, 2018 and $88 million for Federal-Mogul and $9 million for our former Gaming segment for the nine months ended September 30, 2017.</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76" w:right="259" w:bottom="1440" w:gutter="0" w:footer="0" w:header="0"/>
        </w:sectPr>
      </w:pPr>
    </w:p>
    <w:bookmarkStart w:id="64" w:name="page65"/>
    <w:bookmarkEnd w:id="64"/>
    <w:p>
      <w:pPr>
        <w:ind w:right="20" w:firstLine="405"/>
        <w:spacing w:after="0" w:line="255" w:lineRule="auto"/>
        <w:rPr>
          <w:sz w:val="20"/>
          <w:szCs w:val="20"/>
          <w:color w:val="auto"/>
        </w:rPr>
      </w:pPr>
      <w:r>
        <w:rPr>
          <w:rFonts w:ascii="Arial" w:cs="Arial" w:eastAsia="Arial" w:hAnsi="Arial"/>
          <w:sz w:val="18"/>
          <w:szCs w:val="18"/>
          <w:color w:val="auto"/>
        </w:rPr>
        <w:t>Our cash flows from discontinued investing activities for the nine months ended September 30, 2018 was comprised of $263 million used by Federal-Mogul and $55 million used by our former Gaming segment compared to $270 million used by Federal-Mogul and $28 million used by our former Gaming segment for the nine months ended September 30, 2017. Federal-Mogul's capital expenditures were $303 million and $276 million for the nine months ended September 30, 2018 and 2017, respectively, and our former Gaming segment's capital expenditures were $58 million and $83 million for the nine months ended September 30, 2018 and 2017, respectively. Federal-Mogul also had proceeds from the disposition of assets of $33 million for the nine months ended September 30, 2018 and our former Gaming segment had proceeds from the disposition of assets of $50 million for the nine months ended September 30, 2017.</w:t>
      </w:r>
    </w:p>
    <w:p>
      <w:pPr>
        <w:spacing w:after="0" w:line="81"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Our cash flows from financing activities from discontinued operations for the nine months ended September 30, 2018 was comprised of a net of zero attributable to Federal-Mogul and $75 million used by our former Gaming segment compared to $28 million used by Federal-Mogul and $163 million used by our former Gaming segment for the nine months ended September 30, 2017. Cash flows used in financing activities from discontinued operations relate primarily to net debt transactions. In addition, for the nine months ended September 30, 2018, Federal-Mogul received $56 million from our Holding Company in connection with a litigation reserve. For the nine months ended September 30, 2018 and 2017, Federal-Mogul's cash flows from financing activities also included $5 million and $4 million, respectively, paid to non-controlling interests and for the nine months ended September 30, 2017, our former Gaining segment's cash flows from financing activities included $36 million for the repurchase of Tropicana's common stock.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Capital Expenditures</w:t>
      </w:r>
    </w:p>
    <w:p>
      <w:pPr>
        <w:spacing w:after="0" w:line="117" w:lineRule="exact"/>
        <w:rPr>
          <w:sz w:val="20"/>
          <w:szCs w:val="20"/>
          <w:color w:val="auto"/>
        </w:rPr>
      </w:pPr>
    </w:p>
    <w:p>
      <w:pPr>
        <w:jc w:val="both"/>
        <w:ind w:right="180" w:firstLine="405"/>
        <w:spacing w:after="0" w:line="279" w:lineRule="auto"/>
        <w:rPr>
          <w:sz w:val="20"/>
          <w:szCs w:val="20"/>
          <w:color w:val="auto"/>
        </w:rPr>
      </w:pPr>
      <w:r>
        <w:rPr>
          <w:rFonts w:ascii="Arial" w:cs="Arial" w:eastAsia="Arial" w:hAnsi="Arial"/>
          <w:sz w:val="17"/>
          <w:szCs w:val="17"/>
          <w:color w:val="auto"/>
        </w:rPr>
        <w:t>There have been no significant changes to our capital expenditures during the nine months ended September 30, 2018 as compared to the estimated capital expenditures for 2018 as reported in our Annual Report on Form 10-K for the year ended December 31, 2017. Capital expenditures with respect to discontinued operations are discussed under "Consolidated Cash Flows" above and also disclosed in Note 12, "Discontinued Operations," to the condensed consolidated financial statements. On October 1, 2018, we closed on the sales of Federal-Mogul and Tropicana.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Contractual Commitments and Contingencies</w:t>
      </w:r>
    </w:p>
    <w:p>
      <w:pPr>
        <w:spacing w:after="0" w:line="117"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There have been no material changes to our contractual commitments and contingencies as compared to those reported in our Annual Report on Form 10-K for the year ended December 31, 2017</w:t>
      </w:r>
      <w:r>
        <w:rPr>
          <w:rFonts w:ascii="Arial" w:cs="Arial" w:eastAsia="Arial" w:hAnsi="Arial"/>
          <w:sz w:val="18"/>
          <w:szCs w:val="18"/>
          <w:b w:val="1"/>
          <w:bCs w:val="1"/>
          <w:color w:val="auto"/>
        </w:rPr>
        <w:t>.</w:t>
      </w:r>
      <w:r>
        <w:rPr>
          <w:rFonts w:ascii="Arial" w:cs="Arial" w:eastAsia="Arial" w:hAnsi="Arial"/>
          <w:sz w:val="18"/>
          <w:szCs w:val="18"/>
          <w:color w:val="auto"/>
        </w:rPr>
        <w:t xml:space="preserve"> However, certain debt with respect to discontinued operations is classified as held for sale beginning in the second quarter of 2018 and is disclosed in Note 12, "Discontinued Operations," to the condensed consolidated financial statements. As of October 1, 2018, in connection with the closing of the sales of Federal-Mogul and Tropicana, the debt of Federal-Mogul and Tropicana are no longer the obligation of Icahn Enterprises and Icahn Enterprises Holdings.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Off-Balance Sheet Arrangements</w:t>
      </w:r>
    </w:p>
    <w:p>
      <w:pPr>
        <w:spacing w:after="0" w:line="11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see Note 6, “Financial Instruments," to the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The critical accounting policies and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2017.</w:t>
      </w:r>
    </w:p>
    <w:p>
      <w:pPr>
        <w:spacing w:after="0" w:line="79" w:lineRule="exact"/>
        <w:rPr>
          <w:sz w:val="20"/>
          <w:szCs w:val="20"/>
          <w:color w:val="auto"/>
        </w:rPr>
      </w:pPr>
    </w:p>
    <w:p>
      <w:pPr>
        <w:ind w:right="180" w:firstLine="378"/>
        <w:spacing w:after="0" w:line="264" w:lineRule="auto"/>
        <w:rPr>
          <w:sz w:val="20"/>
          <w:szCs w:val="20"/>
          <w:color w:val="auto"/>
        </w:rPr>
      </w:pPr>
      <w:r>
        <w:rPr>
          <w:rFonts w:ascii="Arial" w:cs="Arial" w:eastAsia="Arial" w:hAnsi="Arial"/>
          <w:sz w:val="18"/>
          <w:szCs w:val="18"/>
          <w:color w:val="auto"/>
        </w:rPr>
        <w:t xml:space="preserve">Effective January 1, 2018, we adopted FASB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Although this new standard is not expected to have a material impact on our ongoing results of operations, we determined that it was appropriate to identify our updated accounting policy as a critical accounting policy.</w:t>
      </w:r>
    </w:p>
    <w:p>
      <w:pPr>
        <w:spacing w:after="0" w:line="73" w:lineRule="exact"/>
        <w:rPr>
          <w:sz w:val="20"/>
          <w:szCs w:val="20"/>
          <w:color w:val="auto"/>
        </w:rPr>
      </w:pPr>
    </w:p>
    <w:p>
      <w:pPr>
        <w:jc w:val="both"/>
        <w:ind w:firstLine="378"/>
        <w:spacing w:after="0" w:line="342" w:lineRule="auto"/>
        <w:rPr>
          <w:sz w:val="20"/>
          <w:szCs w:val="20"/>
          <w:color w:val="auto"/>
        </w:rPr>
      </w:pPr>
      <w:r>
        <w:rPr>
          <w:rFonts w:ascii="Arial" w:cs="Arial" w:eastAsia="Arial" w:hAnsi="Arial"/>
          <w:sz w:val="16"/>
          <w:szCs w:val="16"/>
          <w:color w:val="auto"/>
        </w:rPr>
        <w:t>Except for the adoption of FASB ASC Topic 606, discussed above, there have been no material changes to our critical accounting policies and estimates during the nine months ended September 30, 2018 as compared to those reported in our Annual Report on Form 10-K for the year ended December 31, 2017.</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476" w:right="29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460" w:firstLine="378"/>
        <w:spacing w:after="0" w:line="277" w:lineRule="auto"/>
        <w:rPr>
          <w:sz w:val="20"/>
          <w:szCs w:val="20"/>
          <w:color w:val="auto"/>
        </w:rPr>
      </w:pPr>
      <w:r>
        <w:rPr>
          <w:rFonts w:ascii="Arial" w:cs="Arial" w:eastAsia="Arial" w:hAnsi="Arial"/>
          <w:sz w:val="18"/>
          <w:szCs w:val="18"/>
          <w:color w:val="auto"/>
        </w:rPr>
        <w:t>Refer to Note 2, "Basis of Presentation and Summary of Significant Accounting Policies," to the condensed consolidated financial statements for a discussion of recent accounting pronouncements applicable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Except as discussed below, information about our quantitative and qualitative disclosures about market risk did not differ materially from those disclosed in our Annual Report on Form 10-K for the year ended December 31,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6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September 30, 2018, we estimate that in the event of a 10% adverse change in the fair value of these investments, the fair values of securities owned, securities sold, not yet purchased and derivatives would be negatively impacted by approximately $871 million, $63 million and $1.1 billion, respectively. However, as of September 30, 2018, we estimate that the impact to our share of the net gain (loss) from investment activities reported in our condensed consolidated statement of operations would be less than the change in fair value since we have an investment of approximately 38% in the Investment Funds, and the non-controlling interests in income would correspondingly offset approximately 62% of the change in fair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As of September 30, 2018,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2018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72"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are, and will continue to be, subject to litigation from time to time in the ordinary course of business. Refer to Note 16, “Commitments and Contingencies” to the condensed consolidated financial statements, which is incorporated by reference into this Part II, Item 1 of this Report, for information regarding our lawsuits and proceedings.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Except for the risk factor disclosed below, there were no material changes to our risk factors during the nine months ended September 30, 2018 as compared to those reported in our Annual Report on Form 10-K for the year ended December 31, 2017.</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subject to the risk of becoming an investment company.</w:t>
      </w:r>
    </w:p>
    <w:p>
      <w:pPr>
        <w:spacing w:after="0" w:line="110"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Because we are a holding company and a significant portion of our assets may, from time to time, consist of investments in companies in which we own less than a 50% interest, we run the risk of inadvertently becoming an investment company that is required to register under the Investment Company Act. 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recent sales of Federal-Mogul and Tropicana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74"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If we are unsuccessful, then we will be required to register as a registered investment company and will be subject to extensive, restrictive and potentially adverse regulations relating to, among other things, operating methods, management, capital structure, dividends and transactions with affiliates. Registered investment companies are not permitted to operate their business in the manner in which we currently operate our business, nor are registered investment companies permitted to have many of the relationships that we have with our affiliated companies. In addition, if we become required to register under the Investment Company Act, it is likely that we would be treated as a corporation for U.S. federal income tax purposes, and would be subject to the tax consequences described under the caption, “Risk Factors - Risks Relating to Our Structure - We may become taxable as a corporation if we are no longer treated as a partnership for federal income tax purposes” in our Annual Report on Form 10-K for the year ended December 31, 2017.</w:t>
      </w:r>
    </w:p>
    <w:p>
      <w:pPr>
        <w:spacing w:after="0" w:line="59"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If it were established that we were an investment company and did not register as an investment company when required to do so, there would be a risk, among other material adverse consequences, that we could become subject to monetary penalties or injunctive relief, or both, in an action brought by the Securities and Exchange Commission, that we would be unable to enforce contracts with third parties or that third parties could seek to obtain rescission of transactions with us undertaken during the period it was established that we were an unregistered investment company.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64"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13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Item 6. Exhibits.</w:t>
            </w:r>
          </w:p>
        </w:tc>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13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600" w:type="dxa"/>
            <w:vAlign w:val="bottom"/>
            <w:gridSpan w:val="5"/>
          </w:tcPr>
          <w:p>
            <w:pPr>
              <w:ind w:left="21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6"/>
        </w:trPr>
        <w:tc>
          <w:tcPr>
            <w:tcW w:w="1260" w:type="dxa"/>
            <w:vAlign w:val="bottom"/>
            <w:gridSpan w:val="3"/>
          </w:tcPr>
          <w:p>
            <w:pPr>
              <w:jc w:val="center"/>
              <w:spacing w:after="0" w:line="196" w:lineRule="exact"/>
              <w:rPr>
                <w:rFonts w:ascii="Arial" w:cs="Arial" w:eastAsia="Arial" w:hAnsi="Arial"/>
                <w:sz w:val="18"/>
                <w:szCs w:val="18"/>
                <w:color w:val="0000FF"/>
                <w:w w:val="91"/>
              </w:rPr>
            </w:pPr>
            <w:hyperlink w:anchor="page70">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6"/>
          </w:tcPr>
          <w:p>
            <w:pPr>
              <w:spacing w:after="0" w:line="196" w:lineRule="exact"/>
              <w:rPr>
                <w:rFonts w:ascii="Arial" w:cs="Arial" w:eastAsia="Arial" w:hAnsi="Arial"/>
                <w:sz w:val="18"/>
                <w:szCs w:val="18"/>
                <w:color w:val="0000FF"/>
                <w:w w:val="98"/>
              </w:rPr>
            </w:pPr>
            <w:hyperlink w:anchor="page70">
              <w:r>
                <w:rPr>
                  <w:rFonts w:ascii="Arial" w:cs="Arial" w:eastAsia="Arial" w:hAnsi="Arial"/>
                  <w:sz w:val="18"/>
                  <w:szCs w:val="18"/>
                  <w:color w:val="0000FF"/>
                  <w:w w:val="98"/>
                </w:rPr>
                <w:t>Certification of Chief Executive Officer pursuant to Section 302(a) of the Sarbanes-Oxley Act of 2002 and Rule 13a-14(a) of the</w:t>
              </w:r>
            </w:hyperlink>
          </w:p>
        </w:tc>
      </w:tr>
      <w:tr>
        <w:trPr>
          <w:trHeight w:val="196"/>
        </w:trPr>
        <w:tc>
          <w:tcPr>
            <w:tcW w:w="4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8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70">
              <w:r>
                <w:rPr>
                  <w:rFonts w:ascii="Arial" w:cs="Arial" w:eastAsia="Arial" w:hAnsi="Arial"/>
                  <w:sz w:val="18"/>
                  <w:szCs w:val="18"/>
                  <w:color w:val="0000FF"/>
                </w:rPr>
                <w:t>Securities Exchange Act of 1934.</w:t>
              </w:r>
            </w:hyperlink>
          </w:p>
        </w:tc>
        <w:tc>
          <w:tcPr>
            <w:tcW w:w="720" w:type="dxa"/>
            <w:vAlign w:val="bottom"/>
            <w:gridSpan w:val="2"/>
          </w:tcPr>
          <w:p>
            <w:pPr>
              <w:spacing w:after="0"/>
              <w:rPr>
                <w:sz w:val="17"/>
                <w:szCs w:val="17"/>
                <w:color w:val="auto"/>
              </w:rPr>
            </w:pPr>
          </w:p>
        </w:tc>
      </w:tr>
      <w:tr>
        <w:trPr>
          <w:trHeight w:val="20"/>
        </w:trPr>
        <w:tc>
          <w:tcPr>
            <w:tcW w:w="1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260" w:type="dxa"/>
            <w:vAlign w:val="bottom"/>
            <w:gridSpan w:val="3"/>
          </w:tcPr>
          <w:p>
            <w:pPr>
              <w:jc w:val="center"/>
              <w:spacing w:after="0"/>
              <w:rPr>
                <w:rFonts w:ascii="Arial" w:cs="Arial" w:eastAsia="Arial" w:hAnsi="Arial"/>
                <w:sz w:val="18"/>
                <w:szCs w:val="18"/>
                <w:color w:val="0000FF"/>
                <w:w w:val="91"/>
              </w:rPr>
            </w:pPr>
            <w:hyperlink w:anchor="page71">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0" w:type="dxa"/>
            <w:vAlign w:val="bottom"/>
            <w:gridSpan w:val="6"/>
          </w:tcPr>
          <w:p>
            <w:pPr>
              <w:spacing w:after="0"/>
              <w:rPr>
                <w:rFonts w:ascii="Arial" w:cs="Arial" w:eastAsia="Arial" w:hAnsi="Arial"/>
                <w:sz w:val="18"/>
                <w:szCs w:val="18"/>
                <w:color w:val="0000FF"/>
                <w:w w:val="99"/>
              </w:rPr>
            </w:pPr>
            <w:hyperlink w:anchor="page71">
              <w:r>
                <w:rPr>
                  <w:rFonts w:ascii="Arial" w:cs="Arial" w:eastAsia="Arial" w:hAnsi="Arial"/>
                  <w:sz w:val="18"/>
                  <w:szCs w:val="18"/>
                  <w:color w:val="0000FF"/>
                  <w:w w:val="99"/>
                </w:rPr>
                <w:t>Certification of Chief Financial Officer pursuant to Section 302(a) of the Sarbanes-Oxley Act of 2002 and Rule 13a-14(a) of the</w:t>
              </w:r>
            </w:hyperlink>
          </w:p>
        </w:tc>
      </w:tr>
      <w:tr>
        <w:trPr>
          <w:trHeight w:val="196"/>
        </w:trPr>
        <w:tc>
          <w:tcPr>
            <w:tcW w:w="4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2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71">
              <w:r>
                <w:rPr>
                  <w:rFonts w:ascii="Arial" w:cs="Arial" w:eastAsia="Arial" w:hAnsi="Arial"/>
                  <w:sz w:val="18"/>
                  <w:szCs w:val="18"/>
                  <w:color w:val="0000FF"/>
                </w:rPr>
                <w:t>Securities Exchange Act of 1934.</w:t>
              </w:r>
            </w:hyperlink>
          </w:p>
        </w:tc>
        <w:tc>
          <w:tcPr>
            <w:tcW w:w="780" w:type="dxa"/>
            <w:vAlign w:val="bottom"/>
            <w:gridSpan w:val="3"/>
          </w:tcPr>
          <w:p>
            <w:pPr>
              <w:spacing w:after="0"/>
              <w:rPr>
                <w:sz w:val="17"/>
                <w:szCs w:val="17"/>
                <w:color w:val="auto"/>
              </w:rPr>
            </w:pPr>
          </w:p>
        </w:tc>
      </w:tr>
      <w:tr>
        <w:trPr>
          <w:trHeight w:val="20"/>
        </w:trPr>
        <w:tc>
          <w:tcPr>
            <w:tcW w:w="1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260" w:type="dxa"/>
            <w:vAlign w:val="bottom"/>
            <w:gridSpan w:val="3"/>
          </w:tcPr>
          <w:p>
            <w:pPr>
              <w:jc w:val="center"/>
              <w:spacing w:after="0"/>
              <w:rPr>
                <w:rFonts w:ascii="Arial" w:cs="Arial" w:eastAsia="Arial" w:hAnsi="Arial"/>
                <w:sz w:val="18"/>
                <w:szCs w:val="18"/>
                <w:color w:val="0000FF"/>
                <w:w w:val="91"/>
              </w:rPr>
            </w:pPr>
            <w:hyperlink w:anchor="page72">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0" w:type="dxa"/>
            <w:vAlign w:val="bottom"/>
            <w:gridSpan w:val="6"/>
          </w:tcPr>
          <w:p>
            <w:pPr>
              <w:spacing w:after="0"/>
              <w:rPr>
                <w:rFonts w:ascii="Arial" w:cs="Arial" w:eastAsia="Arial" w:hAnsi="Arial"/>
                <w:sz w:val="18"/>
                <w:szCs w:val="18"/>
                <w:color w:val="0000FF"/>
                <w:w w:val="97"/>
              </w:rPr>
            </w:pPr>
            <w:hyperlink w:anchor="page72">
              <w:r>
                <w:rPr>
                  <w:rFonts w:ascii="Arial" w:cs="Arial" w:eastAsia="Arial" w:hAnsi="Arial"/>
                  <w:sz w:val="18"/>
                  <w:szCs w:val="18"/>
                  <w:color w:val="0000FF"/>
                  <w:w w:val="97"/>
                </w:rPr>
                <w:t>Certification of Chief Executive Officer and Chief Financial Officer pursuant to Section 906 of the Sarbanes-Oxley Act of 2002 (18</w:t>
              </w:r>
            </w:hyperlink>
          </w:p>
        </w:tc>
      </w:tr>
      <w:tr>
        <w:trPr>
          <w:trHeight w:val="196"/>
        </w:trPr>
        <w:tc>
          <w:tcPr>
            <w:tcW w:w="4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8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72">
              <w:r>
                <w:rPr>
                  <w:rFonts w:ascii="Arial" w:cs="Arial" w:eastAsia="Arial" w:hAnsi="Arial"/>
                  <w:sz w:val="18"/>
                  <w:szCs w:val="18"/>
                  <w:color w:val="0000FF"/>
                </w:rPr>
                <w:t>U.S.C. 1350) and Rule 13a-14(b) of the Securities Exchange Act of 1934.</w:t>
              </w:r>
            </w:hyperlink>
          </w:p>
        </w:tc>
        <w:tc>
          <w:tcPr>
            <w:tcW w:w="520" w:type="dxa"/>
            <w:vAlign w:val="bottom"/>
          </w:tcPr>
          <w:p>
            <w:pPr>
              <w:spacing w:after="0"/>
              <w:rPr>
                <w:sz w:val="17"/>
                <w:szCs w:val="17"/>
                <w:color w:val="auto"/>
              </w:rPr>
            </w:pPr>
          </w:p>
        </w:tc>
      </w:tr>
      <w:tr>
        <w:trPr>
          <w:trHeight w:val="291"/>
        </w:trPr>
        <w:tc>
          <w:tcPr>
            <w:tcW w:w="138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101.INS</w:t>
            </w:r>
          </w:p>
        </w:tc>
        <w:tc>
          <w:tcPr>
            <w:tcW w:w="40" w:type="dxa"/>
            <w:vAlign w:val="bottom"/>
          </w:tcPr>
          <w:p>
            <w:pPr>
              <w:spacing w:after="0"/>
              <w:rPr>
                <w:sz w:val="24"/>
                <w:szCs w:val="24"/>
                <w:color w:val="auto"/>
              </w:rPr>
            </w:pPr>
          </w:p>
        </w:tc>
        <w:tc>
          <w:tcPr>
            <w:tcW w:w="53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XBRL Instance Document.</w:t>
            </w:r>
          </w:p>
        </w:tc>
        <w:tc>
          <w:tcPr>
            <w:tcW w:w="4700" w:type="dxa"/>
            <w:vAlign w:val="bottom"/>
            <w:gridSpan w:val="4"/>
          </w:tcPr>
          <w:p>
            <w:pPr>
              <w:spacing w:after="0"/>
              <w:rPr>
                <w:sz w:val="24"/>
                <w:szCs w:val="24"/>
                <w:color w:val="auto"/>
              </w:rPr>
            </w:pPr>
          </w:p>
        </w:tc>
      </w:tr>
      <w:tr>
        <w:trPr>
          <w:trHeight w:val="270"/>
        </w:trPr>
        <w:tc>
          <w:tcPr>
            <w:tcW w:w="138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101.SCH</w:t>
            </w:r>
          </w:p>
        </w:tc>
        <w:tc>
          <w:tcPr>
            <w:tcW w:w="40" w:type="dxa"/>
            <w:vAlign w:val="bottom"/>
          </w:tcPr>
          <w:p>
            <w:pPr>
              <w:spacing w:after="0"/>
              <w:rPr>
                <w:sz w:val="23"/>
                <w:szCs w:val="23"/>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380" w:type="dxa"/>
            <w:vAlign w:val="bottom"/>
            <w:gridSpan w:val="4"/>
          </w:tcPr>
          <w:p>
            <w:pPr>
              <w:jc w:val="center"/>
              <w:ind w:right="100"/>
              <w:spacing w:after="0"/>
              <w:rPr>
                <w:sz w:val="20"/>
                <w:szCs w:val="20"/>
                <w:color w:val="auto"/>
              </w:rPr>
            </w:pPr>
            <w:r>
              <w:rPr>
                <w:rFonts w:ascii="Arial" w:cs="Arial" w:eastAsia="Arial" w:hAnsi="Arial"/>
                <w:sz w:val="18"/>
                <w:szCs w:val="18"/>
                <w:color w:val="auto"/>
                <w:w w:val="97"/>
              </w:rPr>
              <w:t>101.CAL</w:t>
            </w:r>
          </w:p>
        </w:tc>
        <w:tc>
          <w:tcPr>
            <w:tcW w:w="40" w:type="dxa"/>
            <w:vAlign w:val="bottom"/>
          </w:tcPr>
          <w:p>
            <w:pPr>
              <w:spacing w:after="0"/>
              <w:rPr>
                <w:sz w:val="23"/>
                <w:szCs w:val="23"/>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380" w:type="dxa"/>
            <w:vAlign w:val="bottom"/>
            <w:gridSpan w:val="4"/>
          </w:tcPr>
          <w:p>
            <w:pPr>
              <w:jc w:val="center"/>
              <w:ind w:right="100"/>
              <w:spacing w:after="0"/>
              <w:rPr>
                <w:sz w:val="20"/>
                <w:szCs w:val="20"/>
                <w:color w:val="auto"/>
              </w:rPr>
            </w:pPr>
            <w:r>
              <w:rPr>
                <w:rFonts w:ascii="Arial" w:cs="Arial" w:eastAsia="Arial" w:hAnsi="Arial"/>
                <w:sz w:val="18"/>
                <w:szCs w:val="18"/>
                <w:color w:val="auto"/>
                <w:w w:val="98"/>
              </w:rPr>
              <w:t>101.LAB</w:t>
            </w:r>
          </w:p>
        </w:tc>
        <w:tc>
          <w:tcPr>
            <w:tcW w:w="40" w:type="dxa"/>
            <w:vAlign w:val="bottom"/>
          </w:tcPr>
          <w:p>
            <w:pPr>
              <w:spacing w:after="0"/>
              <w:rPr>
                <w:sz w:val="23"/>
                <w:szCs w:val="23"/>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38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101.PRE</w:t>
            </w:r>
          </w:p>
        </w:tc>
        <w:tc>
          <w:tcPr>
            <w:tcW w:w="40" w:type="dxa"/>
            <w:vAlign w:val="bottom"/>
          </w:tcPr>
          <w:p>
            <w:pPr>
              <w:spacing w:after="0"/>
              <w:rPr>
                <w:sz w:val="23"/>
                <w:szCs w:val="23"/>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138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3"/>
                <w:szCs w:val="23"/>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4"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L.P.</w:t>
      </w:r>
    </w:p>
    <w:p>
      <w:pPr>
        <w:spacing w:after="0" w:line="202"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/s/SungHwan Cho</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SungHwan Cho,</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Chief Financial Officer and Director</w:t>
            </w:r>
          </w:p>
        </w:tc>
      </w:tr>
      <w:tr>
        <w:trPr>
          <w:trHeight w:val="6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/s/Peter Reck</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Peter Reck,</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Chief Accounting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Holdings L.P.</w:t>
      </w:r>
    </w:p>
    <w:p>
      <w:pPr>
        <w:spacing w:after="0" w:line="202"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/s/SungHwan Cho</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SungHwan Cho,</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Chief Financial Officer and Director</w:t>
            </w:r>
          </w:p>
        </w:tc>
      </w:tr>
      <w:tr>
        <w:trPr>
          <w:trHeight w:val="6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/s/Peter Reck</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Peter Reck,</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364" w:right="25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right="880" w:firstLine="332"/>
        <w:spacing w:after="0" w:line="277"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joint quarterly report on Form 10-Q of Icahn Enterprises L.P. and Icahn Enterprises Holdings L.P. for the period ended September 30, 2018;</w:t>
      </w:r>
    </w:p>
    <w:p>
      <w:pPr>
        <w:spacing w:after="0" w:line="170"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and Chief Executive Officer of Icahn Enterprises G.P. Inc.,</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the general partner of Icahn Enterprises L.P. and Icahn Enterprises</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ectPr>
          <w:pgSz w:w="11900" w:h="16838" w:orient="portrait"/>
          <w:cols w:equalWidth="0" w:num="1">
            <w:col w:w="11420"/>
          </w:cols>
          <w:pgMar w:left="240" w:top="5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right="880" w:firstLine="332"/>
        <w:spacing w:after="0" w:line="277" w:lineRule="auto"/>
        <w:tabs>
          <w:tab w:leader="none" w:pos="5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joint quarterly report on Form 10-Q of Icahn Enterprises L.P. and Icahn Enterprises Holdings L.P. for the period ended September 30, 2018;</w:t>
      </w:r>
    </w:p>
    <w:p>
      <w:pPr>
        <w:spacing w:after="0" w:line="170"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ectPr>
          <w:pgSz w:w="11900" w:h="16838" w:orient="portrait"/>
          <w:cols w:equalWidth="0" w:num="1">
            <w:col w:w="11420"/>
          </w:cols>
          <w:pgMar w:left="240" w:top="580"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540" w:firstLine="324"/>
        <w:spacing w:after="0" w:line="264" w:lineRule="auto"/>
        <w:rPr>
          <w:sz w:val="20"/>
          <w:szCs w:val="20"/>
          <w:color w:val="auto"/>
        </w:rPr>
      </w:pPr>
      <w:r>
        <w:rPr>
          <w:rFonts w:ascii="Arial" w:cs="Arial" w:eastAsia="Arial" w:hAnsi="Arial"/>
          <w:sz w:val="18"/>
          <w:szCs w:val="18"/>
          <w:color w:val="auto"/>
        </w:rPr>
        <w:t>In connection with the joint quarterly report on Form 10-Q of Icahn Enterprises L.P. and Icahn Enterprises Holdings L.P., for the period ended September 30, 2018, the undersigned certify that, to the best of his knowledge, based upon a review of the Icahn Enterprises L.P. and Icahn Enterprises Holdings L.P. joint quarterly report on Form 10-Q for the period ended September 30, 2018:</w:t>
      </w:r>
    </w:p>
    <w:p>
      <w:pPr>
        <w:spacing w:after="0" w:line="181" w:lineRule="exact"/>
        <w:rPr>
          <w:sz w:val="20"/>
          <w:szCs w:val="20"/>
          <w:color w:val="auto"/>
        </w:rPr>
      </w:pPr>
    </w:p>
    <w:p>
      <w:pPr>
        <w:ind w:left="580" w:hanging="248"/>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registrants.</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President and Chief Executive Officer of Icahn Enterprises G.P. Inc., the</w:t>
      </w:r>
    </w:p>
    <w:p>
      <w:pPr>
        <w:spacing w:after="0" w:line="46"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general partner of Icahn Enterprises L.P. and Icahn Enterprises Holdings</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6"/>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8"/>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2019-12-28T18:01:57Z</dcterms:created>
  <dcterms:modified xsi:type="dcterms:W3CDTF">2019-12-28T18:01:57Z</dcterms:modified>
</cp:coreProperties>
</file>