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31231x10k.htm"/>
        <w:bookmarkStart w:id="1" w:name="kstmb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8"/>
        </w:rPr>
      </w:pPr>
      <w:bookmarkStart w:id="2" w:name="_dac31be1_4657_4ced_8942_b5d48243fee3"/>
      <w:bookmarkEnd w:id="2"/>
      <w:r>
        <w:rPr>
          <w:rFonts w:ascii="Times New Roman;Times;serif" w:hAnsi="Times New Roman;Times;serif"/>
          <w:b/>
          <w:sz w:val="18"/>
        </w:rPr>
        <w:t>UNITED STATES</w:t>
      </w:r>
      <w:r>
        <w:rPr>
          <w:rFonts w:ascii="Times New Roman;Times;serif" w:hAnsi="Times New Roman;Times;serif"/>
          <w:sz w:val="18"/>
        </w:rPr>
        <w:t xml:space="preserve"> </w:t>
      </w:r>
      <w:r>
        <w:rPr>
          <w:rFonts w:ascii="Times New Roman;Times;serif" w:hAnsi="Times New Roman;Times;serif"/>
          <w:b/>
          <w:sz w:val="18"/>
        </w:rPr>
        <w:t>SECURITIES AND EXCHANGE COMMISSION</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10-K</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120"/>
        <w:ind w:left="0" w:right="0" w:hanging="0"/>
        <w:jc w:val="left"/>
        <w:rPr/>
      </w:pPr>
      <w:r>
        <w:rPr/>
        <w:t>☒   </w:t>
      </w:r>
      <w:r>
        <w:rPr>
          <w:rFonts w:ascii="Times New Roman;Times;serif" w:hAnsi="Times New Roman;Times;serif"/>
          <w:b/>
          <w:sz w:val="20"/>
        </w:rPr>
        <w:t>ANNUAL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2023</w:t>
      </w:r>
    </w:p>
    <w:p>
      <w:pPr>
        <w:pStyle w:val="TextBody"/>
        <w:pBdr/>
        <w:bidi w:val="0"/>
        <w:spacing w:before="0" w:after="120"/>
        <w:ind w:left="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Normal"/>
        <w:bidi w:val="0"/>
        <w:spacing w:before="0" w:after="0"/>
        <w:jc w:val="left"/>
        <w:rPr>
          <w:sz w:val="4"/>
          <w:szCs w:val="4"/>
        </w:rPr>
      </w:pPr>
      <w:r>
        <w:rPr>
          <w:sz w:val="4"/>
          <w:szCs w:val="4"/>
        </w:rPr>
      </w:r>
      <w:bookmarkStart w:id="3" w:name="Tc_B49QQaLPK0mVv3KHVSMg1A_1_3"/>
      <w:bookmarkStart w:id="4" w:name="Tc_cqjo36XkcEOLyy2mAiUhsg_1_2"/>
      <w:bookmarkStart w:id="5" w:name="Tc_t6NaKKFu2kmrn_Qg9RxFag_1_1"/>
      <w:bookmarkStart w:id="6" w:name="Tc_eNqxTvtbaECQYoTksS5ukA_1_0"/>
      <w:bookmarkStart w:id="7" w:name="_b9d2631d_f07d_4c80_b00d_1736d57c3f8c"/>
      <w:bookmarkStart w:id="8" w:name="Tc_B49QQaLPK0mVv3KHVSMg1A_1_3"/>
      <w:bookmarkStart w:id="9" w:name="Tc_cqjo36XkcEOLyy2mAiUhsg_1_2"/>
      <w:bookmarkStart w:id="10" w:name="Tc_t6NaKKFu2kmrn_Qg9RxFag_1_1"/>
      <w:bookmarkStart w:id="11" w:name="Tc_eNqxTvtbaECQYoTksS5ukA_1_0"/>
      <w:bookmarkStart w:id="12" w:name="_b9d2631d_f07d_4c80_b00d_1736d57c3f8c"/>
      <w:bookmarkEnd w:id="8"/>
      <w:bookmarkEnd w:id="9"/>
      <w:bookmarkEnd w:id="10"/>
      <w:bookmarkEnd w:id="11"/>
      <w:bookmarkEnd w:id="12"/>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2103120"/>
                      <wp:effectExtent l="0" t="0" r="0" b="0"/>
                      <wp:wrapNone/>
                      <wp:docPr id="1" name="Frame1"/>
                      <a:graphic xmlns:a="http://schemas.openxmlformats.org/drawingml/2006/main">
                        <a:graphicData uri="http://schemas.microsoft.com/office/word/2010/wordprocessingShape">
                          <wps:wsp>
                            <wps:cNvSpPr txBox="1"/>
                            <wps:spPr>
                              <a:xfrm>
                                <a:off x="0" y="0"/>
                                <a:ext cx="78740" cy="21031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7507605"/>
                      <wp:effectExtent l="0" t="0" r="0" b="0"/>
                      <wp:wrapNone/>
                      <wp:docPr id="2" name="Frame2"/>
                      <a:graphic xmlns:a="http://schemas.openxmlformats.org/drawingml/2006/main">
                        <a:graphicData uri="http://schemas.microsoft.com/office/word/2010/wordprocessingShape">
                          <wps:wsp>
                            <wps:cNvSpPr txBox="1"/>
                            <wps:spPr>
                              <a:xfrm>
                                <a:off x="0" y="0"/>
                                <a:ext cx="69215" cy="750760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9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958840"/>
                      <wp:effectExtent l="0" t="0" r="0" b="0"/>
                      <wp:wrapNone/>
                      <wp:docPr id="3" name="Frame3"/>
                      <a:graphic xmlns:a="http://schemas.openxmlformats.org/drawingml/2006/main">
                        <a:graphicData uri="http://schemas.microsoft.com/office/word/2010/wordprocessingShape">
                          <wps:wsp>
                            <wps:cNvSpPr txBox="1"/>
                            <wps:spPr>
                              <a:xfrm>
                                <a:off x="0" y="0"/>
                                <a:ext cx="69215" cy="5958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2219960"/>
                      <wp:effectExtent l="0" t="0" r="0" b="0"/>
                      <wp:wrapNone/>
                      <wp:docPr id="4" name="Frame4"/>
                      <a:graphic xmlns:a="http://schemas.openxmlformats.org/drawingml/2006/main">
                        <a:graphicData uri="http://schemas.microsoft.com/office/word/2010/wordprocessingShape">
                          <wps:wsp>
                            <wps:cNvSpPr txBox="1"/>
                            <wps:spPr>
                              <a:xfrm>
                                <a:off x="0" y="0"/>
                                <a:ext cx="97790" cy="2219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880110"/>
                      <wp:effectExtent l="0" t="0" r="0" b="0"/>
                      <wp:wrapNone/>
                      <wp:docPr id="5" name="Frame5"/>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1-9516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1-9516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4498340"/>
                      <wp:effectExtent l="0" t="0" r="0" b="0"/>
                      <wp:wrapNone/>
                      <wp:docPr id="6" name="Frame6"/>
                      <a:graphic xmlns:a="http://schemas.openxmlformats.org/drawingml/2006/main">
                        <a:graphicData uri="http://schemas.microsoft.com/office/word/2010/wordprocessingShape">
                          <wps:wsp>
                            <wps:cNvSpPr txBox="1"/>
                            <wps:spPr>
                              <a:xfrm>
                                <a:off x="0" y="0"/>
                                <a:ext cx="69215" cy="44983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54.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ICAHN ENTERPRISES L.P.</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173480"/>
                      <wp:effectExtent l="0" t="0" r="0" b="0"/>
                      <wp:wrapNone/>
                      <wp:docPr id="7" name="Frame7"/>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466850"/>
                      <wp:effectExtent l="0" t="0" r="0" b="0"/>
                      <wp:wrapNone/>
                      <wp:docPr id="8" name="Frame8"/>
                      <a:graphic xmlns:a="http://schemas.openxmlformats.org/drawingml/2006/main">
                        <a:graphicData uri="http://schemas.microsoft.com/office/word/2010/wordprocessingShape">
                          <wps:wsp>
                            <wps:cNvSpPr txBox="1"/>
                            <wps:spPr>
                              <a:xfrm>
                                <a:off x="0" y="0"/>
                                <a:ext cx="97790" cy="146685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13-3398766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13-3398766</w:t>
                            </w:r>
                          </w:p>
                        </w:txbxContent>
                      </v:textbox>
                      <w10:wrap type="none"/>
                    </v:rect>
                  </w:pict>
                </mc:Fallback>
              </mc:AlternateConten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16690 Collins Avenue,</w:t>
      </w:r>
      <w:r>
        <w:rPr>
          <w:rFonts w:ascii="Times New Roman;Times;serif" w:hAnsi="Times New Roman;Times;serif"/>
          <w:sz w:val="20"/>
        </w:rPr>
        <w:t xml:space="preserve"> </w:t>
      </w:r>
      <w:r>
        <w:rPr>
          <w:rFonts w:ascii="Times New Roman;Times;serif" w:hAnsi="Times New Roman;Times;serif"/>
          <w:b/>
          <w:sz w:val="20"/>
        </w:rPr>
        <w:t>PH-1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Sunny Isles Beach,</w:t>
      </w:r>
      <w:r>
        <w:rPr>
          <w:rFonts w:ascii="Times New Roman;Times;serif" w:hAnsi="Times New Roman;Times;serif"/>
          <w:sz w:val="20"/>
        </w:rPr>
        <w:t xml:space="preserve"> </w:t>
      </w:r>
      <w:r>
        <w:rPr>
          <w:rFonts w:ascii="Times New Roman;Times;serif" w:hAnsi="Times New Roman;Times;serif"/>
          <w:b/>
          <w:sz w:val="20"/>
        </w:rPr>
        <w:t>FL</w:t>
      </w:r>
      <w:r>
        <w:rPr>
          <w:rFonts w:ascii="Times New Roman;Times;serif" w:hAnsi="Times New Roman;Times;serif"/>
          <w:sz w:val="20"/>
        </w:rPr>
        <w:t xml:space="preserve"> </w:t>
      </w:r>
      <w:r>
        <w:rPr>
          <w:rFonts w:ascii="Times New Roman;Times;serif" w:hAnsi="Times New Roman;Times;serif"/>
          <w:b/>
          <w:sz w:val="20"/>
        </w:rPr>
        <w:t>33160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(305) 422-4100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pqRRry4zGUGva5r4BJLSkQ_2_4"/>
      <w:bookmarkStart w:id="14" w:name="Tc_tWQug0c1lUmiwgP3NJp0Zg_1_4"/>
      <w:bookmarkStart w:id="15" w:name="Tc__Omy6pesSk-vXPR9abab5w_1_2"/>
      <w:bookmarkStart w:id="16" w:name="Tc_4EUeUXOiB0-jeJhJq-5zUQ_1_0"/>
      <w:bookmarkStart w:id="17" w:name="_f4744c72_de18_49ed_9e1c_125569985e85"/>
      <w:bookmarkStart w:id="18" w:name="Tc_pqRRry4zGUGva5r4BJLSkQ_2_4"/>
      <w:bookmarkStart w:id="19" w:name="Tc_tWQug0c1lUmiwgP3NJp0Zg_1_4"/>
      <w:bookmarkStart w:id="20" w:name="Tc__Omy6pesSk-vXPR9abab5w_1_2"/>
      <w:bookmarkStart w:id="21" w:name="Tc_4EUeUXOiB0-jeJhJq-5zUQ_1_0"/>
      <w:bookmarkStart w:id="22" w:name="_f4744c72_de18_49ed_9e1c_125569985e85"/>
      <w:bookmarkEnd w:id="18"/>
      <w:bookmarkEnd w:id="19"/>
      <w:bookmarkEnd w:id="20"/>
      <w:bookmarkEnd w:id="21"/>
      <w:bookmarkEnd w:id="22"/>
    </w:p>
    <w:tbl>
      <w:tblPr>
        <w:tblW w:w="9910" w:type="dxa"/>
        <w:jc w:val="left"/>
        <w:tblInd w:w="0" w:type="dxa"/>
        <w:tblLayout w:type="fixed"/>
        <w:tblCellMar>
          <w:top w:w="0" w:type="dxa"/>
          <w:left w:w="0" w:type="dxa"/>
          <w:bottom w:w="0" w:type="dxa"/>
          <w:right w:w="0" w:type="dxa"/>
        </w:tblCellMar>
      </w:tblPr>
      <w:tblGrid>
        <w:gridCol w:w="3541"/>
        <w:gridCol w:w="326"/>
        <w:gridCol w:w="1696"/>
        <w:gridCol w:w="326"/>
        <w:gridCol w:w="4021"/>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40"/>
              <w:ind w:left="0" w:right="0" w:hanging="0"/>
              <w:jc w:val="center"/>
              <w:rPr/>
            </w:pPr>
            <w:r>
              <w:rPr/>
              <w:t>    </w:t>
            </w:r>
          </w:p>
        </w:tc>
        <w:tc>
          <w:tcPr>
            <w:tcW w:w="402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4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Depositary Units of Icahn Enterprises L.P. </w:t>
              <w:br/>
              <w:t>Representing Limited Partner Interests</w:t>
            </w:r>
          </w:p>
        </w:tc>
        <w:tc>
          <w:tcPr>
            <w:tcW w:w="326" w:type="dxa"/>
            <w:tcBorders/>
            <w:vAlign w:val="center"/>
          </w:tcPr>
          <w:p>
            <w:pPr>
              <w:pStyle w:val="TableContents"/>
              <w:bidi w:val="0"/>
              <w:spacing w:before="0" w:after="240"/>
              <w:ind w:left="0" w:right="0" w:hanging="0"/>
              <w:jc w:val="left"/>
              <w:rPr/>
            </w:pPr>
            <w:r>
              <w:rPr/>
              <w:t>​</w:t>
            </w:r>
          </w:p>
        </w:tc>
        <w:tc>
          <w:tcPr>
            <w:tcW w:w="169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IEP</w:t>
            </w:r>
          </w:p>
        </w:tc>
        <w:tc>
          <w:tcPr>
            <w:tcW w:w="326" w:type="dxa"/>
            <w:tcBorders/>
            <w:vAlign w:val="center"/>
          </w:tcPr>
          <w:p>
            <w:pPr>
              <w:pStyle w:val="TableContents"/>
              <w:bidi w:val="0"/>
              <w:spacing w:before="0" w:after="40"/>
              <w:ind w:left="0" w:right="0" w:hanging="0"/>
              <w:jc w:val="center"/>
              <w:rPr/>
            </w:pPr>
            <w:r>
              <w:rPr/>
              <w:t> </w:t>
            </w:r>
          </w:p>
        </w:tc>
        <w:tc>
          <w:tcPr>
            <w:tcW w:w="40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7"/>
        </w:rPr>
        <w:t xml:space="preserve">Securities registered pursuant to Section 12(g) of the Act: </w:t>
      </w:r>
      <w:r>
        <w:rPr>
          <w:rFonts w:ascii="Times New Roman;Times;serif" w:hAnsi="Times New Roman;Times;serif"/>
          <w:b/>
          <w:sz w:val="17"/>
        </w:rPr>
        <w:t>None</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Indicate by check mark if the registrant is a well-known seasoned issuer, as defined in Rule 405 of the Securities Act. Yes</w:t>
      </w:r>
      <w:r>
        <w:rPr>
          <w:rFonts w:ascii="Times New Roman;Times;serif" w:hAnsi="Times New Roman;Times;serif"/>
          <w:sz w:val="24"/>
        </w:rPr>
        <w:t xml:space="preserve"> ⌧ </w:t>
      </w:r>
      <w:r>
        <w:rPr>
          <w:rFonts w:ascii="Times New Roman;Times;serif" w:hAnsi="Times New Roman;Times;serif"/>
          <w:sz w:val="17"/>
        </w:rPr>
        <w:t xml:space="preserve">No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 xml:space="preserve">Indicate by check mark if the registrant is not required to file reports pursuant to Section 13 or 15(d) of the Exchange Act. Yes </w:t>
      </w:r>
      <w:r>
        <w:rPr>
          <w:rFonts w:ascii="Times New Roman;Times;serif" w:hAnsi="Times New Roman;Times;serif"/>
          <w:sz w:val="24"/>
        </w:rPr>
        <w:t xml:space="preserve">☐ </w:t>
      </w:r>
      <w:r>
        <w:rPr>
          <w:rFonts w:ascii="Times New Roman;Times;serif" w:hAnsi="Times New Roman;Times;serif"/>
          <w:sz w:val="17"/>
        </w:rPr>
        <w:t>No</w:t>
      </w:r>
      <w:r>
        <w:rPr>
          <w:rFonts w:ascii="Times New Roman;Times;serif" w:hAnsi="Times New Roman;Times;serif"/>
          <w:sz w:val="24"/>
        </w:rPr>
        <w:t xml:space="preserve"> ⌧</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7"/>
        </w:rPr>
        <w:t xml:space="preserve">No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Times New Roman;Times;serif" w:hAnsi="Times New Roman;Times;serif"/>
          <w:sz w:val="17"/>
        </w:rPr>
        <w:t xml:space="preserve">No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3" w:name="Tc_Jghe9Vb3xUWmUfZTU3M00w_2_3"/>
      <w:bookmarkStart w:id="24" w:name="Tc_4BasEEwXH0yYGzBVsJ3KwA_2_1"/>
      <w:bookmarkStart w:id="25" w:name="Tc_vtepEoJMZE20zclOguIxUQ_2_0"/>
      <w:bookmarkStart w:id="26" w:name="Tc_CFSv-hBZ0UC4hrbBkHpVtA_1_7"/>
      <w:bookmarkStart w:id="27" w:name="Tc_vnwovtXWcUaUs1pD0tFGHQ_1_6"/>
      <w:bookmarkStart w:id="28" w:name="Tc_1AcZmW4xYUKguB0b73CwlQ_1_4"/>
      <w:bookmarkStart w:id="29" w:name="Tc_4BJDK963UUWf0PXO9TPE5A_1_3"/>
      <w:bookmarkStart w:id="30" w:name="Tc_4ZvmUx9rBECdMm3wgJocZA_1_1"/>
      <w:bookmarkStart w:id="31" w:name="_e44363ad_26e6_45d2_9dff_47cdb7aae3c4"/>
      <w:bookmarkStart w:id="32" w:name="Tc_Jghe9Vb3xUWmUfZTU3M00w_2_3"/>
      <w:bookmarkStart w:id="33" w:name="Tc_4BasEEwXH0yYGzBVsJ3KwA_2_1"/>
      <w:bookmarkStart w:id="34" w:name="Tc_vtepEoJMZE20zclOguIxUQ_2_0"/>
      <w:bookmarkStart w:id="35" w:name="Tc_CFSv-hBZ0UC4hrbBkHpVtA_1_7"/>
      <w:bookmarkStart w:id="36" w:name="Tc_vnwovtXWcUaUs1pD0tFGHQ_1_6"/>
      <w:bookmarkStart w:id="37" w:name="Tc_1AcZmW4xYUKguB0b73CwlQ_1_4"/>
      <w:bookmarkStart w:id="38" w:name="Tc_4BJDK963UUWf0PXO9TPE5A_1_3"/>
      <w:bookmarkStart w:id="39" w:name="Tc_4ZvmUx9rBECdMm3wgJocZA_1_1"/>
      <w:bookmarkStart w:id="40" w:name="_e44363ad_26e6_45d2_9dff_47cdb7aae3c4"/>
      <w:bookmarkEnd w:id="32"/>
      <w:bookmarkEnd w:id="33"/>
      <w:bookmarkEnd w:id="34"/>
      <w:bookmarkEnd w:id="35"/>
      <w:bookmarkEnd w:id="36"/>
      <w:bookmarkEnd w:id="37"/>
      <w:bookmarkEnd w:id="38"/>
      <w:bookmarkEnd w:id="39"/>
      <w:bookmarkEnd w:id="40"/>
    </w:p>
    <w:tbl>
      <w:tblPr>
        <w:tblW w:w="7124" w:type="dxa"/>
        <w:jc w:val="left"/>
        <w:tblInd w:w="0" w:type="dxa"/>
        <w:tblLayout w:type="fixed"/>
        <w:tblCellMar>
          <w:top w:w="0" w:type="dxa"/>
          <w:left w:w="0" w:type="dxa"/>
          <w:bottom w:w="0" w:type="dxa"/>
          <w:right w:w="0" w:type="dxa"/>
        </w:tblCellMar>
      </w:tblPr>
      <w:tblGrid>
        <w:gridCol w:w="1741"/>
        <w:gridCol w:w="316"/>
        <w:gridCol w:w="109"/>
        <w:gridCol w:w="2086"/>
        <w:gridCol w:w="316"/>
        <w:gridCol w:w="109"/>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Emerging Growth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120"/>
              <w:ind w:left="0" w:right="0" w:hanging="0"/>
              <w:jc w:val="right"/>
              <w:rPr>
                <w:rFonts w:ascii="Times New Roman;Times;serif" w:hAnsi="Times New Roman;Times;serif"/>
                <w:sz w:val="17"/>
              </w:rPr>
            </w:pPr>
            <w:r>
              <w:rPr>
                <w:rFonts w:ascii="Times New Roman;Times;serif" w:hAnsi="Times New Roman;Times;serif"/>
                <w:sz w:val="17"/>
              </w:rPr>
              <w:t>Non-accelerated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120"/>
              <w:ind w:left="0" w:right="0" w:hanging="0"/>
              <w:jc w:val="right"/>
              <w:rPr>
                <w:rFonts w:ascii="Times New Roman;Times;serif" w:hAnsi="Times New Roman;Times;serif"/>
                <w:sz w:val="17"/>
              </w:rPr>
            </w:pPr>
            <w:r>
              <w:rPr>
                <w:rFonts w:ascii="Times New Roman;Times;serif" w:hAnsi="Times New Roman;Times;serif"/>
                <w:sz w:val="17"/>
              </w:rPr>
              <w:t>Smaller Reporting Company</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6"/>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sz w:val="16"/>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7"/>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7"/>
        </w:rPr>
        <w:t xml:space="preserve">No </w:t>
      </w:r>
      <w:r>
        <w:rPr>
          <w:rFonts w:ascii="Times New Roman;Times;serif" w:hAnsi="Times New Roman;Times;serif"/>
          <w:sz w:val="20"/>
        </w:rPr>
        <w:t xml:space="preserve">⌧ </w:t>
      </w:r>
    </w:p>
    <w:p>
      <w:pPr>
        <w:pStyle w:val="TextBody"/>
        <w:bidi w:val="0"/>
        <w:spacing w:before="0" w:after="120"/>
        <w:ind w:left="0" w:right="0" w:firstLine="360"/>
        <w:jc w:val="left"/>
        <w:rPr>
          <w:rFonts w:ascii="Times New Roman;Times;serif" w:hAnsi="Times New Roman;Times;serif"/>
          <w:sz w:val="16"/>
        </w:rPr>
      </w:pPr>
      <w:r>
        <w:rPr>
          <w:rFonts w:ascii="Times New Roman;Times;serif" w:hAnsi="Times New Roman;Times;serif"/>
          <w:sz w:val="17"/>
        </w:rPr>
        <w:t>The aggregate market value of Icahn Enterprises’ depositary units held by non-affiliates of the registrant as of June 30, 2023, the last business day of the registrant’s most recently completed second fiscal quarter, based upon the closing price of depositary units on the Nasdaq Global Select Market (“Nasdaq”) on such date was $1,712 million. As of February 28, 2024, there were 429,033,241</w:t>
      </w:r>
      <w:r>
        <w:rPr>
          <w:rFonts w:ascii="Times New Roman;Times;serif" w:hAnsi="Times New Roman;Times;serif"/>
          <w:sz w:val="16"/>
        </w:rPr>
        <w:t xml:space="preserve"> </w:t>
      </w:r>
      <w:r>
        <w:rPr>
          <w:rFonts w:ascii="Times New Roman;Times;serif" w:hAnsi="Times New Roman;Times;serif"/>
          <w:sz w:val="17"/>
        </w:rPr>
        <w:t>depositary units outstanding</w:t>
      </w:r>
      <w:r>
        <w:rPr>
          <w:rFonts w:ascii="Times New Roman;Times;serif" w:hAnsi="Times New Roman;Times;serif"/>
          <w:sz w:val="20"/>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af26c6f5_a427_47b4_8f4b_a6c29f1c17f6"/>
      <w:bookmarkEnd w:id="41"/>
      <w:r>
        <w:rPr>
          <w:rFonts w:ascii="Times New Roman;Times;serif" w:hAnsi="Times New Roman;Times;serif"/>
          <w:b/>
          <w:sz w:val="20"/>
        </w:rPr>
        <w:t xml:space="preserve">FORWARD-LOOKING STATEMENTS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conflict in the Middle East, including economic volatility and the impacts of export controls and other economic sanctions; risks related to our investment activities, including the nature of the investments made by the private funds in which we invest,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relating to short sellers and associated litigation and regulatory inquires; risks related to our general partner and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and conflict in the Middle East;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These risks and uncertainties also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 xml:space="preserve">SUMMARY RISK FACTORS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Investing in our securities involves certain risks. Before investing in any of our securities, you should carefully consider the following summary of the principal factors that make an investment in our securities speculative or risky as well as the risks described under the caption “Risk Factors,” under Item 1A of this Report. If any of these risks actually occurs, it could have a material adverse effect on our businesses. The risks described below and under the caption “Risk Factors,” under Item 1A of this Report are not the only risks that affect our businesses. Additional risks that are unknown or not presently deemed significant may also have a material adverse effect on our businesses. The following is a summary of our risk factors that appear in Item 1A of this Report.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Structure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and in the future may engage, in transactions with our affiliates;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of becoming an investment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structure transactions in a less advantageous manner to avoid becoming subject to the Investment Company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taxable as a corporation if we are no longer treated as a partnership for U.S. federal income tax purposes;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negatively impacted by the potential for changes in tax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depositary units may be required to pay tax on their share of our income even if they did not receive cash distributions from us;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gain or loss on the disposition of our depositary units could be more or less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may recognize unrelated business taxable income they receive from holding our units, and may face other unique issues specific to their U.S. federal income tax classification;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persons may be subject to withholding regimes and U.S. federal income tax on certain income they may earn from holding or disposing of our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liable for any underwithholding by nominees on our distributions or on transfers of our units made after January 1,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unitholders likely will be subject to state and local taxes and return filing or withholding requirements in states in which they do not live as a result of investing in our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the pension liabilities of our affiliates;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limited partnership and a ‘‘controlled company’’ within the meaning of the Nasdaq rules and as such are exempt from certain corporate governance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may be involved in other business activities that may involve conflicts of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Icahn Enterprises’ depositary units have limited voting rights, including rights to participate in our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Icahn Enterprises’ depositary units may not have limited liability in certain circumstances and may be personally liable for the return of distributions that cause our liabilities to exceed our assets;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are a limited partnership, you may not be able to pursue legal claims against us in U.S. federal courts;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tc>
      </w:tr>
    </w:tbl>
    <w:p>
      <w:pPr>
        <w:pStyle w:val="TextBody"/>
        <w:bidi w:val="0"/>
        <w:spacing w:before="0" w:after="0"/>
        <w:ind w:left="720" w:right="0" w:hanging="0"/>
        <w:jc w:val="left"/>
        <w:rPr/>
      </w:pPr>
      <w:r>
        <w:rPr/>
        <w:t>​</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Risks Relating to Liquidity and Capital Requirements</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depend on the businesses of our subsidiaries to satisfy our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service our indebtedness, we will require a significant amount of cash. Our ability to maintain our current cash position or generate cash depends on many factors beyond our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funds necessary to finance a change of control offer that may be required by the indentures governing our senior notes;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in the Investment Funds and negative performance of the Investment Funds may result in a significant decline in the value of our investments; and</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cash distributions to Icahn Enterprises’ unitholders, if any, can be affected by numerous factors.</w:t>
            </w:r>
          </w:p>
        </w:tc>
      </w:tr>
    </w:tbl>
    <w:p>
      <w:pPr>
        <w:pStyle w:val="TextBody"/>
        <w:bidi w:val="0"/>
        <w:spacing w:before="0" w:after="0"/>
        <w:ind w:left="810" w:right="0" w:hanging="0"/>
        <w:jc w:val="left"/>
        <w:rPr/>
      </w:pPr>
      <w:r>
        <w:rPr/>
        <w:t>​</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Risks Relating to Our Investment Segment</w:t>
      </w:r>
    </w:p>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may be subject to significant uncertainties;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for the Investment Funds is not necessarily indicative of its future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identify suitable investments, and our investments may not result in favorable returns or may result in losses;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execution of our activist investment activities involves many risks, certain of which are outside of our control;</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make investments in companies we do not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leverage in investments by the Investment Funds may pose a significant degree of risk and may enhance the possibility of significant loss in the value of the investments in the Investment Funds;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increased regulation could result in additional burdens on our Investment segment;</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hedge investments successfully is subject to numerous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invest in distressed securities, as well as bank loans, asset backed securities and mortgage-backed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invest in companies that are based outside of the United States, which may expose the Investment Funds to additional risks not typically associated with investing in companies that are based in the United States.</w:t>
            </w:r>
          </w:p>
        </w:tc>
      </w:tr>
    </w:tbl>
    <w:p>
      <w:pPr>
        <w:pStyle w:val="TextBody"/>
        <w:bidi w:val="0"/>
        <w:spacing w:before="0" w:after="0"/>
        <w:ind w:left="720" w:right="0" w:hanging="0"/>
        <w:jc w:val="left"/>
        <w:rPr/>
      </w:pPr>
      <w:r>
        <w:rPr/>
        <w:t>​</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Risks Relating to our Consolidated Operating Subsidiaries</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Our consolidated operating subsidiaries are subject to various risks, including but not limited to:</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regulations and regulatory actions;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disruptions, damage to property, injury to persons or environmental and legal liability;</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laws and regulations;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investor and market interest in environmental, social and governance (“ESG”) matters;</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commodity prices;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U.S. Environmental Protection Agency Renewable Fuel Standard;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laws and regulations;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in foreign countries; and</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labor disputes involving any of our businesses or one or more of their customers or suppliers.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87"/>
        <w:gridCol w:w="8846"/>
        <w:gridCol w:w="572"/>
      </w:tblGrid>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0"/>
              <w:ind w:left="0" w:right="0" w:hanging="0"/>
              <w:jc w:val="left"/>
              <w:rPr/>
            </w:pPr>
            <w:r>
              <w:rPr/>
              <w:t>​</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Page</w:t>
              <w:br/>
              <w:t>No</w:t>
            </w:r>
            <w:r>
              <w:rPr>
                <w:rFonts w:ascii="Times New Roman;Times;serif" w:hAnsi="Times New Roman;Times;serif"/>
                <w:sz w:val="20"/>
              </w:rPr>
              <w:t>.</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30"/>
              <w:ind w:left="0" w:right="0" w:hanging="0"/>
              <w:jc w:val="center"/>
              <w:rPr/>
            </w:pPr>
            <w:hyperlink w:anchor="PARTI_913001">
              <w:r>
                <w:rPr>
                  <w:rStyle w:val="InternetLink"/>
                  <w:rFonts w:ascii="Times New Roman;Times;serif" w:hAnsi="Times New Roman;Times;serif"/>
                  <w:b/>
                  <w:i w:val="false"/>
                  <w:caps w:val="false"/>
                  <w:smallCaps w:val="false"/>
                  <w:sz w:val="20"/>
                </w:rPr>
                <w:t>PART I</w:t>
              </w:r>
            </w:hyperlink>
          </w:p>
        </w:tc>
        <w:tc>
          <w:tcPr>
            <w:tcW w:w="572"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pPr>
            <w:r>
              <w:rPr/>
              <w:t>​</w:t>
            </w:r>
          </w:p>
        </w:tc>
      </w:tr>
      <w:tr>
        <w:trPr/>
        <w:tc>
          <w:tcPr>
            <w:tcW w:w="787" w:type="dxa"/>
            <w:tcBorders/>
            <w:vAlign w:val="center"/>
          </w:tcPr>
          <w:p>
            <w:pPr>
              <w:pStyle w:val="TableContents"/>
              <w:bidi w:val="0"/>
              <w:spacing w:before="0" w:after="30"/>
              <w:ind w:left="0" w:right="0" w:hanging="0"/>
              <w:jc w:val="left"/>
              <w:rPr/>
            </w:pPr>
            <w:hyperlink w:anchor="Item1Business_683799">
              <w:r>
                <w:rPr>
                  <w:rStyle w:val="InternetLink"/>
                  <w:rFonts w:ascii="Times New Roman;Times;serif" w:hAnsi="Times New Roman;Times;serif"/>
                  <w:b w:val="false"/>
                  <w:i w:val="false"/>
                  <w:caps w:val="false"/>
                  <w:smallCaps w:val="false"/>
                  <w:sz w:val="20"/>
                </w:rPr>
                <w:t>Item 1.</w:t>
              </w:r>
            </w:hyperlink>
          </w:p>
        </w:tc>
        <w:tc>
          <w:tcPr>
            <w:tcW w:w="8846" w:type="dxa"/>
            <w:tcBorders/>
            <w:vAlign w:val="center"/>
          </w:tcPr>
          <w:p>
            <w:pPr>
              <w:pStyle w:val="TableContents"/>
              <w:bidi w:val="0"/>
              <w:spacing w:before="0" w:after="30"/>
              <w:ind w:left="0" w:right="0" w:hanging="0"/>
              <w:jc w:val="left"/>
              <w:rPr/>
            </w:pPr>
            <w:hyperlink w:anchor="Item1Business_683799">
              <w:r>
                <w:rPr>
                  <w:rStyle w:val="InternetLink"/>
                  <w:rFonts w:ascii="Times New Roman;Times;serif" w:hAnsi="Times New Roman;Times;serif"/>
                  <w:b w:val="false"/>
                  <w:i w:val="false"/>
                  <w:caps w:val="false"/>
                  <w:smallCaps w:val="false"/>
                  <w:sz w:val="20"/>
                </w:rPr>
                <w:t>Business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87" w:type="dxa"/>
            <w:tcBorders/>
            <w:shd w:fill="CCEEFF" w:val="clear"/>
            <w:vAlign w:val="center"/>
          </w:tcPr>
          <w:p>
            <w:pPr>
              <w:pStyle w:val="TableContents"/>
              <w:bidi w:val="0"/>
              <w:spacing w:before="0" w:after="30"/>
              <w:ind w:left="0" w:right="0" w:hanging="0"/>
              <w:jc w:val="left"/>
              <w:rPr/>
            </w:pPr>
            <w:hyperlink w:anchor="Item1ARiskFactors_232091">
              <w:r>
                <w:rPr>
                  <w:rStyle w:val="InternetLink"/>
                  <w:rFonts w:ascii="Times New Roman;Times;serif" w:hAnsi="Times New Roman;Times;serif"/>
                  <w:b w:val="false"/>
                  <w:i w:val="false"/>
                  <w:caps w:val="false"/>
                  <w:smallCaps w:val="false"/>
                  <w:sz w:val="20"/>
                </w:rPr>
                <w:t>Item 1A.</w:t>
              </w:r>
            </w:hyperlink>
          </w:p>
        </w:tc>
        <w:tc>
          <w:tcPr>
            <w:tcW w:w="8846" w:type="dxa"/>
            <w:tcBorders/>
            <w:shd w:fill="CCEEFF" w:val="clear"/>
            <w:vAlign w:val="center"/>
          </w:tcPr>
          <w:p>
            <w:pPr>
              <w:pStyle w:val="TableContents"/>
              <w:bidi w:val="0"/>
              <w:spacing w:before="0" w:after="30"/>
              <w:ind w:left="0" w:right="0" w:hanging="0"/>
              <w:jc w:val="left"/>
              <w:rPr/>
            </w:pPr>
            <w:hyperlink w:anchor="Item1ARiskFactors_232091">
              <w:r>
                <w:rPr>
                  <w:rStyle w:val="InternetLink"/>
                  <w:rFonts w:ascii="Times New Roman;Times;serif" w:hAnsi="Times New Roman;Times;serif"/>
                  <w:b w:val="false"/>
                  <w:i w:val="false"/>
                  <w:caps w:val="false"/>
                  <w:smallCaps w:val="false"/>
                  <w:sz w:val="20"/>
                </w:rPr>
                <w:t>Risk Factors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787" w:type="dxa"/>
            <w:tcBorders/>
            <w:vAlign w:val="center"/>
          </w:tcPr>
          <w:p>
            <w:pPr>
              <w:pStyle w:val="TableContents"/>
              <w:bidi w:val="0"/>
              <w:spacing w:before="0" w:after="30"/>
              <w:ind w:left="0" w:right="0" w:hanging="0"/>
              <w:jc w:val="left"/>
              <w:rPr/>
            </w:pPr>
            <w:hyperlink w:anchor="Item1BUnresolvedStaffComments_887340">
              <w:r>
                <w:rPr>
                  <w:rStyle w:val="InternetLink"/>
                  <w:rFonts w:ascii="Times New Roman;Times;serif" w:hAnsi="Times New Roman;Times;serif"/>
                  <w:b w:val="false"/>
                  <w:i w:val="false"/>
                  <w:caps w:val="false"/>
                  <w:smallCaps w:val="false"/>
                  <w:sz w:val="20"/>
                </w:rPr>
                <w:t>Item 1B.</w:t>
              </w:r>
            </w:hyperlink>
          </w:p>
        </w:tc>
        <w:tc>
          <w:tcPr>
            <w:tcW w:w="8846" w:type="dxa"/>
            <w:tcBorders/>
            <w:vAlign w:val="center"/>
          </w:tcPr>
          <w:p>
            <w:pPr>
              <w:pStyle w:val="TableContents"/>
              <w:bidi w:val="0"/>
              <w:spacing w:before="0" w:after="30"/>
              <w:ind w:left="0" w:right="0" w:hanging="0"/>
              <w:jc w:val="left"/>
              <w:rPr/>
            </w:pPr>
            <w:hyperlink w:anchor="Item1BUnresolvedStaffComments_887340">
              <w:r>
                <w:rPr>
                  <w:rStyle w:val="InternetLink"/>
                  <w:rFonts w:ascii="Times New Roman;Times;serif" w:hAnsi="Times New Roman;Times;serif"/>
                  <w:b w:val="false"/>
                  <w:i w:val="false"/>
                  <w:caps w:val="false"/>
                  <w:smallCaps w:val="false"/>
                  <w:sz w:val="20"/>
                </w:rPr>
                <w:t>Unresolved Staff Comments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787" w:type="dxa"/>
            <w:tcBorders/>
            <w:shd w:fill="CCEEFF" w:val="clear"/>
            <w:vAlign w:val="center"/>
          </w:tcPr>
          <w:p>
            <w:pPr>
              <w:pStyle w:val="TableContents"/>
              <w:bidi w:val="0"/>
              <w:spacing w:before="0" w:after="30"/>
              <w:ind w:left="0" w:right="0" w:hanging="0"/>
              <w:jc w:val="left"/>
              <w:rPr/>
            </w:pPr>
            <w:hyperlink w:anchor="Item1CCybersecurity_592601">
              <w:r>
                <w:rPr>
                  <w:rStyle w:val="InternetLink"/>
                  <w:rFonts w:ascii="Times New Roman;Times;serif" w:hAnsi="Times New Roman;Times;serif"/>
                  <w:b w:val="false"/>
                  <w:i w:val="false"/>
                  <w:caps w:val="false"/>
                  <w:smallCaps w:val="false"/>
                  <w:sz w:val="20"/>
                </w:rPr>
                <w:t>Item 1C.</w:t>
              </w:r>
            </w:hyperlink>
          </w:p>
        </w:tc>
        <w:tc>
          <w:tcPr>
            <w:tcW w:w="8846" w:type="dxa"/>
            <w:tcBorders/>
            <w:shd w:fill="CCEEFF" w:val="clear"/>
            <w:vAlign w:val="center"/>
          </w:tcPr>
          <w:p>
            <w:pPr>
              <w:pStyle w:val="TableContents"/>
              <w:bidi w:val="0"/>
              <w:spacing w:before="0" w:after="30"/>
              <w:ind w:left="0" w:right="0" w:hanging="0"/>
              <w:jc w:val="left"/>
              <w:rPr/>
            </w:pPr>
            <w:hyperlink w:anchor="Item1CCybersecurity_592601">
              <w:r>
                <w:rPr>
                  <w:rStyle w:val="InternetLink"/>
                  <w:rFonts w:ascii="Times New Roman;Times;serif" w:hAnsi="Times New Roman;Times;serif"/>
                  <w:b w:val="false"/>
                  <w:i w:val="false"/>
                  <w:caps w:val="false"/>
                  <w:smallCaps w:val="false"/>
                  <w:sz w:val="20"/>
                </w:rPr>
                <w:t>Cybersecurity</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787" w:type="dxa"/>
            <w:tcBorders/>
            <w:vAlign w:val="center"/>
          </w:tcPr>
          <w:p>
            <w:pPr>
              <w:pStyle w:val="TableContents"/>
              <w:bidi w:val="0"/>
              <w:spacing w:before="0" w:after="30"/>
              <w:ind w:left="0" w:right="0" w:hanging="0"/>
              <w:jc w:val="left"/>
              <w:rPr/>
            </w:pPr>
            <w:hyperlink w:anchor="Item2Properties_65482">
              <w:r>
                <w:rPr>
                  <w:rStyle w:val="InternetLink"/>
                  <w:rFonts w:ascii="Times New Roman;Times;serif" w:hAnsi="Times New Roman;Times;serif"/>
                  <w:b w:val="false"/>
                  <w:i w:val="false"/>
                  <w:caps w:val="false"/>
                  <w:smallCaps w:val="false"/>
                  <w:sz w:val="20"/>
                </w:rPr>
                <w:t>Item 2.</w:t>
              </w:r>
            </w:hyperlink>
          </w:p>
        </w:tc>
        <w:tc>
          <w:tcPr>
            <w:tcW w:w="8846" w:type="dxa"/>
            <w:tcBorders/>
            <w:vAlign w:val="center"/>
          </w:tcPr>
          <w:p>
            <w:pPr>
              <w:pStyle w:val="TableContents"/>
              <w:bidi w:val="0"/>
              <w:spacing w:before="0" w:after="30"/>
              <w:ind w:left="0" w:right="0" w:hanging="0"/>
              <w:jc w:val="left"/>
              <w:rPr/>
            </w:pPr>
            <w:hyperlink w:anchor="Item2Properties_65482">
              <w:r>
                <w:rPr>
                  <w:rStyle w:val="InternetLink"/>
                  <w:rFonts w:ascii="Times New Roman;Times;serif" w:hAnsi="Times New Roman;Times;serif"/>
                  <w:b w:val="false"/>
                  <w:i w:val="false"/>
                  <w:caps w:val="false"/>
                  <w:smallCaps w:val="false"/>
                  <w:sz w:val="20"/>
                </w:rPr>
                <w:t>Properties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787" w:type="dxa"/>
            <w:tcBorders/>
            <w:shd w:fill="CCEEFF" w:val="clear"/>
            <w:vAlign w:val="center"/>
          </w:tcPr>
          <w:p>
            <w:pPr>
              <w:pStyle w:val="TableContents"/>
              <w:bidi w:val="0"/>
              <w:spacing w:before="0" w:after="30"/>
              <w:ind w:left="0" w:right="0" w:hanging="0"/>
              <w:jc w:val="left"/>
              <w:rPr/>
            </w:pPr>
            <w:hyperlink w:anchor="Item3LegalProceedings_718175">
              <w:r>
                <w:rPr>
                  <w:rStyle w:val="InternetLink"/>
                  <w:rFonts w:ascii="Times New Roman;Times;serif" w:hAnsi="Times New Roman;Times;serif"/>
                  <w:b w:val="false"/>
                  <w:i w:val="false"/>
                  <w:caps w:val="false"/>
                  <w:smallCaps w:val="false"/>
                  <w:sz w:val="20"/>
                </w:rPr>
                <w:t>Item 3.</w:t>
              </w:r>
            </w:hyperlink>
          </w:p>
        </w:tc>
        <w:tc>
          <w:tcPr>
            <w:tcW w:w="8846" w:type="dxa"/>
            <w:tcBorders/>
            <w:shd w:fill="CCEEFF" w:val="clear"/>
            <w:vAlign w:val="center"/>
          </w:tcPr>
          <w:p>
            <w:pPr>
              <w:pStyle w:val="TableContents"/>
              <w:bidi w:val="0"/>
              <w:spacing w:before="0" w:after="30"/>
              <w:ind w:left="0" w:right="0" w:hanging="0"/>
              <w:jc w:val="left"/>
              <w:rPr/>
            </w:pPr>
            <w:hyperlink w:anchor="Item3LegalProceedings_718175">
              <w:r>
                <w:rPr>
                  <w:rStyle w:val="InternetLink"/>
                  <w:rFonts w:ascii="Times New Roman;Times;serif" w:hAnsi="Times New Roman;Times;serif"/>
                  <w:b w:val="false"/>
                  <w:i w:val="false"/>
                  <w:caps w:val="false"/>
                  <w:smallCaps w:val="false"/>
                  <w:sz w:val="20"/>
                </w:rPr>
                <w:t>Legal Proceedings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787" w:type="dxa"/>
            <w:tcBorders/>
            <w:vAlign w:val="center"/>
          </w:tcPr>
          <w:p>
            <w:pPr>
              <w:pStyle w:val="TableContents"/>
              <w:bidi w:val="0"/>
              <w:spacing w:before="0" w:after="30"/>
              <w:ind w:left="0" w:right="0" w:hanging="0"/>
              <w:jc w:val="left"/>
              <w:rPr/>
            </w:pPr>
            <w:hyperlink w:anchor="Item4MineSafetyDisclosures_184198">
              <w:r>
                <w:rPr>
                  <w:rStyle w:val="InternetLink"/>
                  <w:rFonts w:ascii="Times New Roman;Times;serif" w:hAnsi="Times New Roman;Times;serif"/>
                  <w:b w:val="false"/>
                  <w:i w:val="false"/>
                  <w:caps w:val="false"/>
                  <w:smallCaps w:val="false"/>
                  <w:sz w:val="20"/>
                </w:rPr>
                <w:t>Item 4.</w:t>
              </w:r>
            </w:hyperlink>
          </w:p>
        </w:tc>
        <w:tc>
          <w:tcPr>
            <w:tcW w:w="8846" w:type="dxa"/>
            <w:tcBorders/>
            <w:vAlign w:val="center"/>
          </w:tcPr>
          <w:p>
            <w:pPr>
              <w:pStyle w:val="TableContents"/>
              <w:bidi w:val="0"/>
              <w:spacing w:before="0" w:after="30"/>
              <w:ind w:left="0" w:right="0" w:hanging="0"/>
              <w:jc w:val="left"/>
              <w:rPr/>
            </w:pPr>
            <w:hyperlink w:anchor="Item4MineSafetyDisclosures_184198">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r>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30"/>
              <w:ind w:left="0" w:right="0" w:hanging="0"/>
              <w:jc w:val="center"/>
              <w:rPr/>
            </w:pPr>
            <w:hyperlink w:anchor="PARTII_623845">
              <w:r>
                <w:rPr>
                  <w:rStyle w:val="InternetLink"/>
                  <w:rFonts w:ascii="Times New Roman;Times;serif" w:hAnsi="Times New Roman;Times;serif"/>
                  <w:b/>
                  <w:i w:val="false"/>
                  <w:caps w:val="false"/>
                  <w:smallCaps w:val="false"/>
                  <w:sz w:val="20"/>
                </w:rPr>
                <w:t>PART II</w:t>
              </w:r>
            </w:hyperlink>
          </w:p>
        </w:tc>
        <w:tc>
          <w:tcPr>
            <w:tcW w:w="572" w:type="dxa"/>
            <w:tcBorders/>
            <w:vAlign w:val="center"/>
          </w:tcPr>
          <w:p>
            <w:pPr>
              <w:pStyle w:val="TableContents"/>
              <w:bidi w:val="0"/>
              <w:spacing w:before="0" w:after="0"/>
              <w:ind w:left="0" w:right="0" w:hanging="0"/>
              <w:jc w:val="center"/>
              <w:rPr/>
            </w:pPr>
            <w:r>
              <w:rPr/>
              <w:t>​</w:t>
            </w:r>
          </w:p>
        </w:tc>
      </w:tr>
      <w:tr>
        <w:trPr/>
        <w:tc>
          <w:tcPr>
            <w:tcW w:w="787" w:type="dxa"/>
            <w:tcBorders/>
            <w:shd w:fill="CCEEFF" w:val="clear"/>
            <w:vAlign w:val="center"/>
          </w:tcPr>
          <w:p>
            <w:pPr>
              <w:pStyle w:val="TableContents"/>
              <w:bidi w:val="0"/>
              <w:spacing w:before="0" w:after="3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846" w:type="dxa"/>
            <w:tcBorders/>
            <w:shd w:fill="CCEEFF" w:val="clear"/>
            <w:vAlign w:val="center"/>
          </w:tcPr>
          <w:p>
            <w:pPr>
              <w:pStyle w:val="TableContents"/>
              <w:pBdr/>
              <w:bidi w:val="0"/>
              <w:spacing w:before="0" w:after="3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Security Holder Matters and Issuer Purchases of Equity Securities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787" w:type="dxa"/>
            <w:tcBorders/>
            <w:vAlign w:val="center"/>
          </w:tcPr>
          <w:p>
            <w:pPr>
              <w:pStyle w:val="TableContents"/>
              <w:bidi w:val="0"/>
              <w:spacing w:before="0" w:after="30"/>
              <w:ind w:left="0" w:right="0" w:hanging="0"/>
              <w:jc w:val="left"/>
              <w:rPr/>
            </w:pPr>
            <w:hyperlink w:anchor="Item6SelectedFinancialData">
              <w:r>
                <w:rPr>
                  <w:rStyle w:val="InternetLink"/>
                  <w:rFonts w:ascii="Times New Roman;Times;serif" w:hAnsi="Times New Roman;Times;serif"/>
                  <w:b w:val="false"/>
                  <w:i w:val="false"/>
                  <w:caps w:val="false"/>
                  <w:smallCaps w:val="false"/>
                  <w:sz w:val="20"/>
                </w:rPr>
                <w:t>Item 6.</w:t>
              </w:r>
            </w:hyperlink>
          </w:p>
        </w:tc>
        <w:tc>
          <w:tcPr>
            <w:tcW w:w="8846" w:type="dxa"/>
            <w:tcBorders/>
            <w:vAlign w:val="center"/>
          </w:tcPr>
          <w:p>
            <w:pPr>
              <w:pStyle w:val="TableContents"/>
              <w:bidi w:val="0"/>
              <w:spacing w:before="0" w:after="30"/>
              <w:ind w:left="0" w:right="0" w:hanging="0"/>
              <w:jc w:val="left"/>
              <w:rPr/>
            </w:pPr>
            <w:hyperlink w:anchor="Item6SelectedFinancialData">
              <w:r>
                <w:rPr>
                  <w:rStyle w:val="InternetLink"/>
                  <w:rFonts w:ascii="Times New Roman;Times;serif" w:hAnsi="Times New Roman;Times;serif"/>
                  <w:b w:val="false"/>
                  <w:i w:val="false"/>
                  <w:caps w:val="false"/>
                  <w:smallCaps w:val="false"/>
                  <w:sz w:val="20"/>
                </w:rPr>
                <w:t>Reserved</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787" w:type="dxa"/>
            <w:tcBorders/>
            <w:shd w:fill="CCEEFF" w:val="clear"/>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846" w:type="dxa"/>
            <w:tcBorders/>
            <w:shd w:fill="CCEEFF" w:val="clear"/>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787" w:type="dxa"/>
            <w:tcBorders/>
            <w:vAlign w:val="center"/>
          </w:tcPr>
          <w:p>
            <w:pPr>
              <w:pStyle w:val="TableContents"/>
              <w:bidi w:val="0"/>
              <w:spacing w:before="0" w:after="3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46" w:type="dxa"/>
            <w:tcBorders/>
            <w:vAlign w:val="center"/>
          </w:tcPr>
          <w:p>
            <w:pPr>
              <w:pStyle w:val="TableContents"/>
              <w:bidi w:val="0"/>
              <w:spacing w:before="0" w:after="3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787" w:type="dxa"/>
            <w:tcBorders/>
            <w:shd w:fill="CCEEFF" w:val="clear"/>
            <w:vAlign w:val="center"/>
          </w:tcPr>
          <w:p>
            <w:pPr>
              <w:pStyle w:val="TableContents"/>
              <w:bidi w:val="0"/>
              <w:spacing w:before="0" w:after="3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846" w:type="dxa"/>
            <w:tcBorders/>
            <w:shd w:fill="CCEEFF" w:val="clear"/>
            <w:vAlign w:val="center"/>
          </w:tcPr>
          <w:p>
            <w:pPr>
              <w:pStyle w:val="TableContents"/>
              <w:bidi w:val="0"/>
              <w:spacing w:before="0" w:after="3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787" w:type="dxa"/>
            <w:tcBorders/>
            <w:vAlign w:val="center"/>
          </w:tcPr>
          <w:p>
            <w:pPr>
              <w:pStyle w:val="TableContents"/>
              <w:bidi w:val="0"/>
              <w:spacing w:before="0" w:after="3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46" w:type="dxa"/>
            <w:tcBorders/>
            <w:vAlign w:val="center"/>
          </w:tcPr>
          <w:p>
            <w:pPr>
              <w:pStyle w:val="TableContents"/>
              <w:bidi w:val="0"/>
              <w:spacing w:before="0" w:after="3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120</w:t>
            </w:r>
          </w:p>
        </w:tc>
      </w:tr>
      <w:tr>
        <w:trPr/>
        <w:tc>
          <w:tcPr>
            <w:tcW w:w="787" w:type="dxa"/>
            <w:tcBorders/>
            <w:shd w:fill="CCEEFF" w:val="clear"/>
            <w:vAlign w:val="center"/>
          </w:tcPr>
          <w:p>
            <w:pPr>
              <w:pStyle w:val="TableContents"/>
              <w:bidi w:val="0"/>
              <w:spacing w:before="0" w:after="30"/>
              <w:ind w:left="0" w:right="0" w:hanging="0"/>
              <w:jc w:val="left"/>
              <w:rPr/>
            </w:pPr>
            <w:hyperlink w:anchor="Item9AControlsandProcedures_361524">
              <w:r>
                <w:rPr>
                  <w:rStyle w:val="InternetLink"/>
                  <w:rFonts w:ascii="Times New Roman;Times;serif" w:hAnsi="Times New Roman;Times;serif"/>
                  <w:b w:val="false"/>
                  <w:i w:val="false"/>
                  <w:caps w:val="false"/>
                  <w:smallCaps w:val="false"/>
                  <w:sz w:val="20"/>
                </w:rPr>
                <w:t>Item 9A</w:t>
              </w:r>
            </w:hyperlink>
          </w:p>
        </w:tc>
        <w:tc>
          <w:tcPr>
            <w:tcW w:w="8846" w:type="dxa"/>
            <w:tcBorders/>
            <w:shd w:fill="CCEEFF" w:val="clear"/>
            <w:vAlign w:val="center"/>
          </w:tcPr>
          <w:p>
            <w:pPr>
              <w:pStyle w:val="TableContents"/>
              <w:bidi w:val="0"/>
              <w:spacing w:before="0" w:after="30"/>
              <w:ind w:left="0" w:right="0" w:hanging="0"/>
              <w:jc w:val="left"/>
              <w:rPr/>
            </w:pPr>
            <w:hyperlink w:anchor="Item9AControlsandProcedures_361524">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120</w:t>
            </w:r>
          </w:p>
        </w:tc>
      </w:tr>
      <w:tr>
        <w:trPr/>
        <w:tc>
          <w:tcPr>
            <w:tcW w:w="787" w:type="dxa"/>
            <w:tcBorders/>
            <w:vAlign w:val="center"/>
          </w:tcPr>
          <w:p>
            <w:pPr>
              <w:pStyle w:val="TableContents"/>
              <w:bidi w:val="0"/>
              <w:spacing w:before="0" w:after="30"/>
              <w:ind w:left="0" w:right="0" w:hanging="0"/>
              <w:jc w:val="left"/>
              <w:rPr/>
            </w:pPr>
            <w:hyperlink w:anchor="Item9BOtherInformation_186097">
              <w:r>
                <w:rPr>
                  <w:rStyle w:val="InternetLink"/>
                  <w:rFonts w:ascii="Times New Roman;Times;serif" w:hAnsi="Times New Roman;Times;serif"/>
                  <w:b w:val="false"/>
                  <w:i w:val="false"/>
                  <w:caps w:val="false"/>
                  <w:smallCaps w:val="false"/>
                  <w:sz w:val="20"/>
                </w:rPr>
                <w:t>Item 9B.</w:t>
              </w:r>
            </w:hyperlink>
          </w:p>
        </w:tc>
        <w:tc>
          <w:tcPr>
            <w:tcW w:w="8846" w:type="dxa"/>
            <w:tcBorders/>
            <w:vAlign w:val="center"/>
          </w:tcPr>
          <w:p>
            <w:pPr>
              <w:pStyle w:val="TableContents"/>
              <w:bidi w:val="0"/>
              <w:spacing w:before="0" w:after="30"/>
              <w:ind w:left="0" w:right="0" w:hanging="0"/>
              <w:jc w:val="left"/>
              <w:rPr/>
            </w:pPr>
            <w:hyperlink w:anchor="Item9BOtherInformation_186097">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122</w:t>
            </w:r>
          </w:p>
        </w:tc>
      </w:tr>
      <w:tr>
        <w:trPr/>
        <w:tc>
          <w:tcPr>
            <w:tcW w:w="787" w:type="dxa"/>
            <w:tcBorders/>
            <w:shd w:fill="CCEEFF" w:val="clear"/>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846" w:type="dxa"/>
            <w:tcBorders/>
            <w:shd w:fill="CCEEFF" w:val="clear"/>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r>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30"/>
              <w:ind w:left="0" w:right="0" w:hanging="0"/>
              <w:jc w:val="center"/>
              <w:rPr/>
            </w:pPr>
            <w:hyperlink w:anchor="PARTIII_200542">
              <w:r>
                <w:rPr>
                  <w:rStyle w:val="InternetLink"/>
                  <w:rFonts w:ascii="Times New Roman;Times;serif" w:hAnsi="Times New Roman;Times;serif"/>
                  <w:b/>
                  <w:i w:val="false"/>
                  <w:caps w:val="false"/>
                  <w:smallCaps w:val="false"/>
                  <w:sz w:val="20"/>
                </w:rPr>
                <w:t>PART III</w:t>
              </w:r>
            </w:hyperlink>
          </w:p>
        </w:tc>
        <w:tc>
          <w:tcPr>
            <w:tcW w:w="572" w:type="dxa"/>
            <w:tcBorders/>
            <w:shd w:fill="CCEEFF" w:val="clear"/>
            <w:vAlign w:val="center"/>
          </w:tcPr>
          <w:p>
            <w:pPr>
              <w:pStyle w:val="TableContents"/>
              <w:bidi w:val="0"/>
              <w:spacing w:before="0" w:after="0"/>
              <w:ind w:left="0" w:right="0" w:hanging="0"/>
              <w:jc w:val="center"/>
              <w:rPr/>
            </w:pPr>
            <w:r>
              <w:rPr/>
              <w:t>​</w:t>
            </w:r>
          </w:p>
        </w:tc>
      </w:tr>
      <w:tr>
        <w:trPr/>
        <w:tc>
          <w:tcPr>
            <w:tcW w:w="787" w:type="dxa"/>
            <w:tcBorders/>
            <w:vAlign w:val="center"/>
          </w:tcPr>
          <w:p>
            <w:pPr>
              <w:pStyle w:val="TableContents"/>
              <w:bidi w:val="0"/>
              <w:spacing w:before="0" w:after="3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846" w:type="dxa"/>
            <w:tcBorders/>
            <w:vAlign w:val="center"/>
          </w:tcPr>
          <w:p>
            <w:pPr>
              <w:pStyle w:val="TableContents"/>
              <w:bidi w:val="0"/>
              <w:spacing w:before="0" w:after="3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122</w:t>
            </w:r>
          </w:p>
        </w:tc>
      </w:tr>
      <w:tr>
        <w:trPr/>
        <w:tc>
          <w:tcPr>
            <w:tcW w:w="787" w:type="dxa"/>
            <w:tcBorders/>
            <w:shd w:fill="CCEEFF" w:val="clear"/>
            <w:vAlign w:val="center"/>
          </w:tcPr>
          <w:p>
            <w:pPr>
              <w:pStyle w:val="TableContents"/>
              <w:bidi w:val="0"/>
              <w:spacing w:before="0" w:after="30"/>
              <w:ind w:left="0" w:right="0" w:hanging="0"/>
              <w:jc w:val="left"/>
              <w:rPr/>
            </w:pPr>
            <w:hyperlink w:anchor="Item11ExecutiveCompensation_557069">
              <w:r>
                <w:rPr>
                  <w:rStyle w:val="InternetLink"/>
                  <w:rFonts w:ascii="Times New Roman;Times;serif" w:hAnsi="Times New Roman;Times;serif"/>
                  <w:b w:val="false"/>
                  <w:i w:val="false"/>
                  <w:caps w:val="false"/>
                  <w:smallCaps w:val="false"/>
                  <w:sz w:val="20"/>
                </w:rPr>
                <w:t>Item 11.</w:t>
              </w:r>
            </w:hyperlink>
          </w:p>
        </w:tc>
        <w:tc>
          <w:tcPr>
            <w:tcW w:w="8846" w:type="dxa"/>
            <w:tcBorders/>
            <w:shd w:fill="CCEEFF" w:val="clear"/>
            <w:vAlign w:val="center"/>
          </w:tcPr>
          <w:p>
            <w:pPr>
              <w:pStyle w:val="TableContents"/>
              <w:bidi w:val="0"/>
              <w:spacing w:before="0" w:after="30"/>
              <w:ind w:left="0" w:right="0" w:hanging="0"/>
              <w:jc w:val="left"/>
              <w:rPr/>
            </w:pPr>
            <w:hyperlink w:anchor="Item11ExecutiveCompensation_557069">
              <w:r>
                <w:rPr>
                  <w:rStyle w:val="InternetLink"/>
                  <w:rFonts w:ascii="Times New Roman;Times;serif" w:hAnsi="Times New Roman;Times;serif"/>
                  <w:b w:val="false"/>
                  <w:i w:val="false"/>
                  <w:caps w:val="false"/>
                  <w:smallCaps w:val="false"/>
                  <w:sz w:val="20"/>
                </w:rPr>
                <w:t>Executive Compensation</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128</w:t>
            </w:r>
          </w:p>
        </w:tc>
      </w:tr>
      <w:tr>
        <w:trPr/>
        <w:tc>
          <w:tcPr>
            <w:tcW w:w="787" w:type="dxa"/>
            <w:tcBorders/>
            <w:vAlign w:val="center"/>
          </w:tcPr>
          <w:p>
            <w:pPr>
              <w:pStyle w:val="TableContents"/>
              <w:bidi w:val="0"/>
              <w:spacing w:before="0" w:after="3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846" w:type="dxa"/>
            <w:tcBorders/>
            <w:vAlign w:val="center"/>
          </w:tcPr>
          <w:p>
            <w:pPr>
              <w:pStyle w:val="TableContents"/>
              <w:pBdr/>
              <w:bidi w:val="0"/>
              <w:spacing w:before="0" w:after="3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Security Holder Matters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137</w:t>
            </w:r>
          </w:p>
        </w:tc>
      </w:tr>
      <w:tr>
        <w:trPr/>
        <w:tc>
          <w:tcPr>
            <w:tcW w:w="787" w:type="dxa"/>
            <w:tcBorders/>
            <w:shd w:fill="CCEEFF" w:val="clear"/>
            <w:vAlign w:val="center"/>
          </w:tcPr>
          <w:p>
            <w:pPr>
              <w:pStyle w:val="TableContents"/>
              <w:bidi w:val="0"/>
              <w:spacing w:before="0" w:after="3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846" w:type="dxa"/>
            <w:tcBorders/>
            <w:shd w:fill="CCEEFF" w:val="clear"/>
            <w:vAlign w:val="center"/>
          </w:tcPr>
          <w:p>
            <w:pPr>
              <w:pStyle w:val="TableContents"/>
              <w:bidi w:val="0"/>
              <w:spacing w:before="0" w:after="3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138</w:t>
            </w:r>
          </w:p>
        </w:tc>
      </w:tr>
      <w:tr>
        <w:trPr/>
        <w:tc>
          <w:tcPr>
            <w:tcW w:w="787" w:type="dxa"/>
            <w:tcBorders/>
            <w:vAlign w:val="center"/>
          </w:tcPr>
          <w:p>
            <w:pPr>
              <w:pStyle w:val="TableContents"/>
              <w:bidi w:val="0"/>
              <w:spacing w:before="0" w:after="3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846" w:type="dxa"/>
            <w:tcBorders/>
            <w:vAlign w:val="center"/>
          </w:tcPr>
          <w:p>
            <w:pPr>
              <w:pStyle w:val="TableContents"/>
              <w:bidi w:val="0"/>
              <w:spacing w:before="0" w:after="3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141</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r>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30"/>
              <w:ind w:left="0" w:right="0" w:hanging="0"/>
              <w:jc w:val="center"/>
              <w:rPr/>
            </w:pPr>
            <w:hyperlink w:anchor="PARTIV_693017">
              <w:r>
                <w:rPr>
                  <w:rStyle w:val="InternetLink"/>
                  <w:rFonts w:ascii="Times New Roman;Times;serif" w:hAnsi="Times New Roman;Times;serif"/>
                  <w:b/>
                  <w:i w:val="false"/>
                  <w:caps w:val="false"/>
                  <w:smallCaps w:val="false"/>
                  <w:sz w:val="20"/>
                </w:rPr>
                <w:t>PART IV</w:t>
              </w:r>
            </w:hyperlink>
          </w:p>
        </w:tc>
        <w:tc>
          <w:tcPr>
            <w:tcW w:w="572" w:type="dxa"/>
            <w:tcBorders/>
            <w:vAlign w:val="center"/>
          </w:tcPr>
          <w:p>
            <w:pPr>
              <w:pStyle w:val="TableContents"/>
              <w:bidi w:val="0"/>
              <w:spacing w:before="0" w:after="0"/>
              <w:ind w:left="0" w:right="0" w:hanging="0"/>
              <w:jc w:val="center"/>
              <w:rPr/>
            </w:pPr>
            <w:r>
              <w:rPr/>
              <w:t>​</w:t>
            </w:r>
          </w:p>
        </w:tc>
      </w:tr>
      <w:tr>
        <w:trPr/>
        <w:tc>
          <w:tcPr>
            <w:tcW w:w="787" w:type="dxa"/>
            <w:tcBorders/>
            <w:shd w:fill="CCEEFF" w:val="clear"/>
            <w:vAlign w:val="center"/>
          </w:tcPr>
          <w:p>
            <w:pPr>
              <w:pStyle w:val="TableContents"/>
              <w:bidi w:val="0"/>
              <w:spacing w:before="0" w:after="3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846" w:type="dxa"/>
            <w:tcBorders/>
            <w:shd w:fill="CCEEFF" w:val="clear"/>
            <w:vAlign w:val="center"/>
          </w:tcPr>
          <w:p>
            <w:pPr>
              <w:pStyle w:val="TableContents"/>
              <w:bidi w:val="0"/>
              <w:spacing w:before="0" w:after="3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143</w:t>
            </w:r>
          </w:p>
        </w:tc>
      </w:tr>
      <w:tr>
        <w:trPr/>
        <w:tc>
          <w:tcPr>
            <w:tcW w:w="787" w:type="dxa"/>
            <w:tcBorders/>
            <w:vAlign w:val="center"/>
          </w:tcPr>
          <w:p>
            <w:pPr>
              <w:pStyle w:val="TableContents"/>
              <w:bidi w:val="0"/>
              <w:spacing w:before="0" w:after="30"/>
              <w:ind w:left="0" w:right="0" w:hanging="0"/>
              <w:jc w:val="left"/>
              <w:rPr/>
            </w:pPr>
            <w:hyperlink w:anchor="Item16Form10KSummary_621161">
              <w:r>
                <w:rPr>
                  <w:rStyle w:val="InternetLink"/>
                  <w:rFonts w:ascii="Times New Roman;Times;serif" w:hAnsi="Times New Roman;Times;serif"/>
                  <w:b w:val="false"/>
                  <w:i w:val="false"/>
                  <w:caps w:val="false"/>
                  <w:smallCaps w:val="false"/>
                  <w:sz w:val="20"/>
                </w:rPr>
                <w:t>Item 16.</w:t>
              </w:r>
            </w:hyperlink>
          </w:p>
        </w:tc>
        <w:tc>
          <w:tcPr>
            <w:tcW w:w="8846" w:type="dxa"/>
            <w:tcBorders/>
            <w:vAlign w:val="center"/>
          </w:tcPr>
          <w:p>
            <w:pPr>
              <w:pStyle w:val="TableContents"/>
              <w:bidi w:val="0"/>
              <w:spacing w:before="0" w:after="30"/>
              <w:ind w:left="0" w:right="0" w:hanging="0"/>
              <w:jc w:val="left"/>
              <w:rPr/>
            </w:pPr>
            <w:hyperlink w:anchor="Item16Form10KSummary_621161">
              <w:r>
                <w:rPr>
                  <w:rStyle w:val="InternetLink"/>
                  <w:rFonts w:ascii="Times New Roman;Times;serif" w:hAnsi="Times New Roman;Times;serif"/>
                  <w:b w:val="false"/>
                  <w:i w:val="false"/>
                  <w:caps w:val="false"/>
                  <w:smallCaps w:val="false"/>
                  <w:sz w:val="20"/>
                </w:rPr>
                <w:t>Form 10-K Summary</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I_913001"/>
      <w:bookmarkStart w:id="44" w:name="_1f5b99c4_2301_4a0b_9ba2_48e53f535680"/>
      <w:bookmarkEnd w:id="43"/>
      <w:bookmarkEnd w:id="44"/>
      <w:r>
        <w:rPr>
          <w:rFonts w:ascii="Times New Roman;Times;serif" w:hAnsi="Times New Roman;Times;serif"/>
          <w:b/>
          <w:sz w:val="20"/>
        </w:rPr>
        <w:t>PART I</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5" w:name="Item1Business_683799"/>
      <w:bookmarkEnd w:id="45"/>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In addition, we operated a Metals segment until it was sold in December 2021. References to “we,” “our” or “us”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2023, representing an aggregate 1.99% general partner interest in Icahn Enterprises Holdings and us. Mr. Icahn and his affiliates owned approximately 86% of our outstanding depositary units as of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Business Strategy and Core Strengths</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The Icahn Strategy</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 xml:space="preserve">Today, we are a diversified holding company owning subsidiaries engaged in seven diversified reporting segments. As of December 31, 2023, through our Investment segment, we have significant positions in various investments, which include Crown Holdings (CCK), Southwest Gas Holdings, Inc. (SWX), International Flavors and Fragrances Inc. (IFF), Illumina, Inc. (ILMN) and Bausch Health Companies, Inc. (BHC). </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 xml:space="preserve">Several of our operating businesses started out as investment positions in debt or equity securities, held either directly by us or Mr. Icahn. Those 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companies in our Investment segment or by acquiring control of those target companies that we believe we could run more profitably ourselves.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and boards of directors are often unaccountable and very difficult to remove.</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(“CEOs”) to proxy fights, tender offers and acquiring control. We work diligently to enhance value for all shareholders and we believe that the best way to do this is to make underperforming management teams and Boards of Directors accountable or to replace them.</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 xml:space="preserve">The Chairman of the Board of Directors of our general partner, Carl C. Icahn, has been an activist investor since 1980. Mr. Icahn believes that the current environment continues to be conducive to activism. We often find investment opportunities when companies execute value destructive acquisitions or fail to unlock their own “hidden jewels” through separation transactions. Companies also find themselves listening to the advice of conflicted advisors and pursue complex, costly and never-ending litigation when acceptable quick fixes can be found. Management teams often fail to improve their operations and profitability, relying on lax oversight from an overly friendly board of directors. </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It is our belief that our strategy will continue to produce strong results into the future. We believe that the strong cash flow and asset coverage from our operating subsidiaries will allow us to maintain a strong balance sheet and ample liquidity.</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Core Strengths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The key elements of our business strategy include the following:</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Capitalize on Growth Opportunities in our Existing Businesses.</w:t>
      </w:r>
      <w:r>
        <w:rPr>
          <w:rFonts w:ascii="Times New Roman;Times;serif" w:hAnsi="Times New Roman;Times;serif"/>
          <w:sz w:val="20"/>
        </w:rPr>
        <w:t>  We believe that we have developed a strong portfolio of businesses with experienced management teams. We may expand our existing businesses if appropriate opportunities are identified, as well as use our established businesses as a platform for additional acquisitions in the same or related areas.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Drive Accountability and Financial Discipline in the Management of our Business.</w:t>
      </w:r>
      <w:r>
        <w:rPr>
          <w:rFonts w:ascii="Times New Roman;Times;serif" w:hAnsi="Times New Roman;Times;serif"/>
          <w:sz w:val="20"/>
        </w:rPr>
        <w:t>  Our CEO is accountable directly to our Board of Directors of our 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pStyle w:val="TextBody"/>
        <w:shd w:fill="FFFFFF" w:val="clear"/>
        <w:bidi w:val="0"/>
        <w:spacing w:before="0" w:after="0"/>
        <w:ind w:left="0" w:right="0" w:firstLine="40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Seek to Acquire Undervalued Assets.</w:t>
      </w:r>
      <w:r>
        <w:rPr>
          <w:rFonts w:ascii="Times New Roman;Times;serif" w:hAnsi="Times New Roman;Times;serif"/>
          <w:sz w:val="20"/>
        </w:rPr>
        <w:t>  We intend to continue to make investments in businesses that we believe are undervalued and have potential for 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Use Activism to Unlock Value.</w:t>
      </w:r>
      <w:r>
        <w:rPr>
          <w:rFonts w:ascii="Times New Roman;Times;serif" w:hAnsi="Times New Roman;Times;serif"/>
          <w:sz w:val="20"/>
        </w:rPr>
        <w:t> As described above, we become actively involved in companies in which we invest. Such activism may involve a broad 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pStyle w:val="TextBody"/>
        <w:shd w:fill="FFFFFF" w:val="clear"/>
        <w:bidi w:val="0"/>
        <w:spacing w:before="0" w:after="0"/>
        <w:ind w:left="0" w:right="0" w:firstLine="405"/>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Description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began as American Real Estate Partners L.P. in 1987 and currently operates a portfolio of seven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2023.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segment accounted for the majority of our consolidated revenues derived from customers outside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seek to invest our available cash and cash equivalents in liquid investments with a view to enhancing returns as we continue to assess further acquisitions of, or investments in, operating businesses. As of December 31, 2023, we had investments with a fair market value of approximately $3.2 billion in the Investment Funds, as defined below.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by Mr. Icahn and his affiliates and by Brett Icahn.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Affiliate Investments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Mr. Icahn, along with the Investment Funds, have entered into a covered affiliate agreement, which was amended on March 31, 2011, pursuant to which Mr. Icahn agreed (on behalf of himself and certain of his affiliates, excluding Icahn Enterprises, and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Energy segment through our majority owned subsidiary, CVR Energy, Inc. (“CVR Energy”). CVR Energy is headquartered in Sugar Land, Texas. CVR Energy is a reporting company under the Exchange Act and files annual, quarterly and current reports, proxy statements and other information with the SEC that are publicly available.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(“UAN”) and ammonia. CVR Energy holds 100% of the general partner interest and approximately 37% of the outstanding common units of CVR Partners as of December 31, 2023. During 2023, we decreased our ownership in CVR Energy through the sale of common stock resulting in proceeds of $158 million and as of December 31, 2023, we owned approximately 66% of the total outstanding common stock of CVR 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net sales for the years ended December 31, 2023, 2022 and 2021 represented approximately 83%, 81% and 70%, respectively, of our consolidated net sales, primarily from the sale of its petroleum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Raw Materials and Supply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Energy’s refining business has the capability to process a variety of crude oil blends. Its oil refineries in Coffeyville, Kansas and Wynnewood, Oklahoma have a combined capacity of approximately 206,500 barrels per day (“bpd”). In April 2022, CVR Energy converted its Wynnewood refinery’s hydrocracker to a renewable diesel unit (“RDU”) with a nameplate capacity of 7,500 bpd, which RDU is also capable of being returned to hydrocarbon service. In addition to the use of third-party pipelines for the supply of crude oil, CVR Energy has an extensive gathering system consisting of logistics assets that are owned, leased or part of a joint venture operation. Petroleum refining product yield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includes gasoline, diesel fuel, pet coke and other refined products such as natural gas liquids, asphalt and jet fuel among other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by its adjacent crude oil refinery pursuant to a renewable long-term agreement with CVR Energy, as well as by third parties.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Northern Natural Gas interstate pipeline system, which is within one mile of the facility, and a third-party owned and operated pipeline.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Environmental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businesses are subject to extensive and frequently changing federal, state and local, environmental, health and safety laws and regulations governing the emission, discharge, transportation, storage, handling, use, treatment, disposal and release of regulated materials, substances or wastes, including waste-water and storm water, petroleum, renewable and nitrogen products, gasoline, diesel fuels, renewable fuels, UAN and ammonia. These laws and regulations and the enforcement thereof impact CVR Energy’s businesses and their operations by imposing:</w:t>
      </w:r>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operations or the need to install and operate enhanced or additional control and monitoring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the investigation and remediation of contaminated environmental medial, including soil and groundwater on, in, at, under or from current and former facilities (if any) and for off-site waste disposal locations;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specifications for the products marketed by the petroleum business and the nitrogen fertilizer business, primarily gasoline, diesel and aviation fuels, UAN and ammonia.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operations require numerous permits, licenses and authorizations. Failure to comply with these permits, licenses, authorizations, or environmental laws, rules and regulations could result in fines, penalties or other sanctions or liabilities or a revocation of CVR Energy’s permits, licenses or authorizations. In addition, the laws, rules, and regulations to which CVR Energy is subject to are often evolving and many of them have or could become more stringent or have or could become subject to more stringent interpretation or enforcement by federal, state or local agencies or courts. These laws and regulations could result in increased capital, operating and compliance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businesses are also subject to, or impacted by, various other environmental laws and regulations such as the federal Clean Air Act, the federal Clean Water Act, the federal Comprehensive Environmental Response, Compensation and Liability Act (CERCLA), the federal Resource Conversation and Recovery Act (RCRA), federal release reporting requirements relating to the release of hazardous substances into the environment, certain fuel regulations, renewable fuel standards, as discussed below, and various other laws and regulations.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Renewable Fuel Standard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subsidiaries, Coffeyville Resource Refining &amp; Marketing, LLC (“CRRM”) and Wynnewood Refining Company, LLC (“WRC” and together with CRRM the “obligated-party subsidiaries”) are subject to the Clean Air Act’s renewable fuel standard (“RFS”) which requires obligated parties whose obligations under the RFS are not otherwise waived or exempted to either blend “renewable fuels” with their transportation fuels or purchase renewable fuel credits, known as renewable identification numbers, in lieu of blending. See Item 1A, “Risk Factors” and Note 19, “Commitments and Contingencies,” to the consolidated financial statements for further discussion.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subsidiaries, Icahn Automotive Group LLC (“Icahn Automotive”) and AEP PLC LLC (“AEP PLC”). The Automotive segment is headquartered in Bala Cynwyd, Pennsylvania.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In addition to its primary businesses, the Automotive segment leases available and excess real estate in certain locations under long-term operating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31, 2023, a subsidiary of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As a result of Auto Plus’ filings for bankruptcy protections on January 31, 2023, we no longer controlled the operations of Auto Plus, and therefore, we deconsolidated Auto Plus as of January 31, 2023. See Note 3, “Subsidiary Bankruptcy and Deconsolidation”, for a detailed discussion of the Auto Plus bankruptcy and deconsolidation.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net sales for the years ended December 31, 2023, 2022 and 2021 represented approximately 9%, 13% and 17%, respectively, of our consolidated net sales.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Services and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The Automotive segment seeks to provide (i) an extensive selection of product offerings, (ii) competitive pricing, (iii) exceptional in-store service experience and (iv) superior delivery to its customers.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Suppliers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segment purchases parts from manufacturers and other distributors for sale in the aftermarket. Purchases are made based on current inventory or operational needs and are fulfilled by suppliers within short periods of time. During 2023, the Automotive segment’s ten largest suppliers accounted for approximately 85% of the merchandise purchased and its two largest suppliers accounted for approximately 37% of the merchandise purchased. The Automotive segment believes that the relationships that it has established with its suppliers are generally positive. In the past, the Automotive segment has not experienced difficulty in obtaining satisfactory sources of supply and it believes that adequate alternative sources of supply exist, at similar cost, for the types of merchandise sold in its stores.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Operating Segments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Food Packaging segment through our majority owned subsidiary, Viskase Companies, Inc. (“Viskase”). Viskase is a producer of cellulosic, fibrous and plastic casings used to prepare and package processed meat products. Approximately 70% of Viskase’s net sales during 2023 were derived from customers outside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we owned approximately 90% of the total outstanding common stock of Viskase.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 owned subsidiary, WestPoint Home LLC (“WPH”). WPH’s business consists of manufacturing, sourcing, marketing, distributing and selling home fashion consumer products. WPH’s operations include a manufacturing and distribution facility in Chipley, Florida and a manufacturing facility in Bahrain, both of which are owned facilities.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Pharma segment through our wholly owned subsidiary, Vivus LLC, formerly Vivus, Inc. (“Vivus”). Vivus is a specialty pharmaceutical company with two approved therapies and two product candidates in active clinical development.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Metals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conducted our Metals segment through our wholly owned subsidiary, PSC Metals, LLC (“PSC Metals”). On December 7, 2021, we closed on the sale of PSC Metals. As a result, we no longer operate a Metals segment.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an aggregate of 38 employees at our Holding Company and Investment segment. Our other reporting segments employ an aggregate of approximately 15,000 employees, of which approximately 58% are employed within our Automotive segment, 14% are employed within our Food Packaging segment, 11% are employed within our Home Fashion segment and 10% or less are employed at each of our other segments. Approximately 20% of our employees are employed internationally, primarily within our Food Packaging and Home Fashion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maintains a website at </w:t>
      </w:r>
      <w:r>
        <w:rPr>
          <w:rFonts w:ascii="Times New Roman;Times;serif" w:hAnsi="Times New Roman;Times;serif"/>
          <w:i/>
          <w:sz w:val="20"/>
        </w:rPr>
        <w:t>www.ielp.com</w:t>
      </w:r>
      <w:r>
        <w:rPr>
          <w:rFonts w:ascii="Times New Roman;Times;serif" w:hAnsi="Times New Roman;Times;serif"/>
          <w:sz w:val="20"/>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Contact Us on our website. In addition, our corporate governance guidelines, including Code of Ethics and Business Conduct and audit committee Charter, are available on our website (under Corporate Governance) and are available in print without charge to any stockholder requesting them. Any amendment or waiver of the provisions of our Code of Ethics will be posted on our website. The SEC maintains a website that contains reports, information statements, and other information regarding issuers like us who file electronically with the SEC. The SEC’s website is located at </w:t>
      </w:r>
      <w:r>
        <w:rPr>
          <w:rFonts w:ascii="Times New Roman;Times;serif" w:hAnsi="Times New Roman;Times;serif"/>
          <w:i/>
          <w:sz w:val="20"/>
        </w:rPr>
        <w:t>www.sec.gov</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6" w:name="Item1ARiskFactors_232091"/>
      <w:bookmarkStart w:id="47" w:name="_1f73193e_b60e_45ad_b3c9_f922f43e81de"/>
      <w:bookmarkEnd w:id="46"/>
      <w:bookmarkEnd w:id="47"/>
      <w:r>
        <w:rPr>
          <w:rFonts w:ascii="Times New Roman;Times;serif" w:hAnsi="Times New Roman;Times;serif"/>
          <w:b/>
          <w:sz w:val="20"/>
        </w:rPr>
        <w:t xml:space="preserve">Item 1A. Risk Factors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affiliates, owns 100% of Icahn Enterprises GP, the general partner of Icahn Enterprises, and approximately 86% of Icahn Enterprises’ outstanding depositary units as of December 31, 2023, and, as a result, has the ability to influence many aspects of our operations and affairs.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December 31, 2023, Mr. Icahn and his affiliates have pledged 352,677,938 depositary units and approximately $1.3 billion of interests in the Investment Funds. Neither Icahn Enterprises nor any of its subsidiaries are party to these loans. Mr. Icahn amended and restated his loan agreements in July of 2023 (as amended and restated, the “Loan Agreement”), extending the maturity of certain of the previous loans, amending certain covenants, and providing for a principal payment of $500 million that was made prior to September 1, 2023, quarterly principal payments of $87.5 million beginning in September 2024, and a final principal payment of $2.6 billion at the end of the term. The terms of the Loan Agreement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Unlike the previous loan agreements, for purposes of the loan-to-value ratio set forth in the Loan Agreement, the value of the pledged depositary units will be calculated based upon the Company’s indicative net asset value rather than the market price of the depositary units. Only a significant decline in the Company’s indicative net asset value, or the value of the interests in the Investment Funds, could result in margin calls. Declines in the trading price of the Company’s depositary units will no longer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(including those set forth herein), some of which are out of our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may sell depositary units or make withdrawals from the Investment Funds in order to satisfy payment obligations under the Loan Agreements. Mr. Icahn has made withdrawals from the Investment Funds in recent months, and may make additional withdrawals in the future,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86%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engaged, and in the future may engage, in transactions with our 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are subject to the risk of becoming an investment company. </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U.S. federal income tax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structure transactions in a less advantageous manner to avoid becoming subject to the Investment Company Act.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order not to become an investment company required to register under the Investment Company Act, we monitor the value of our investments and structure transactions with an eye toward the Investment Company Act. As a result,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structure transactions in a less advantageous manner than if we did not have Investment Company Act concerns, or we may avoid otherwise economically desirable transactions due to those concerns.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taxable as a corporation if we are no longer treated as a partnership for U.S. federal income tax purposes.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The Board of Directors of our General Partner has approved the repurchase by the Company of up to $500 million of our outstanding senior notes, and if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negatively impacted by the potential for changes in tax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If certain proposals were enacted, Mr. Icahn or his estate could become subject to additional U.S. federal income tax. The imposition of such additional tax, or the potential for such additional tax to be implemented, may result in Mr. Icahn or his estate selling our depositary units. Further, the market may anticipate sales by Mr. Icahn or his estate even if Mr. Icahn or his estate is not selling, or has no plans to sell, our depositary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Organization for Economic Cooperation and Development (“OECD”) issued new guidelines, known as “Pillar Two,” to implement a 15% global corporate minimum tax to address gaps in current tax laws and ensure that large multinational enterprises pay a minimum level of tax in the countries in which they operate. Countries may implement the OECD Pillar Two model rules as issued, in a modified form or not at all. A number of countries have passed legislation enacting certain parts of the OECD’s Pillar Two framework effective as of January 1, 2024. OECD Pillar Two could have a material impact on our effective tax rate and result in higher cash tax liabilities depending on which countries enact minimum tax legislation and in what manner.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cannot predict the outcome of these or other legislative proposals, including, if enacted, their impact on our operations and financial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depositary units may be required to pay tax on their share of our income even if they did not receive cash distributions from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gain or loss on the disposition of our depositary units could be more or less than expected.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will decrease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Tax-exempt entities may recognize unrelated business taxable income they receive from holding our units, and may face other unique issues specific to their U.S. federal income tax classification.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Non-U.S. persons may be subject to withholding regimes and U.S. federal income tax on certain income they may earn from holding or disposing of our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Distributions to non-U.S. persons will be reduced by withholding taxes at the highest applicable effective tax rate, and non-U.S. persons will be required to file U.S. federal income tax returns and pay tax on their share of our taxable income. Withholding taxes may also apply to proceeds received from a sale, exchange or other disposition of our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liable for any underwithholding by nominees on our distributions or on transfers of our units made after January 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distributions made after January 1, 2023,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final regulations published by the IRS on November 30, 2020. If the qualified notice is incorrect such that it causes a broker to underwithhold with respect to an amount in excess of cumulative net income, the publicly traded partnership is liable for any underwithholding on such amount.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transfers, including a sale, exchange or other disposition of units, that occur on or after January 1, 2023,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unitholders likely will be subject to state and local taxes and return filing or withholding requirements in states in which they do not live as a result of investing in our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Florida, Massachusetts, Nevada and New York. It is each unitholder’s responsibility to file all federal, state and local tax returns. Our counsel has not rendered an opinion on the state and local tax consequences of an investment in our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audit be adjusted by amounts of certain of our passive losses. If we successfully make such a request, we would have to reduce suspended passive loss carryovers in a manner which is binding on the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the pension liabilities of our 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Icahn Enterprises’ outstanding depositary units as of December 31, 2023.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All the minimum funding requirements of the Internal Revenue Code, as amended, and the Employee Retirement Income Security Act of 1974, as amended, for the Viskase and ACF plans have been met as of December 31, 2023. If the plans were voluntarily terminated, they would be underfunded by an aggregate of approximately $34 million as of December 31, 2023.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as of December 31, 2023,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limited partnership and a ‘‘controlled company’’ within the meaning of the Nasdaq rules and as such are exempt from certain corporate governance requirements.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 limited partnership and ‘‘controlled company’’ pursuant to Rule 5615(c) of the Nasdaq listing rules. As such we have elected, and intend to continue to elect, not to comply with certain corporate governance requirements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members of our management team may be involved in other business activities that may involve conflicts of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Icahn Enterprises’ depositary units have limited voting rights, including rights to participate in our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Icahn Enterprises’ depositary units may not have limited liability in certain circumstances and may be personally liable for the return of distributions that cause our liabilities to exceed our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Since we are a limited partnership, you may not be able to pursue legal claims against us in U.S. federal courts.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2, 2023, a firm published a report making allegations about the Company in an attempt to drive down the market price of our depositary units, and the price of our depositary units declined significantly after the publication of this report, has continued to trade at lower prices than before the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further described below, as a result of the short seller report, we have become the subject of suits and government inquiries prompted by the allegations made by the short seller, and future short seller reports could prompt additional lawsuits or investigations.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Since the publication of the short seller report in May of 2023, we have received two, and may receive additional, putative securities class action lawsuits. The two putative securities class action lawsuits were filed in the U.S. District Court for the Southern District of Florida, </w:t>
      </w:r>
      <w:r>
        <w:rPr>
          <w:rFonts w:ascii="Times New Roman;Times;serif" w:hAnsi="Times New Roman;Times;serif"/>
          <w:i/>
          <w:sz w:val="20"/>
        </w:rPr>
        <w:t>Okaro v. Icahn Enterprises L.P. et al.</w:t>
      </w:r>
      <w:r>
        <w:rPr>
          <w:rFonts w:ascii="Times New Roman;Times;serif" w:hAnsi="Times New Roman;Times;serif"/>
          <w:sz w:val="20"/>
        </w:rPr>
        <w:t>, Case No. 23-21773 (S.D. Fl.), and </w:t>
      </w:r>
      <w:r>
        <w:rPr>
          <w:rFonts w:ascii="Times New Roman;Times;serif" w:hAnsi="Times New Roman;Times;serif"/>
          <w:i/>
          <w:sz w:val="20"/>
        </w:rPr>
        <w:t>Levine v. Icahn Enterprises L.P. et al.</w:t>
      </w:r>
      <w:r>
        <w:rPr>
          <w:rFonts w:ascii="Times New Roman;Times;serif" w:hAnsi="Times New Roman;Times;serif"/>
          <w:sz w:val="20"/>
        </w:rPr>
        <w:t>, Case No. 23-22009 (S.D. Fl.). These lawsuits have been consolidated and the court appointed a lead plaintiff on November 20, 2023. A derivative complaint has also been filed in the U.S. District Court for the Southern District of Florida, naming the Company’s general partner, its directors, and certain current and former officers as defendants, and the Company as a nominal defendant, </w:t>
      </w:r>
      <w:r>
        <w:rPr>
          <w:rFonts w:ascii="Times New Roman;Times;serif" w:hAnsi="Times New Roman;Times;serif"/>
          <w:i/>
          <w:sz w:val="20"/>
        </w:rPr>
        <w:t>Patrick Pickney v. Icahn Enterprises G.P. Inc. Case No. 1:23-cv-22932-KMW</w:t>
      </w:r>
      <w:r>
        <w:rPr>
          <w:rFonts w:ascii="Times New Roman;Times;serif" w:hAnsi="Times New Roman;Times;serif"/>
          <w:sz w:val="20"/>
        </w:rPr>
        <w:t xml:space="preserve"> (S.D. Fl.). In addition, we have received demands for inspection of our books and records from plaintiffs purporting to be record holders of our depositary units. One of these purposed unitholders filed an action to compel inspection of our books and records on November 22, 2023 in the Court of Chancery of the State of Delaware, </w:t>
      </w:r>
      <w:r>
        <w:rPr>
          <w:rFonts w:ascii="Times New Roman;Times;serif" w:hAnsi="Times New Roman;Times;serif"/>
          <w:i/>
          <w:sz w:val="20"/>
        </w:rPr>
        <w:t>Bruno v. Icahn Enterprises, L.P. et al.</w:t>
      </w:r>
      <w:r>
        <w:rPr>
          <w:rFonts w:ascii="Times New Roman;Times;serif" w:hAnsi="Times New Roman;Times;serif"/>
          <w:sz w:val="20"/>
        </w:rPr>
        <w:t xml:space="preserve">, Case No. 2023-1170-SEM. We have also received requests for information from the staff of the Division of Enforcement of the SEC and the U.S. Attorney’s office for the Southern District of New York, relating to, among other things, our corporate governance, capitalization, securities offerings, the sufficiency of our disclosure, including with respect to Mr. Icahn’s loans and pledges of depositary units and other assets, dividends, the valuation of our assets, marketing materials, due diligence and other materials. See Item 3 of Part I, “Legal Proceedings,” of this Report. We can provide no assurance as to the outcome or resolution of any pending or potential legal or administrative actions or investigations, and such actions and investigations may result in administrative orders against us, the imposition of penalties and/or fines against us, damages awards against us, and/or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imposition of sanctions against certain of the Company's current or former officers, directors and/or employees. Resolution of these types of matters can be prolonged and costly, and the ultimate results or judgments are uncertain due to the inherent uncertainty in the outcomes of litigation and other proceedings. However, as we have stated, 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Liquidity and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holding company and depend on the businesses of our subsidiaries to satisfy our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 service our indebtedness, we will require a significant amount of cash. Our ability to maintain our current cash position or generate cash depends on many factors beyond our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failure to comply with the covenants under any of our debt instruments, including our indentures governing our senior unsecured notes (including our failure to comply as a result of events beyond our control, including the change in the fair value of our investment in the Investment Funds) may trigger a default or event of default under such instruments. 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have sufficient funds necessary to finance a change of control offer that may be required by the indentures governing our senior notes.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affiliates, as of December 31, 2023, owned 100% of Icahn Enterprises GP and approximately 86% of our outstanding depositary units. If Mr. Icahn were to sell, or otherwise transfer, some or all of his interests in us to an unrelated party or group, as a result of a merger, foreclosure, changes in tax laws, changes to his estate, or otherwise, a change of control could be deemed to have occurred under the terms of the indentures governing our senior notes, which would require us to offer to repurchase all outstanding senior notes at 101% of their principal amount plus accrued and unpaid interest, special interest, if any, and liquidated damages, if any, to the date of repurchase. However, it is possible that we will not have sufficient funds at the time of the change of control to make the required repurchase of notes.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made significant investments in the Investment Funds and negative performance of the Investment Funds may result in a significant decline in the value of our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we had investments in the Investment Funds with a fair market value of approximately $3.2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cash distributions to Icahn Enterprises’ unitholders, if any, can be affected by numerous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made cash distributions to Icahn Enterprises’ unitholders in each of the four quarters of 2023,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 For our quarterly distribution declared on February 26, 2024, we have continued to provide an option for unitholders to receive a distribution in either depositary units or cash; however, similar to the quarterly distributions declared on August 4, 2023 and November 1, 2023, for this distribution, unitholders will receive a distribution of $1.00 per unit payable in depositary units and/or cash at the election of the unitholder.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As of December 31, 2023, Mr. Icahn and his affiliates owned approximately 86% of our outstanding depositary units, and he has generally elected to take his quarterly distribution in units instead of cash. For the quarterly distribution paid in December of 2023, Mr. Icahn elected to take his distributions in a mix of cash and units, and we anticipate that Mr. Icahn will elect to take his distributions in a mix of cash and units with respect to future distributions, which could further reduce the ability of the Company to maintain its current or historical cash distribution amounts.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Investment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investments may be subject to significant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investments may not be successful for many reasons, including, but not limited to:</w:t>
      </w:r>
    </w:p>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or sustained increases in interest rates;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control in minority investments;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worsening of general economic and market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376" w:type="dxa"/>
        <w:jc w:val="left"/>
        <w:tblInd w:w="0" w:type="dxa"/>
        <w:tblLayout w:type="fixed"/>
        <w:tblCellMar>
          <w:top w:w="28" w:type="dxa"/>
          <w:left w:w="28" w:type="dxa"/>
          <w:bottom w:w="28" w:type="dxa"/>
          <w:right w:w="28" w:type="dxa"/>
        </w:tblCellMar>
      </w:tblPr>
      <w:tblGrid>
        <w:gridCol w:w="124"/>
        <w:gridCol w:w="25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diversification;</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success of the Investment Funds’ activist strategies;</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conditions;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U.S. dollar exchange rates; and</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legal and regulatory developments that may affect particular businesses.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historical financial information for the Investment Funds is not necessarily indicative of its future performance.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our top five holdings in the Investment Funds had a market value of approximately $1.9 billion, which represented approximately 35%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identify suitable investments, and our investments may not result in favorable returns or may result in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have and may continue to engage in various investment techniques, including derivatives, options and futures transactions, foreign currency transactions, “short” sales and leveraging for either hedging or other purposes. We have reduced our market short positions in recent months, but may increase those positions in the future.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Successful execution of our activist investment activities involves many risks, certain of which are outside of our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make investments in companies we do not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use of leverage in investments by the Investment Funds may pose a significant degree of risk and may enhance the possibility of significant loss in the value of the investments in the 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enter into repurchase and reverse repurchase agreements. When the Investment Fund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possibility of increased regulation could result in additional burdens on our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Dodd-Frank Wall Street Reform and Consumer Protection Act (the “Reform Act”), enacted into law in July 2010, resulted in regulations affecting almost every part of the financial services industry.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ability to hedge investments successfully is subject to numerous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anticipates purchasing at a later date; or (vii) for any other reason that our Investment segment deems appropriate.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foresee the occurrence of the risk or because they do not regard the probability of the risk occurring to be sufficiently high as to justify the cost of the hedge.</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 in distressed securities, as well as bank loans, asset backed securities and mortgage-backed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may invest in companies that are based outside of the United States, which may expose the Investment Funds to additional risks not typically associated with investing in companies that are based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investments are subject to numerous additional risks including those described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there are few limitations set forth in the governing documents of the Investment Funds on the execution of their investment activities, which are subject to the sole discretion of our Investment segment.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will be able to maintain the ability to borrow securities sold short. There also can be no assurance that the securities necessary to cover a short position will be available for purchase at or near prices quoted in the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their transactions with a single or small group of their counterparties. The Investment Funds are not restricted from dealing with any particular counterparty or from concentrating any or all of the Investment Funds’ transactions with one counterparty.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Consolidated Operating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regulations and regulatory actions can adversely affect our operating results and our ability to allocate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may increase our compliance costs and may require changes to how our operating subsidiaries conduct their businesses. Any regulatory changes could have a significant negative impact on our financial condition,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severe weather conditions, among others. Such risks have become even more heightened in recent years as a result of the effects of climate change. These events may damage or destroy properties, production facilities, transport facilities and equipment, as well as lead to personal injury or death, environmental damage, including resource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laws and regulations could require our operating subsidiaries to make substantial capital expenditures to remain in compliance or to remediate current or future contamination that could give rise to material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Several of our subsidiaries are subject to a variety of federal, state and local environmental laws and regulations relating to the protection of the environment, including those governing the emission, release, discharge, use, generation, treatment, storage, transportation, disposal, investigation and remediation of hazardous or toxic substances, materials or wastes, solid wastes, petroleum, pollutants or contaminants into the environment, and product specifications and labeling. Violations of these laws and regulations or environmental permit conditions can result in substantial costs, including for penalties, cleanup, injunctive orders compelling installation of additional controls, and civil and criminal sanctions, as well as permit revocations and/or facility shutdowns.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new environmental laws and regulations, new interpretations of existing laws and regulations, increased governmental enforcement of laws and regulations or other developments could require our businesses to make additional unforeseen expenditures. The SEC has proposed new rules regarding climate change that, if adopted, would require significant new disclosure obligations regarding greenhouse gas (“GHG”) emissions (including carbon dioxide, methane, and nitrous oxides) and would require us to update and develop our controls to accommodate these new obligations. It is unclear what impact the federal administration will have on the environmental laws and regulations applicable to us; however, measures to address climate change and reduce GHGs could affect our operations by requiring increased operating and capital costs, limiting GHG emissions and/or increasing taxes on GHG emissions. In addition, on the state level, California recently passed the Climate Corporate Data Accountability Act and the Climate-Related Financial Risk Act that will impose broad climate-related disclosure obligations on certain companies doing business in California, starting in 2026. There is also increased regulatory interest in per- and polyfluoroalkyl substances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(“PFAS”). On August 26, 2022, the U.S. Environmental Protection Agency (“EPA”) issued a proposal to designate two PFAS compounds as hazardous substances under CERCLA. Subsequently, on February 8, 2024, EPA proposed to amend RCRA to include nine PFAS, their salts and their structural isomers to its list of hazardous constituents. If PFAS compounds are designated as hazardous substances under CERCLA or hazardous constituents under RCRA, the EPA could have the ability to order the investigation and remediation of those compounds. The EPA could also have the authority to reopen closed sites which are shown to be impacted by these PFAS compounds. This could lead to increased monitoring obligations and potential liability related thereto. If we are unable to maintain sales of our products at a price that reflects such increased costs, or if there is a reduced demand for our products, there could be a material adverse effect on our business, financial condition and results of operations. Many of these climate change and environmental laws and regulations are becoming increasingly stringent, and new or revised laws and regulations or new interpretations of existing laws and regulations, such as those related to climate change and GHG emissions, could affect the operation of our properties or result in significant additional expense and restrictions on our business operations, including as a result of the cost of compliance with these requirements, which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environmental permits, licenses and approvals with terms and conditions containing a significant number of prescriptive limits and performance standards in order to operate. These environmental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environmental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19, “Commitments and Contingencies,” to the consolidated financial statements for additional discussion of environmental matters affecting our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businesses are, and commodity prices are, cyclical and highly volatile, which could have a material adverse effect on our results of operations, financial condition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petroleum business’ financial results are primarily affected by the margin between refined product prices and the prices for crude oil and other feedstocks. Historically, refining margins have been volatile and vary by region,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 Profitability of some of the products, like renewable diesel, are also dependent upon government subsidiaries including carbon and tax credits, which may be reduced or eliminated.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 does not produce crude oil and must purchase all of the crude oil it refines long before it refines it and sells the refined products. Price level changes during the period between purchasing feedstocks and selling the refined products from these feedstocks could have a significant effect on our Energy segment’s financial results and a decline in market prices of these feedstocks and refined products may negatively impact the carrying value of its inventories.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Profitability is also impacted by the ability to purchase crude oil at a discount to benchmark crude oils, such as West Texas Intermediate (“WTI”).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changes to these factors could result in a reduction of the petroleum business’ historical discount to WTI and may result in a reduction of our Energy segment’s cost advantage.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with the U.S. Environmental Protection Agency Renewable Fuel Standard, with respect to our Energy segment, could have a material adverse effect on our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EPA has promulgated the Renewable Fuel Standards (“RFS”), which requires refiners to either blend “renewable fuels,” such as ethanol and biofuel,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or receive exemptions in order to comply with the RFS. The price of RINs became extremely volatile when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petroleum business cannot predict the future prices of RINs. The price of RINs has been extremely volatile in the past.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fluctuates and could be material, if the price for RINs and waiver credits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our Energy segment’s business could be material. If sufficient RINs are unavailable for purchase, if the petroleum business has to pay a significantly higher price for RINs or if the petroleum business is otherwise unable to meet the EPA’s RFS mandates, our Energy segment’s business, financial condition and results of operations could be materially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Commodity derivative contracts, particularly with respect to our Energy segment, may limit our potential gains, exacerbate potential losses and involve other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petroleum business may enter into both short- and long-term commodity derivatives contracts to mitigate crack spread with respect to a portion of its expected refined products production. However, its hedging arrangements, if it is able to procure them, may fail to fully achieve this objective for a variety of reasons, including its failure to have adequate hedging contracts, if any, in effect at any particular time and the failure of its hedging arrangements to produce the anticipated results. Moreover, such transactions may limit its ability to benefit from favorable changes in margins. In addition, the petroleum business’ hedging activities may expose it to the risk of financial loss in certain circumstances, including instances in which: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volumes of its actual use of crude oil or production of the applicable refined products is less than the volumes subject to the hedging arrangement;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accidents, interruptions in transportation, inclement weather or other events cause unscheduled shutdowns or otherwise adversely affect its refinery or suppliers or customers;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counterparties to its futures contracts fail to perform under the contracts; or</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sudden, unexpected event materially impacts the commodity or crack spread subject to the hedging arrangement.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CVR Energy’s risk mitigation strategy and activities could have a material adverse impact on our Energy segment’s financial results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With respect to our Automotive segment, we have invested significant resources in various initiatives to remain competitive and stimulate growth. Despite these efforts, in January 2023, Auto Plus filed the Chapter 11 Cases in Bankruptcy Court. As a result of this filing, the Company has determined that it no longer controls Auto Plus and has deconsolidated its investment in Auto Plus effective as of January 31, 2023 resulting in a non-cash charge of $246 million recorded in the year ended December 31, 2023 and determined that our remaining equity investment in Auto Plus is now worth $0. Such events have had and continue to have a negative impact on the results of operations and balance sheet of our Automotive segment. If we are unable to implement these initiatives efficiently and effectively, or if these initiatives are unsuccessful, our consolidated financial condition, results of operations and cash flows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subsidiaries have operations in foreign countries which expose them to risks related to economic and political conditions, currency fluctuations, import/export restrictions, regulatory and other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global businesses and have manufacturing and distribution facilities in many countries. International operations are subject to certain risks including:</w:t>
      </w:r>
    </w:p>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local economic conditions;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local political conditions (including the risk of seizure of assets by foreign governments);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(including, but not limited to, material exchange rate fluctuations, such as devaluations) and currency controls;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import restrictions;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ability to repatriate foreign earnings;</w:t>
            </w:r>
          </w:p>
        </w:tc>
      </w:tr>
    </w:tbl>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laws such as the Foreign Corrupt Practices Act, and local laws prohibiting inappropriate payments.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likelihood of such occurrences and their potential effect on our businesses are unpredictable and vary from country-to-country.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businesses have substantial indebtedness, which could restrict their business activities and/or could subject them to significant interest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subsidiaries’ indebtedness could: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borrow money for working capital, capital expenditures, debt service requirements or other corporate purposes, guarantee additional debt or issue redeemable, convertible of preferred equity;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make distributions or prepay their debt, incur liens, enter into agreements that restrict distributions from restricted subsidiaries, sell or otherwise dispose of assets (including capital stock of subsidiaries), enter into transactions with affiliates and merge, consolidate or sell substantially all of their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them to dedicate a substantial portion of their cash flow to payments on indebtedness, which would reduce the amount of cash flow available to fund working capital, capital expenditures, product development, and other corporate requirements;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their vulnerability to general adverse economic and industry conditions; and</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respond to business opportunities.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of 2023, Auto Plus filed a voluntary Chapter 11 petition in Bankruptcy Court, pursuant to which it sold substantially all of its assets and has and will continue to use the proceeds to satisfy its obligations to creditors.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of our subsidiaries’ indebtedness accrue interest at variable rates. To the extent market interest rates rise, the cost of their debt would increase, adversely affecting their financial condition, results of operations and cash flows.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 significant labor dispute involving any of our businesses or one or more of their customers or suppliers or that could otherwise affect our operations could adversely affect our financial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businesses are subject to the effects of the following:</w:t>
      </w:r>
    </w:p>
    <w:tbl>
      <w:tblPr>
        <w:tblW w:w="2871" w:type="dxa"/>
        <w:jc w:val="left"/>
        <w:tblInd w:w="0" w:type="dxa"/>
        <w:tblLayout w:type="fixed"/>
        <w:tblCellMar>
          <w:top w:w="28" w:type="dxa"/>
          <w:left w:w="28" w:type="dxa"/>
          <w:bottom w:w="28" w:type="dxa"/>
          <w:right w:w="28" w:type="dxa"/>
        </w:tblCellMar>
      </w:tblPr>
      <w:tblGrid>
        <w:gridCol w:w="124"/>
        <w:gridCol w:w="256"/>
        <w:gridCol w:w="2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terrorism or war;</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or pandemics (or expectations about them);</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of our or our subsidiaries’ key personnel;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as needed, of additional financing;</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inflationary conditions;</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or volatile interest rates;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competition, varying by industry and geographic markets;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of insurance at acceptable rates; and</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not in the ordinary course of business (see Item 3 of Part I, “Legal Proceedings,” of this Report).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need qualified personnel to manage and operate our various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The COVID-19 pandemic had, and any future pandemics may have, a material adverse impact on our and our subsidiaries’ operations and financial performance, as well as on the operations and financial performance of many of the customers and suppliers in our operating segments. We are unable to predict the extent to which future pandemics and related impacts will adversely impact our business operations, financial performance, results of operations, and financial position</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and our subsidiaries’ operations and financial performance were negatively impacted by the COVID-19 pandemic that caused a global slowdown of economic activity, disruptions in global supply chains and significant volatility and disruption of financial markets, and we and our subsidiaries may also be negatively impacted by any future pandemics.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results of operations and financial condition have recently been impacted primarily by the net declines in fair value of investments held by our Investment segment and the Holding Company as well as disruptions or delays in supply chains, increased interest rates, and reduced economic activity with respect to our Energy segment. The impact on our businesses has also included the acceleration of planned store closures in our Automotive segment, which has contributed to the Chapter 11 filing of Auto Plus, lowering forecasts across various segments and recording write-downs to inventories and other assets. In addition, any future pandemic may subject our and our subsidiaries’ operations, financial performance and financial condition to a number of additional operational-related, market-related and liquidity- and funding-related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Future pandemics may also have the effect of heightening many of the other risks described in the risk factors set forth herein. In particular, see the risk factors: “We are a holding company and depend 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extent to which any future pandemic may negatively impact our business and operations will depend on the severity, location, and duration of the effects and spread of such pandemic and the emergence of new variants, the actions undertaken by national, regional, and local governments and health officials to contain such virus or remedy its effects, and if, how quickly and to what extent economic conditions recover and normal business and operating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conditions resume. Further, future pandemics may affect our operating and financial results in a manner that is not presently known to us or that we currently do not expect to present significant risks to our operations or financial results.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 economic conditions may have adverse impacts on our businesses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ongoing conflicts in Ukraine and the Middle East have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increase in inflation could have adverse effects on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Inflation in the United States increased beginning in the second half of 2021 and continued through the first half of 2023, due to a substantial increase in money supply, a stimulative fiscal policy, a significant rebound in consumer demand as COVID-19 restrictions were relaxed, the Russia-Ukraine conflict, increased conflict in the Middle East, and worldwide supply chain disruptions resulting from the economic contraction caused by COVID-19 and lock downs followed by a rapid recovery. While the rate of inflation has decreased in recent months, it has continued at higher levels and an increase in inflation as a result of these or other factors could have a negative impact on our consolidated financial condition,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subsidiaries are subject to cybersecurity and other technological risks that could disrupt our information technology systems and adversely affect our financial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Moreover, cyberattacks are expected to accelerate on a global basis in both frequency and magnitude as threat actors are becoming increasingly sophisticated in using techniques and tools (including artificial intelligence) that circumvent controls, evade detection and even remove forensic evidence of the infiltration.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 Refer to “Item 1C. Cybersecurity” in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Software implementation and upgrades at certain of our subsidiaries may result in complications that adversely impact the timeliness, accuracy and reliability of internal and external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or report timely and accurate financial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Investor and market sentiment towards climate change, fossil fuels, GHG emissions, environmental justice, and other Environmental, Social and Governance (“ESG”) matters could adversely affect our business and cost of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efforts in recent years aimed at the investment community, including investment advisors, sovereign wealth funds, public pension funds, universities, and other groups, to promote the divestment of securities of companies in the energy industry, as well as to pressure lenders and other financial services companies to limit or curtail activities with companies in the energy industry. As a result, some financial intermediaries, investors, and other capital markets participants have reduced or ceased lending to, or investing in, companies that operate in industries with higher perceived environmental exposure, such as the energy industry. If we and our Energy segment are unable to meet the ESG standards or investment, lending, ratings, or other policies set by these parties, we may lose investors, investors may allocate a portion of their capital away from us, our cost of capital may increase, the price of our securities may be negatively impacted and our reputation may also be negatively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pStyle w:val="TextBody"/>
        <w:bidi w:val="0"/>
        <w:spacing w:before="0" w:after="240"/>
        <w:ind w:left="0" w:right="0" w:hanging="0"/>
        <w:jc w:val="left"/>
        <w:rPr>
          <w:rFonts w:ascii="Times New Roman;Times;serif" w:hAnsi="Times New Roman;Times;serif"/>
          <w:b/>
          <w:sz w:val="20"/>
        </w:rPr>
      </w:pPr>
      <w:bookmarkStart w:id="48" w:name="Item1BUnresolvedStaffComments_887340"/>
      <w:bookmarkStart w:id="49" w:name="_91fef8c1_b2e7_4f48_a09f_e97bb6ea2222"/>
      <w:bookmarkEnd w:id="48"/>
      <w:bookmarkEnd w:id="49"/>
      <w:r>
        <w:rPr>
          <w:rFonts w:ascii="Times New Roman;Times;serif" w:hAnsi="Times New Roman;Times;serif"/>
          <w:b/>
          <w:sz w:val="20"/>
        </w:rPr>
        <w:t>Item 1B. 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0" w:name="Item1CCybersecurity_592601"/>
      <w:bookmarkStart w:id="51" w:name="_1ed8bcc6_d52c_4a77_a918_416717351958"/>
      <w:bookmarkEnd w:id="50"/>
      <w:bookmarkEnd w:id="51"/>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Risk Management and Strategy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recognize the critical importance of maintaining the safety and security of our systems and data and have a holistic process for overseeing and managing cybersecurity and related risks. We and our subsidiaries depend on the accuracy, capacity, and security of our information technology systems and those used by our third-party service providers. To protect the confidentiality, integrity, and availability of our critical systems and information, we have developed and implemented a cybersecurity risk management program that includes a cybersecurity incident response plan. Our operating subsidiaries operate and manage on a decentralized basis, and their software is not integrated with each other or with us. Our cybersecurity risk management program covers our businesses and is crafted following frameworks established by the National Institute of Standards and Technology (NIST). While using these frameworks guides our approach to identifying, assessing, and managing cybersecurity risks relevant to our business, it does not imply compliance with any specific technical standards, specifications or requirements. The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In addition, our program emphasizes the maintenance of controls and procedures for the prompt escalation of certain cybersecurity incidents, conducting cybersecurity risk assessments, regularly assessing and deploying technical safeguards, establishing incident response and recovery plans, and mandating annual privacy and cybersecurity training for employees to enhance awareness and response to cybersecurity threats.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maintain that no identified risks from known cybersecurity threats, including as a result of any prior cybersecurity incidents, have materially affected or are reasonably likely to materially affect our operations, business strategy, results of operations,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Governance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of the General Partner, along with the Board’s Audit Committee, oversees the management of cybersecurity risks, receiving regular reports from management on the prevention, detection, mitigation, and remediation of cybersecurity incidents, as well as on material security risks and vulnerabilities. The Audit Committee is updated on cybersecurity risks, risk reduction initiatives, external auditor feedback, control maturity assessments, and relevant cybersecurity incidents within our industry. The Audit Committee reports to the full Board of Directors regarding its activities, including those related to cybersecurity. Board members receive presentations on cybersecurity topics from our Chief Information Officer (CIO), internal security staff or external experts as part of the Board of Directors’ continuing education on topics that impact public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cybersecurity governance committee led by our management team and our CIO with 15 years of experience in cybersecurity and a CISSP certification, bears the primary responsibility for assessing and managing material cybersecurity risks. Regular meetings are held to review security performance metrics, identify security risks, assess the status of security enhancements, and make recommendations on security policies, procedures, service requirements, and risk mitigation strategies.</w:t>
      </w:r>
    </w:p>
    <w:p>
      <w:pPr>
        <w:pStyle w:val="TextBody"/>
        <w:bidi w:val="0"/>
        <w:spacing w:before="0" w:after="240"/>
        <w:ind w:left="0" w:right="0" w:hanging="0"/>
        <w:jc w:val="left"/>
        <w:rPr>
          <w:rFonts w:ascii="Times New Roman;Times;serif" w:hAnsi="Times New Roman;Times;serif"/>
          <w:b/>
          <w:sz w:val="20"/>
        </w:rPr>
      </w:pPr>
      <w:bookmarkStart w:id="52" w:name="Item2Properties_65482"/>
      <w:bookmarkStart w:id="53" w:name="_dc702491_cf76_485a_8940_2c0f1601e1b6"/>
      <w:bookmarkEnd w:id="52"/>
      <w:bookmarkEnd w:id="53"/>
      <w:r>
        <w:rPr>
          <w:rFonts w:ascii="Times New Roman;Times;serif" w:hAnsi="Times New Roman;Times;serif"/>
          <w:b/>
          <w:sz w:val="20"/>
        </w:rPr>
        <w:t>Item 2. 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 and Investment segment lease office space in Sunny Isles Beach, Florida. The principal physical properties at our other operating segments are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Energy’s subsidiaries own and operate an oil refinery as well as office buildings located in each of Coffeyville, Kansas and Wynnewood, Oklahoma. CVR Partners subsidiaries also own and operate a fertilizer plant in each of Coffeyville, Kansas and East Dubuque, Illinois. CVR Energy subsidiaries own crude oil and refined product storage facilities in Kansas and Oklahoma, and CVR Partners subsidiaries own fertilizer storage facilities at their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Coffeyville, Kansas and East Dubuque, Illinois fertilizer plant locations. CVR Energy also leases additional crude oil storage facilities.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segment’s operations include approximately 920 company operated store locations, 744 franchise locations and 27 tire hub and distributions centers throughout the United States. Approximately 80% of the Automotive segment’s facilities are leased and the remainder are owned.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Viskase’s operations include ten manufacturing facilities throughout North America, Europe, South America and Asia.</w:t>
      </w:r>
    </w:p>
    <w:p>
      <w:pPr>
        <w:pStyle w:val="TextBody"/>
        <w:bidi w:val="0"/>
        <w:spacing w:before="0" w:after="240"/>
        <w:ind w:left="0" w:right="0" w:hanging="0"/>
        <w:jc w:val="left"/>
        <w:rPr>
          <w:rFonts w:ascii="Times New Roman;Times;serif" w:hAnsi="Times New Roman;Times;serif"/>
          <w:b/>
          <w:sz w:val="20"/>
        </w:rPr>
      </w:pPr>
      <w:bookmarkStart w:id="54" w:name="Item3LegalProceedings_718175"/>
      <w:bookmarkStart w:id="55" w:name="_2e9b5ca2_5905_4279_b09d_64cbe1cc491a"/>
      <w:bookmarkEnd w:id="54"/>
      <w:bookmarkEnd w:id="55"/>
      <w:r>
        <w:rPr>
          <w:rFonts w:ascii="Times New Roman;Times;serif" w:hAnsi="Times New Roman;Times;serif"/>
          <w:b/>
          <w:sz w:val="20"/>
        </w:rPr>
        <w:t>Item 3.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and will continue to be, subject to litigation from time to time in the ordinary course of our business. We also incorporate by reference into this Item 3 of this Report, the information regarding the lawsuits and proceedings described and referenced in Note 19, “Commitments and Contingencies,” to the consolidated financial statements as set forth in Item 8 of this Report.</w:t>
      </w:r>
    </w:p>
    <w:p>
      <w:pPr>
        <w:pStyle w:val="TextBody"/>
        <w:bidi w:val="0"/>
        <w:spacing w:before="0" w:after="240"/>
        <w:ind w:left="0" w:right="0" w:hanging="0"/>
        <w:jc w:val="left"/>
        <w:rPr>
          <w:rFonts w:ascii="Times New Roman;Times;serif" w:hAnsi="Times New Roman;Times;serif"/>
          <w:b/>
          <w:sz w:val="20"/>
        </w:rPr>
      </w:pPr>
      <w:bookmarkStart w:id="56" w:name="Item4MineSafetyDisclosures_184198"/>
      <w:bookmarkStart w:id="57" w:name="_77c92ff2_64af_4385_992e_3bac14bfc8f1"/>
      <w:bookmarkEnd w:id="56"/>
      <w:bookmarkEnd w:id="57"/>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0"/>
        <w:ind w:left="0" w:right="0" w:hanging="0"/>
        <w:jc w:val="center"/>
        <w:rPr>
          <w:rFonts w:ascii="Times New Roman;Times;serif" w:hAnsi="Times New Roman;Times;serif"/>
          <w:b/>
          <w:sz w:val="20"/>
        </w:rPr>
      </w:pPr>
      <w:bookmarkStart w:id="58" w:name="PARTII_623845"/>
      <w:bookmarkStart w:id="59" w:name="_37c2d172_f9ee_44b2_a28c_d1b6a0f1a1eb"/>
      <w:bookmarkEnd w:id="58"/>
      <w:bookmarkEnd w:id="59"/>
      <w:r>
        <w:rPr>
          <w:rFonts w:ascii="Times New Roman;Times;serif" w:hAnsi="Times New Roman;Times;serif"/>
          <w:b/>
          <w:sz w:val="20"/>
        </w:rPr>
        <w:t>PART II</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0" w:name="Item5MarketforRegistrantsCommonEquityRel"/>
      <w:bookmarkEnd w:id="60"/>
      <w:r>
        <w:rPr>
          <w:rFonts w:ascii="Times New Roman;Times;serif" w:hAnsi="Times New Roman;Times;serif"/>
          <w:b/>
          <w:sz w:val="20"/>
        </w:rPr>
        <w:t>Item 5. Market for Registrant’s Common Equity, Related Security Holder Matters and Issuer Purchases of Equity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depositary units are traded on the Nasdaq Global Select Market under the symbol “IEP.”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Record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there were approximately 1,800 record holders of Icahn Enterprises’ depositary units including multiple beneficial holders at depositories, banks and brokers listed as a single record holder in the street name of each respective depository, bank or broker.</w:t>
      </w:r>
    </w:p>
    <w:p>
      <w:pPr>
        <w:pStyle w:val="TextBody"/>
        <w:bidi w:val="0"/>
        <w:spacing w:before="0" w:after="240"/>
        <w:ind w:left="0" w:right="0" w:hanging="0"/>
        <w:jc w:val="left"/>
        <w:rPr>
          <w:rFonts w:ascii="Times New Roman;Times;serif" w:hAnsi="Times New Roman;Times;serif"/>
          <w:b/>
          <w:sz w:val="20"/>
        </w:rPr>
      </w:pPr>
      <w:bookmarkStart w:id="61" w:name="Item6SelectedFinancialData"/>
      <w:bookmarkStart w:id="62" w:name="_c3f0327e_a203_4a93_9ba3_473b1103759c"/>
      <w:bookmarkEnd w:id="61"/>
      <w:bookmarkEnd w:id="62"/>
      <w:r>
        <w:rPr>
          <w:rFonts w:ascii="Times New Roman;Times;serif" w:hAnsi="Times New Roman;Times;serif"/>
          <w:b/>
          <w:sz w:val="20"/>
        </w:rPr>
        <w:t>Item 6. Reserved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3" w:name="Item7ManagementsDiscussionandAnalysisofF"/>
      <w:bookmarkStart w:id="64" w:name="_b997f388_9da3_4ec4_8949_08ba21603a09"/>
      <w:bookmarkEnd w:id="63"/>
      <w:bookmarkEnd w:id="64"/>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w:t>
      </w:r>
      <w:r>
        <w:rPr>
          <w:rFonts w:ascii="Times New Roman;Times;serif" w:hAnsi="Times New Roman;Times;serif"/>
          <w:color w:val="231F20"/>
          <w:sz w:val="20"/>
        </w:rPr>
        <w:t xml:space="preserve">Investment, Energy, Automotive, Food Packaging, Real Estate, Home Fashion and Pharma. In addition, we operated our Metals segment until sold in December 2021. </w:t>
      </w:r>
      <w:r>
        <w:rPr>
          <w:rFonts w:ascii="Times New Roman;Times;serif" w:hAnsi="Times New Roman;Times;serif"/>
          <w:sz w:val="20"/>
        </w:rPr>
        <w:t>We also report the results of our Holding Company, which includes the results of certain subsidiaries of Icahn Enterprises (unless otherwise noted), and investment activity and expenses associated with our Holding Company. References to “we,” “our ,”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2023, representing an aggregate 1.99% general partner interest in Icahn Enterprises Holdings and us. Mr. Icahn and his affiliates owned approximately 86% of Icahn Enterprises’ outstanding depositary units as of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Transactions and Developments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Subsidiary Bankruptcy and Deconsolidation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31, 2023, a subsidiary of Icahn Automotive Group LLC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As a result of this filing, the Company determined that it no longer controls Auto Plus under the criteria set out in Statement of Financial Accounting Standards ASC Topic 810, “Consolidation” and deconsolidated its investment effective the date of the filing. As a result of Auto Plus’ bankruptcy, the Company recorded a non-cash charge of $246 million in the year ended December 31, 2023. We collected cash for the repayment of the note receivable of $48 million during the year ended December 31, 2023. We estimated our cash to be collected for the repayment of the note receivable to be $11 million at December 31, 2023, resulting in a write-off of $127 million during the year ended December 31, 2023.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Debt Repurchase, Issuance and Discharge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November and December of 2023, we repurchased in the open market approximately </w:t>
      </w:r>
      <w:r>
        <w:rPr>
          <w:rFonts w:ascii="TimesNRMTPro" w:hAnsi="TimesNRMTPro"/>
          <w:sz w:val="20"/>
        </w:rPr>
        <w:t>$35 million aggregate principal amount of our 4.750% senior unsecured notes due 2024 which the Company then cancelled and reduced the outstanding principal, $12 million aggregate principal amount of our 6.25% senior unsecured notes due 2026, $5 million aggregate principal amount of our 5.25% senior unsecured notes due 2027, and $40 million aggregate principal amount of our 4.375% senior unsecured notes due 2029 for total cash paid of $84 million for a total aggregate principal amount $92 million. The remaining repurchased notes of $57 million aggregate principal were extinguished but were not retired and are held in treasury.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2023, Icahn Enterprises and Icahn Enterprises Finance Corp. issued $700 million in aggregate principal amount of 9.750% senior unsecured notes due 2029. The net proceeds, together with $376 million of cash and cash equivalents on hand, was used to satisfy and discharge the remaining outstanding 4.750% senior unsecured notes due 2024, along with any accrued interest associated with the notes and related fees and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15, “Segment and Geographic Reporting,” to the consolidated financial statements for a reconciliation of each of our reporting segment’s results of continuing operations to our consolidated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Throughout 2021 and continuing in 2022, the COVID-19 pandemic, and actions taken by governments and others in response thereto, negatively impacted the global economy, financial markets, and certain of the industries in which our subsidiaries operate. Our consolidated results of operations and financial condition were impacted primarily by the volatility in the fair value of investments held by our Investment segment and the Holding Company as well as volatility in the global demand for refined products, especially gasoline and diesel fuels, with respect to our Energy segment. The impact on our businesses also included the acceleration of selective planned store closures in our Automotive segment and recording write-downs to inventories. The economic conditions improved in 2021 and 2022 as more governments reduced restrictions and more businesses resumed operations, although supply chain issues have continued to persist. Recent interest rate increases have increased the costs of borrowing.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war between Israel and Hamas, which began in October 2023,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inventory tightening and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comparability of our summarized consolidated financial results presented below is affected primarily by (i) the performance of the Investment Funds (as defined below), (ii) the results of operations of our Energy segment, impacted by the demand and pricing for its products, (iii) the sale of PSC Metals in 2021 and (iv) the deconsolidation of Auto Plus within our Automotive segment. Refer to our respective segment discussions and “Other Consolidated Results of Operations” below for further discussion.</w:t>
      </w:r>
    </w:p>
    <w:tbl>
      <w:tblPr>
        <w:tblW w:w="11158" w:type="dxa"/>
        <w:jc w:val="left"/>
        <w:tblInd w:w="0" w:type="dxa"/>
        <w:tblLayout w:type="fixed"/>
        <w:tblCellMar>
          <w:top w:w="0" w:type="dxa"/>
          <w:left w:w="0" w:type="dxa"/>
          <w:bottom w:w="0" w:type="dxa"/>
          <w:right w:w="0" w:type="dxa"/>
        </w:tblCellMar>
      </w:tblPr>
      <w:tblGrid>
        <w:gridCol w:w="1216"/>
        <w:gridCol w:w="326"/>
        <w:gridCol w:w="211"/>
        <w:gridCol w:w="676"/>
        <w:gridCol w:w="326"/>
        <w:gridCol w:w="211"/>
        <w:gridCol w:w="676"/>
        <w:gridCol w:w="326"/>
        <w:gridCol w:w="211"/>
        <w:gridCol w:w="676"/>
        <w:gridCol w:w="326"/>
        <w:gridCol w:w="211"/>
        <w:gridCol w:w="631"/>
        <w:gridCol w:w="326"/>
        <w:gridCol w:w="211"/>
        <w:gridCol w:w="481"/>
        <w:gridCol w:w="326"/>
        <w:gridCol w:w="211"/>
        <w:gridCol w:w="481"/>
        <w:gridCol w:w="326"/>
        <w:gridCol w:w="211"/>
        <w:gridCol w:w="481"/>
        <w:gridCol w:w="326"/>
        <w:gridCol w:w="211"/>
        <w:gridCol w:w="481"/>
        <w:gridCol w:w="326"/>
        <w:gridCol w:w="211"/>
        <w:gridCol w:w="52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72160" cy="175260"/>
                      <wp:effectExtent l="0" t="0" r="0" b="0"/>
                      <wp:wrapNone/>
                      <wp:docPr id="9" name="Frame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29260" cy="175260"/>
                      <wp:effectExtent l="0" t="0" r="0" b="0"/>
                      <wp:wrapNone/>
                      <wp:docPr id="12" name="Frame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29260" cy="175260"/>
                      <wp:effectExtent l="0" t="0" r="0" b="0"/>
                      <wp:wrapNone/>
                      <wp:docPr id="15"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00685" cy="175260"/>
                      <wp:effectExtent l="0" t="0" r="0" b="0"/>
                      <wp:wrapNone/>
                      <wp:docPr id="21" name="Frame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05435" cy="175260"/>
                      <wp:effectExtent l="0" t="0" r="0" b="0"/>
                      <wp:wrapNone/>
                      <wp:docPr id="24" name="Frame2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05435" cy="175260"/>
                      <wp:effectExtent l="0" t="0" r="0" b="0"/>
                      <wp:wrapNone/>
                      <wp:docPr id="27" name="Frame2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05435" cy="175260"/>
                      <wp:effectExtent l="0" t="0" r="0" b="0"/>
                      <wp:wrapNone/>
                      <wp:docPr id="30" name="Frame3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05435" cy="175260"/>
                      <wp:effectExtent l="0" t="0" r="0" b="0"/>
                      <wp:wrapNone/>
                      <wp:docPr id="33" name="Frame3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34010" cy="175260"/>
                      <wp:effectExtent l="0" t="0" r="0" b="0"/>
                      <wp:wrapNone/>
                      <wp:docPr id="36" name="Frame3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7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Income (Loss) From</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7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Continuing Operations</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7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Income (Loss) From</w:t>
            </w:r>
          </w:p>
        </w:tc>
        <w:tc>
          <w:tcPr>
            <w:tcW w:w="326" w:type="dxa"/>
            <w:tcBorders/>
            <w:vAlign w:val="center"/>
          </w:tcPr>
          <w:p>
            <w:pPr>
              <w:pStyle w:val="TableContents"/>
              <w:bidi w:val="0"/>
              <w:spacing w:before="0" w:after="0"/>
              <w:ind w:left="0" w:right="0" w:hanging="0"/>
              <w:jc w:val="left"/>
              <w:rPr/>
            </w:pPr>
            <w:r>
              <w:rPr/>
              <w:t>​</w:t>
            </w:r>
          </w:p>
        </w:tc>
        <w:tc>
          <w:tcPr>
            <w:tcW w:w="277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Attributable to Icahn</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w:t>
            </w:r>
          </w:p>
        </w:tc>
        <w:tc>
          <w:tcPr>
            <w:tcW w:w="28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Continuing Operations</w:t>
            </w:r>
          </w:p>
        </w:tc>
        <w:tc>
          <w:tcPr>
            <w:tcW w:w="326" w:type="dxa"/>
            <w:tcBorders/>
            <w:vAlign w:val="center"/>
          </w:tcPr>
          <w:p>
            <w:pPr>
              <w:pStyle w:val="TableContents"/>
              <w:bidi w:val="0"/>
              <w:spacing w:before="0" w:after="0"/>
              <w:ind w:left="0" w:right="0" w:hanging="0"/>
              <w:jc w:val="left"/>
              <w:rPr/>
            </w:pPr>
            <w:r>
              <w:rPr/>
              <w:t>​</w:t>
            </w:r>
          </w:p>
        </w:tc>
        <w:tc>
          <w:tcPr>
            <w:tcW w:w="2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Enterprises</w:t>
            </w:r>
            <w:r>
              <w:rPr>
                <w:rFonts w:ascii="Times New Roman;Times;serif" w:hAnsi="Times New Roman;Times;serif"/>
                <w:sz w:val="20"/>
              </w:rPr>
              <w:t>  </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26" w:type="dxa"/>
            <w:tcBorders/>
            <w:vAlign w:val="center"/>
          </w:tcPr>
          <w:p>
            <w:pPr>
              <w:pStyle w:val="TableContents"/>
              <w:bidi w:val="0"/>
              <w:spacing w:before="0" w:after="0"/>
              <w:ind w:left="0" w:right="0" w:hanging="0"/>
              <w:jc w:val="left"/>
              <w:rPr/>
            </w:pPr>
            <w:r>
              <w:rPr/>
              <w:t>​</w:t>
            </w:r>
          </w:p>
        </w:tc>
        <w:tc>
          <w:tcPr>
            <w:tcW w:w="28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26" w:type="dxa"/>
            <w:tcBorders/>
            <w:vAlign w:val="center"/>
          </w:tcPr>
          <w:p>
            <w:pPr>
              <w:pStyle w:val="TableContents"/>
              <w:bidi w:val="0"/>
              <w:spacing w:before="0" w:after="0"/>
              <w:ind w:left="0" w:right="0" w:hanging="0"/>
              <w:jc w:val="left"/>
              <w:rPr/>
            </w:pPr>
            <w:r>
              <w:rPr/>
              <w:t>​</w:t>
            </w:r>
          </w:p>
        </w:tc>
        <w:tc>
          <w:tcPr>
            <w:tcW w:w="2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11158"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6" w:type="dxa"/>
            <w:gridSpan w:val="2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12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Metals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rFonts w:ascii="Times New Roman;Times;serif" w:hAnsi="Times New Roman;Times;serif"/>
          <w:sz w:val="20"/>
        </w:rPr>
        <w:t xml:space="preserve">Management’s Discussion and Analysis of Results of Operations discusses the comparisons between the years ended December 31, 2023 and 2022. Certain discussions of results of operations for the comparisons between the years ended December 31, 2022 and 2021 are not included in this Report. Refer to “Management’s Discussion and Analysis of Financial Condition and Results of Operations” in </w:t>
      </w:r>
      <w:hyperlink r:id="rId2">
        <w:r>
          <w:rPr>
            <w:rStyle w:val="InternetLink"/>
            <w:rFonts w:ascii="Times New Roman;Times;serif" w:hAnsi="Times New Roman;Times;serif"/>
            <w:b w:val="false"/>
            <w:i w:val="false"/>
            <w:caps w:val="false"/>
            <w:smallCaps w:val="false"/>
            <w:sz w:val="20"/>
          </w:rPr>
          <w:t>Item 7 of our Annual Report on Form 10-K for the fiscal year ended December 31, 2022, filed on</w:t>
        </w:r>
      </w:hyperlink>
      <w:r>
        <w:rPr>
          <w:rFonts w:ascii="Times New Roman;Times;serif" w:hAnsi="Times New Roman;Times;serif"/>
          <w:sz w:val="20"/>
        </w:rPr>
        <w:t xml:space="preserve"> February 24, 2023, which is incorporated by reference herein, for such discussions.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invest our proprietary capital through various private investment funds (the “Investment Funds”). As of December 31, 2023 and 2022, we had investments with a fair market value of approximately $3.2 billion and $4.2 billion, respectively, in the Investment Funds. As of December 31, 2023 and 2022, the total fair market value of investments in the Investment Funds made by Mr. Icahn and his affiliates (excluding us and Brett Icahn) was approximately $2.1 billion and $4.9 billion, respectively. During the year ended December 31, 2023, Mr. Icahn and his affiliates (excluding us and Brett Icahn) redeemed $2.0 billion from the Investment Funds. In addition, in December 2023, the Investment Funds issued a pro-rata distribution of $400 million, including $158 million to Mr. Icahn and his affiliates (excluding us and Brett Icahn) and $242 million to the Holding Company. As of December 31, 2023, Mr. Icahn and his affiliates have pledged approximately $1.3 billion of interests in the Investment Funds.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years ended December 31, 2023, 2022 and 2021, our Investment Funds’ returns were (16.9)%, (2.4)%, and (0.3)%, respectively. Our Investment Funds’ returns represent a weighted-average composite of the average returns, net of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performance attribution for the Investment Funds’ returns:</w:t>
      </w:r>
    </w:p>
    <w:tbl>
      <w:tblPr>
        <w:tblW w:w="4413" w:type="dxa"/>
        <w:jc w:val="left"/>
        <w:tblInd w:w="0" w:type="dxa"/>
        <w:tblLayout w:type="fixed"/>
        <w:tblCellMar>
          <w:top w:w="0" w:type="dxa"/>
          <w:left w:w="0" w:type="dxa"/>
          <w:bottom w:w="0" w:type="dxa"/>
          <w:right w:w="0" w:type="dxa"/>
        </w:tblCellMar>
      </w:tblPr>
      <w:tblGrid>
        <w:gridCol w:w="1351"/>
        <w:gridCol w:w="326"/>
        <w:gridCol w:w="586"/>
        <w:gridCol w:w="361"/>
        <w:gridCol w:w="526"/>
        <w:gridCol w:w="361"/>
        <w:gridCol w:w="586"/>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857885" cy="175260"/>
                      <wp:effectExtent l="0" t="0" r="0" b="0"/>
                      <wp:wrapNone/>
                      <wp:docPr id="37" name="Frame3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72110" cy="175260"/>
                      <wp:effectExtent l="0" t="0" r="0" b="0"/>
                      <wp:wrapNone/>
                      <wp:docPr id="39" name="Frame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29235" cy="175260"/>
                      <wp:effectExtent l="0" t="0" r="0" b="0"/>
                      <wp:wrapNone/>
                      <wp:docPr id="40" name="Frame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34010" cy="175260"/>
                      <wp:effectExtent l="0" t="0" r="0" b="0"/>
                      <wp:wrapNone/>
                      <wp:docPr id="41" name="Frame4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29235" cy="175260"/>
                      <wp:effectExtent l="0" t="0" r="0" b="0"/>
                      <wp:wrapNone/>
                      <wp:docPr id="42" name="Frame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72110" cy="175260"/>
                      <wp:effectExtent l="0" t="0" r="0" b="0"/>
                      <wp:wrapNone/>
                      <wp:docPr id="43" name="Frame4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0660" cy="175260"/>
                      <wp:effectExtent l="0" t="0" r="0" b="0"/>
                      <wp:wrapNone/>
                      <wp:docPr id="44"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1" w:type="dxa"/>
            <w:tcBorders/>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net (loss) for our Investment segment:</w:t>
      </w:r>
    </w:p>
    <w:tbl>
      <w:tblPr>
        <w:tblW w:w="4930" w:type="dxa"/>
        <w:jc w:val="left"/>
        <w:tblInd w:w="0" w:type="dxa"/>
        <w:tblLayout w:type="fixed"/>
        <w:tblCellMar>
          <w:top w:w="0" w:type="dxa"/>
          <w:left w:w="0" w:type="dxa"/>
          <w:bottom w:w="0" w:type="dxa"/>
          <w:right w:w="0" w:type="dxa"/>
        </w:tblCellMar>
      </w:tblPr>
      <w:tblGrid>
        <w:gridCol w:w="1351"/>
        <w:gridCol w:w="326"/>
        <w:gridCol w:w="211"/>
        <w:gridCol w:w="691"/>
        <w:gridCol w:w="326"/>
        <w:gridCol w:w="211"/>
        <w:gridCol w:w="541"/>
        <w:gridCol w:w="326"/>
        <w:gridCol w:w="211"/>
        <w:gridCol w:w="73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57885" cy="175260"/>
                      <wp:effectExtent l="0" t="0" r="0" b="0"/>
                      <wp:wrapNone/>
                      <wp:docPr id="45" name="Frame4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43535" cy="175260"/>
                      <wp:effectExtent l="0" t="0" r="0" b="0"/>
                      <wp:wrapNone/>
                      <wp:docPr id="51" name="Frame5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7360" cy="175260"/>
                      <wp:effectExtent l="0" t="0" r="0" b="0"/>
                      <wp:wrapNone/>
                      <wp:docPr id="54" name="Frame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493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year ended December 31, 2023, the Investment Funds’ negative performance </w:t>
      </w:r>
      <w:r>
        <w:rPr>
          <w:rFonts w:ascii="Times New Roman;Times;serif" w:hAnsi="Times New Roman;Times;serif"/>
          <w:sz w:val="20"/>
          <w:shd w:fill="FFFFFF" w:val="clear"/>
        </w:rPr>
        <w:t xml:space="preserve">was driven by net losses in both our short and long positions. The negative performance of our Investment segment’s short positions was driven primarily by losses from a broad market hedge of $704 million, the negative performance of certain credit default swap positions totaling $188 million, losses from two energy and industrial segment investments aggregating $172 million and $124 million, respectively, and the aggregate performance of short positions with net losses across various sectors of $167 million. The negative performance of our Investment segment’s long positions was driven primarily by the negative performance of one healthcare investment of $164 million, one communications investment of $116 million and one material sector investment of $100 million, offset in part by the aggregate performance of investments with net gains of $81 million across various sectors.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2022, the Investment Funds’ negative performance was driven by net losses in long positions and short positions. The negative performance of long positions was primarily driven by the negative performance of a healthcare investment of approximately $1.3 billion and the aggregate performance of investments with net losses across various sectors of $1.0 billion, offset in part by gains from two energy sector investments aggregating $2.0 billion. The negative performance of our Investment segment’s short positions was driven by the negative performance of certain credit default swap positions of $742 million and an energy sector hedge totaling $420 million offset in part by gains from a broad market hedge totaling $1.0 billion.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is primarily engaged in the petroleum refining and nitrogen fertilizer manufacturing businesses. The petroleum business accounted for approximately 93%, 92% and 93% of our Energy segment’s net sales for the years ended December 31, 2023, 2022 and 2021,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partially influenced by the rate at which the processing of refined products adjusts to reflect these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recent market conditions, such as the war between Israel and Hamas and the impact of the Russia/Ukraine conflict, there are long-term factors that may impact the demand for refined products. These factors include mandated renewable fuels standards, proposed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the price at which RINs can be purchased, transportation fuel and renewable diesel production levels and pricing, the mix of the petroleum business’ petroleum products, the refining margin of the petroleum business and other factors, ,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19, “Commitments and Contingencies,” to the consolidated financial statements for further discussion of RINs. The costs to comply with the RFS (excluding the impacts of any exemptions or waivers to which the petroleum business’ obligated-party subsidiaries may be entitled) increased significantly throughout 2022, remained significant in 2023 and is expected to remain significant through 2024 and beyond.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April 2022, our Energy segment completed a renewable diesel project at one of its refineries, which converted the refinery’s hydrocracker to a renewable diesel unit (“RDU”) capable of producing up to 100 million gallons of renewable diesel per year at a total cost of $179 million. The renewable diesel facility produces renewable diesel and has a nameplate capacity of approximately 7,500 barrels per day. Further, the conversion enables our Energy segment to capture additional benefits associated with the existing blenders’ tax credit that is currently set to expire at the end of 2024 and low carbon fuel standard programs in states such as California. In addition, our Energy segment’s renewable feedstock pretreater was mechanically completed in the fourth quarter of 2023, at a cost of approximately $94 million. These collective renewable efforts could reduce our Energy segment’s RFS exposure. However, impacts from recent climate change initiatives under the Biden Administration, actions taken by the courts, resulting administration actions under the RFS, and market conditions could significantly impact the amount by which our Energy segment’s renewables business could mitigate our costs to comply with the RFS, if at all.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Energy segment’s net sales, cost of goods sold and gross profit:</w:t>
      </w:r>
    </w:p>
    <w:tbl>
      <w:tblPr>
        <w:tblW w:w="5110" w:type="dxa"/>
        <w:jc w:val="left"/>
        <w:tblInd w:w="0" w:type="dxa"/>
        <w:tblLayout w:type="fixed"/>
        <w:tblCellMar>
          <w:top w:w="0" w:type="dxa"/>
          <w:left w:w="0" w:type="dxa"/>
          <w:bottom w:w="0" w:type="dxa"/>
          <w:right w:w="0" w:type="dxa"/>
        </w:tblCellMar>
      </w:tblPr>
      <w:tblGrid>
        <w:gridCol w:w="1636"/>
        <w:gridCol w:w="326"/>
        <w:gridCol w:w="211"/>
        <w:gridCol w:w="571"/>
        <w:gridCol w:w="326"/>
        <w:gridCol w:w="211"/>
        <w:gridCol w:w="676"/>
        <w:gridCol w:w="326"/>
        <w:gridCol w:w="211"/>
        <w:gridCol w:w="61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038860" cy="175260"/>
                      <wp:effectExtent l="0" t="0" r="0" b="0"/>
                      <wp:wrapNone/>
                      <wp:docPr id="55" name="Frame5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2585" cy="175260"/>
                      <wp:effectExtent l="0" t="0" r="0" b="0"/>
                      <wp:wrapNone/>
                      <wp:docPr id="58" name="Frame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91160" cy="175260"/>
                      <wp:effectExtent l="0" t="0" r="0" b="0"/>
                      <wp:wrapNone/>
                      <wp:docPr id="64" name="Frame6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51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8"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7,242</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7,069</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our Energy segment decreased by approximately $1.6 billion (15%) for the year ended December 31, 2023 as compared to the comparable prior year period due to a decrease in our petroleum business’ net sales by approximately $1.5 billion, as well as a decrease in our nitrogen fertilizer business’ net sales by $155 million over the comparable period. The decrease in the petroleum business’ net sales was primarily due to lower refined product prices resulting from declining demand and increased inventory levels in the current period. In addition, the onset of the Russia/Ukraine war disrupted global energy markets in the prior period causing increased prices and tighter inventory levels resulting in higher sales in the prior period. Our nitrogen fertilizer business’ net sales decreased primarily due to a decrease in UAN and ammonia pricing conditions primarily due to lower natural gas prices and increased global supply of nitrogen fertilizers in the current year, offset in part by increased sales volumes, which were primarily attributable to increased production at both fertilizer facilities due to operating reliability, strong customer demand in the Fall and a draw in inventories of UAN and ammonia.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for our Energy segment decreased by approximately $1.8 billion (18%) for the year ended December 31, 2023 as compared to the comparable prior year period. The variance was primarily due to a lower crude oil price environment reducing feedstock costs and a decline in RFS expense which includes a favorable RINs liability revaluation of $419 million which was driven by a decline in RINs prices and an increase in RINs generated from ethanol and biodiesel blending. Gross profit for our Energy segment improved by $143 million for the year ended December 31, 2023 as compared to the comparable prior year period. Gross margin as a percentage of net sales was 13% and 10% for the year ended December 31, 2023 and 2022, respectively. The improvement in gross margin was primarily attributable to the petroleum business, and was a result of the decline in RFS expense and favorable derivative impacts, offset by lower crack spreads and unfavorable inventory valuation.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results of operations are generally driven by the demand for automotive service and maintenance, which is impacted by general economic factors, vehicle miles traveled, and the average age of vehicles on the road, among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has been in the process of a multi-year transformation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has reduced our Automotive segment’s assets, reduced the sales of our Automotive segment in the year ended December 31, 2023, and will result in lower net sales from our Automotive segment in future periods. Our results of operations for the year ended December 31, 2023 include the results of Auto Plus prior to its January 31, 2023 bankruptcy 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segment’s results include AEP PLC LLC (“AEP PLC”), which acquired $10 million in assets, mainly comprised of Aftermarket Parts inventory from the Auto Plus auction.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priorities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Positioning the Automotive Services business to take advantage of opportunities in the do-it-for-me market and vehicle fleets;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inventory management and distribution network;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and strategic review of, capital projects within Icahn Automotive’s owned and leased locations to increase leasing revenue, restructure lease liabilities, and reduce occupancy costs;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investment in brownfield and greenfield supplementing existing store footprints;</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customer experience initiatives and selective upgrades in facilities;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employees with focus on training and career development; and</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process improvements, including investments in our supply chain and information technology capabilities.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 </w:t>
      </w:r>
    </w:p>
    <w:tbl>
      <w:tblPr>
        <w:tblW w:w="7915" w:type="dxa"/>
        <w:jc w:val="left"/>
        <w:tblInd w:w="0" w:type="dxa"/>
        <w:tblLayout w:type="fixed"/>
        <w:tblCellMar>
          <w:top w:w="0" w:type="dxa"/>
          <w:left w:w="0" w:type="dxa"/>
          <w:bottom w:w="0" w:type="dxa"/>
          <w:right w:w="0" w:type="dxa"/>
        </w:tblCellMar>
      </w:tblPr>
      <w:tblGrid>
        <w:gridCol w:w="4546"/>
        <w:gridCol w:w="326"/>
        <w:gridCol w:w="211"/>
        <w:gridCol w:w="571"/>
        <w:gridCol w:w="326"/>
        <w:gridCol w:w="211"/>
        <w:gridCol w:w="571"/>
        <w:gridCol w:w="326"/>
        <w:gridCol w:w="211"/>
        <w:gridCol w:w="61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886710" cy="175260"/>
                      <wp:effectExtent l="0" t="0" r="0" b="0"/>
                      <wp:wrapNone/>
                      <wp:docPr id="65" name="Frame65"/>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62585" cy="175260"/>
                      <wp:effectExtent l="0" t="0" r="0" b="0"/>
                      <wp:wrapNone/>
                      <wp:docPr id="68" name="Frame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1160" cy="175260"/>
                      <wp:effectExtent l="0" t="0" r="0" b="0"/>
                      <wp:wrapNone/>
                      <wp:docPr id="74" name="Frame7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791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and other revenue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and other expenses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580</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sales and other revenues from operations for our Automotive segment for the year ended December 31, 2023 decreased by $664 million (28%) as compared to the comparable prior year period. The decrease was attributable to a decrease in Aftermarket Parts sales of $660 million (83%), as well as a decrease in Automotive Services revenue of $4 million (0%). The decrease in Aftermarket Part sales was primarily due to the deconsolidation of Auto Plus as of January 31, 2023. The decrease in Automotive Services revenues was driven by lower car counts primarily from closed stores.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and other expenses from operations for the year ended December 31, 2023 decreased by $533 million (31%) as compared to the comparable prior year period. The decrease was primarily driven by decreased Aftermarket Parts sales of $660 million, primarily related to the deconsolidation of Auto Plus. Gross profit on net sales and other revenue from operations for the year ended December 31, 2023 decreased by $131 million (21%) as compared to the comparable prior year period. Gross profit as a percentage of net sales and other revenue from operations was 29% and 26% for the years ended December 31, 2023 and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2023 increased $15 million (3%) as compared to the comparable prior year period. The increase was due to an increase of $39 million in price and product mix and $3 million due to favorable effects of foreign exchange rates, offset by a decrease of $27 million due to lower volume. Cost of goods sold for the year ended December 31, 2023 decreased by $5 million (1%) as compared to the comparable prior year period due to lower absorption of manufacturing costs resulting from lower sales volume. Gross margin as a percentage of net sales was 21% and 17% for the year ended December 31, 2023 and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consists of investment properties which includes land, retail, office and industrial properties leased to corporate tenants, the development and sale of single-family homes, and the operations of a resort and two country clubs.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year ended December 31, 2023 was primarily derived from the sale of residential units and rental operations. Revenue from our real estate operations for the year ended December 31, 2022 was primarily derived from the sale of single-family homes.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2023 increased by $8 million (13%) as compared to the comparable prior year period. The increase was primarily due to higher net sales of single-family homes of $5 million and the sale of an investment property of $17 million in the current period, offset in part by the sale of an investment property of $14 million in the prior period. Cost of goods sold for the year ended December 31, 2023 increased $8 million (20%) compared to the prior year period primarily due to the sale of an investment property which had a cost basis of $11 million. Gross margin as a percentage of net sales was 30% and 34% for the years ended December 31, 2023 and 2022,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year ended December 31, 2023 increased by $16 million (28%) as compared to the comparable prior year period primarily due to a lease termination fee of $5 million on an investment property during the year ended December 31, 2023. Other expenses from operations for the year ended December 31, 2023 increased $7 million (13%) compared to the comparable prior year period primarily due to higher expenses related to a lease default that occurred at an investment property in the year ended December 31,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Home Fashion segment is significantly influenced by the overall economic environment, including consumer spending, at the retail level, for home textile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2023 decreased by $42 million (19%) compared to the comparable prior year period mostly due to normalized demand for our hospitality business in 2023 compared to a post pandemic related increase in demand in 2022 and a one-time textile award for the 2022 FIFA World Cup. Retail sales have decreased as the soft home category has slowed, retailers have trimmed inventory and some retail customers have filed for bankruptcy. Cost of goods sold for the year ended December 31, 2023 decreased $48 million (26%) compared to the comparable prior year period mostly due to lower hospitality and retail sales along with lower material and freight costs. Gross margin as a percentage of net sales was 21% and 14% for the years ended December 31, 2023 and 2022, respectively.</w:t>
      </w:r>
      <w:r>
        <w:rPr>
          <w:rFonts w:ascii="Times New Roman;Times;serif" w:hAnsi="Times New Roman;Times;serif"/>
          <w:sz w:val="20"/>
          <w:shd w:fill="FFFF00" w:val="clear"/>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Pharma segment derives revenues primarily from the sale of its products directly to customers, wholesalers and pharmacies.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2023 increased by $27 million (41%) compared to the comparable prior year period primarily due to higher prescription growth resulting in increased sales. Cost of goods sold for the year ended December 31, 2023 increased $8 million (17%) compared to the comparable prior year period due to increased sales. Gross margin as a percentage of net sales was 40% and 27% for the years ended December 31, 2023 and 2022, respectively.</w:t>
      </w:r>
      <w:r>
        <w:rPr>
          <w:rFonts w:ascii="Times New Roman;Times;serif" w:hAnsi="Times New Roman;Times;serif"/>
          <w:sz w:val="20"/>
          <w:shd w:fill="FFFF00" w:val="clear"/>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Company’s results of operations primarily reflect the loss on deconsolidation of one of its subsidiaries, credit loss on its related party note receivable, and net interest expense on its senior unsecured notes for each of the years ended December 31, 2023 and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Consolidated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on deconsolidation of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discussed in Note 3, “Subsidiary Bankruptcy and Deconsolidation”, to the consolidated financial statements, we deconsolidated Auto Plus effective as of January 31, 2023, resulting in a pretax loss on deconsolidation of subsidiary of $246 million during the year ended December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loss on related party note receivable</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Our credit loss on related party note receivable of $139 million for the year ended December 31, 2023 relates to the related party note receivable expected to be uncollectible.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year ended December 31, 2023 decreased by $398 million (32%) as compared to the comparable prior year period primarily due to lower expenses of $402 million at our Automotive segment mainly related to the deconsolidation of Auto Plus, partially offset by higher expenses at the Holding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Refer to Note 11, “Goodwill and Intangible Assets, Net,” to the consolidated financial statements for a discussion of impairments of assets, which were not significant.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interest expense during the year ended December 31, 2023 decreased by $14 million (2%) as compared to the comparable prior year period. The decrease was primarily due to lower interest expense from our Investment segment due to a reduction in short credit exposure.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16, “Income Taxes,” to the consolidated financial statements for a discussion of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in accordance with FASB ASC Topic 740, </w:t>
      </w:r>
      <w:r>
        <w:rPr>
          <w:rFonts w:ascii="Times New Roman;Times;serif" w:hAnsi="Times New Roman;Times;serif"/>
          <w:i/>
          <w:sz w:val="20"/>
        </w:rPr>
        <w:t>Income Taxes</w:t>
      </w:r>
      <w:r>
        <w:rPr>
          <w:rFonts w:ascii="Times New Roman;Times;serif" w:hAnsi="Times New Roman;Times;serif"/>
          <w:sz w:val="20"/>
        </w:rPr>
        <w:t>, we analyze all positive and negative evidence and maintain a valuation allowance on deferred tax assets that are not considered more likely than not to be realized.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our Holding Company had cash and cash equivalents of approximately $1.6 billion and total debt of approximately $4.8 billion. As of December 31, 2023, our Holding Company had investments in the Investment Funds with a total fair market value of approximately $3.2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Borrowings and Availability</w:t>
      </w:r>
    </w:p>
    <w:tbl>
      <w:tblPr>
        <w:tblW w:w="5772" w:type="dxa"/>
        <w:jc w:val="left"/>
        <w:tblInd w:w="0" w:type="dxa"/>
        <w:tblLayout w:type="fixed"/>
        <w:tblCellMar>
          <w:top w:w="0" w:type="dxa"/>
          <w:left w:w="0" w:type="dxa"/>
          <w:bottom w:w="0" w:type="dxa"/>
          <w:right w:w="0" w:type="dxa"/>
        </w:tblCellMar>
      </w:tblPr>
      <w:tblGrid>
        <w:gridCol w:w="3451"/>
        <w:gridCol w:w="326"/>
        <w:gridCol w:w="211"/>
        <w:gridCol w:w="571"/>
        <w:gridCol w:w="326"/>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1385" cy="175260"/>
                      <wp:effectExtent l="0" t="0" r="0" b="0"/>
                      <wp:wrapNone/>
                      <wp:docPr id="75" name="Frame7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8" name="Frame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9260" cy="175260"/>
                      <wp:effectExtent l="0" t="0" r="0" b="0"/>
                      <wp:wrapNone/>
                      <wp:docPr id="81" name="Frame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7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4.750% senior unsecured notes due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6.375% senior unsecured notes due 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unsecured notes due 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unsecured notes due 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unsecured notes due 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unsecured notes due 2029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5,309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November and December of 2023, we repurchased in the open market approximately </w:t>
      </w:r>
      <w:r>
        <w:rPr>
          <w:rFonts w:ascii="TimesNRMTPro" w:hAnsi="TimesNRMTPro"/>
          <w:sz w:val="20"/>
        </w:rPr>
        <w:t xml:space="preserve">$35 million aggregate principal amount of our 4.750% senior unsecured notes due 2024 which the Company then cancelled and reduced the outstanding principal, $12 million aggregate principal amount of our 6.25% senior unsecured notes due 2026, $5 million aggregate principal amount of our 5.25% senior unsecured notes due 2027, and $40 million aggregate principal amount of our 4.375% senior unsecured notes due 2029 for total cash paid of $84 million for a total aggregate principal amount of $92 million. </w:t>
      </w:r>
      <w:r>
        <w:rPr>
          <w:rFonts w:ascii="Times New Roman;Times;serif" w:hAnsi="Times New Roman;Times;serif"/>
          <w:sz w:val="20"/>
        </w:rPr>
        <w:t xml:space="preserve">The remaining repurchased notes of $57 million aggregate principal were extinguished but were not retired and are held in treasury.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Issuers issued $700 million in aggregate principal amount of 9.750% senior unsecured notes due 2029. The net proceeds, together with $376 million of cash and cash equivalents on hand, was used to satisfy and discharge the remaining outstanding 4.750% senior unsecured notes due 2024, along with any accrued interest, related fees and expenses.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2022, we redeemed all of our $500 million in aggregate principal amount of 6.750% senior unsecured notes due 2024 at par.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the 6.375% senior unsecured notes due 2025, the 6.250% senior unsecured notes due 2026 and the 9.750% senior unsecured notes due 2029 are subject to optional redemption premiums in the event we redeem any of the notes prior to certain dates as described in the indentures.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and 2022, we were in compliance with all covenants, including maintaining certain minimum financial ratios, as defined in the indentures. Additionally, as of December 31, 2023, based on covenants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indentures governing our senior unsecured notes, we are not permitted to incur additional indebtedness; however, we are permitted to issue new notes in connection with debt refinancings of existing notes.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Debt Service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payments on our Holding Company’s senior unsecured notes will be approximately $271 million for 2024, $301 million for 2025, $214 million for 2026, $137 million for 2027 and an aggregate of $149 million for 2028 through 2029.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2019, Icahn Enterprises entered into an Open Market Sale Agreement for the sale of depositary units, from time to time, for up to $400 million in aggregate sale proceeds, under its ongoing “at-the-market” offering. This agreement has been subsequently terminated and superseded by subsequent agreements with substantially the same terms. During the year ended December 31, 2023, Icahn Enterprises sold 3,395,353 depositary units pursuant to its current agreement, resulting in gross proceeds of $175 million. During the year ended December 31, 2022, Icahn Enterprises sold 14,619,272 depository units pursuant to its current agreement, resulting in gross proceeds of $759 million. As of December 31, 2023, we continue to have an Open Market Sale Agreement and Icahn Enterprises may sell its depositary units for up to an additional $149 million in aggregate gross sale proceeds pursuant to this agreement. No assurance can be made that any or all amounts will be sold during the term of this agreement, and we have no obligation to sell additional depositary units under this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depositary units during the year ended December 31, 2023 (all of which were completed during the three months ended March 31, 2023), there can be no assurance that any future capital will be available on acceptable terms or at all under this program.</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LP 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2023, we declared four quarterly distributions aggregating $6.00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were $301 million, of which $70 million was distributed to Mr. Icahn and his affiliates.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26, 2024, the Board of Directors of the general partner of Icahn Enterprises declared a quarterly distribution in the amount of $1.00 per depositary unit, which will be paid on or about April 18, 2024 to depositary unitholders of record at the close of business on March 11, 2024. Depositary unitholders will have until April 5,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12, 2024. Icahn Enterprises will make a cash payment in lieu of issuing fractional depositary units to any unitholders electing to receive (or who are deemed to have elected to receive) depositary units.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restrictions, including certain restrictions on our subsidiaries which limit their ability to distribute dividends to us. There can be no assurance as to whether or in what amounts any future distributions might be paid.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December 31, 2023, the Company has not repurchased any of the Company’s depositary units and the Company has repurchased $92 million worth of senior notes in the aggregate under the Repurchase Program, of which $57 million are held in treasury and $35 million was cancelled.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Partial Sale of Interests in Consolidated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2023, we decreased our ownership in CVR Energy through the sale of common stock resulting in proceeds of $158 million, and as of December 31, 2023, we owned approximately 66% of the total outstanding common stock of CVR Energy, compared to 71% as of December 31, 2022.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Captive Insurance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 2023, we established a captive insurance program to supplement the insurance coverage of the officers, directors, employees and agents of the Company, its subsidiaries and our general partner, in addition to our newly established commercial insurance program. As a result, our cash available to our Holding Company decreased by $100 million as these assets were transferred to restricted cash. Whenever the captive insurance program is cancelled, any remaining assets will become available to the Holding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 of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2023, the Holding Company did not sell any investments. During 2022, we received proceeds of $153 million from the sale of equity investments held by the Holding Company.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Segment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investments by us and Mr. Icahn, the Investment Funds historically have access to significant amounts of cash available from prime brokerage lines of credit, subject to customary terms and 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our Investment segment liquidity is driven by the investment activities and performance of the Investment Funds. As of December 31, 2023, the Investment Funds had a net short notional exposure of 36%. The Investment Funds’ long exposure was 89% (84% long equity and 5% long credit) and its short exposure was 125% (106% short equity, 11% short credit and 8% short commodity). The notional exposure represents the ratio of the notional exposure of the Investment Funds’ invested capital to the net asset value of the Investment Funds at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Of the Investment Funds’ 89% long exposure, 54% was comprised of the fair value of its long positions (with certain adjustments) and 35% was comprised mostly of single name equity forward and swap contracts and an option contract. Of the Investment Funds’ 125% short exposure, 65% was comprised of the fair value of its short positions and 60% was comprised mostly of short broad market index swap derivative contracts, short credit default swap contracts and short commodity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both our long positions that are not notionalized (54% long exposure) and our short positions that are not notionalized (65%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the notional value of our other short positions (60%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our bearish view on the market shifted which has impacted and may continue to impact our net short position accordingly, which can be offset by exiting certain long positions and market performance.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2023, Mr. Icahn and his affiliates (excluding us and Brett Icahn) redeemed $2.0 billion from his personal interests in the Investment Funds included in the Investment segment. As of December 31, 2023 and 2022, the total fair market value of investments in the Investment Funds owned by the Company was approximately $3.2 billion and $4.2 billion, respectively, representing approximately 60% and 46% of the Investment Funds’ assets under management as of each respective date. In addition, in December 2023, the Investment Funds issued a pro-rata distribution of $400 million, including $158 million to Mr. Icahn and his affiliates (excluding us and Brett Icahn) and $242 million to the Holding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cash and cash equivalents (excluding our Investment segment) consists of the following:</w:t>
      </w:r>
    </w:p>
    <w:tbl>
      <w:tblPr>
        <w:tblW w:w="3612" w:type="dxa"/>
        <w:jc w:val="left"/>
        <w:tblInd w:w="0" w:type="dxa"/>
        <w:tblLayout w:type="fixed"/>
        <w:tblCellMar>
          <w:top w:w="0" w:type="dxa"/>
          <w:left w:w="0" w:type="dxa"/>
          <w:bottom w:w="0" w:type="dxa"/>
          <w:right w:w="0" w:type="dxa"/>
        </w:tblCellMar>
      </w:tblPr>
      <w:tblGrid>
        <w:gridCol w:w="1441"/>
        <w:gridCol w:w="326"/>
        <w:gridCol w:w="211"/>
        <w:gridCol w:w="571"/>
        <w:gridCol w:w="326"/>
        <w:gridCol w:w="211"/>
        <w:gridCol w:w="52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15035" cy="175260"/>
                      <wp:effectExtent l="0" t="0" r="0" b="0"/>
                      <wp:wrapNone/>
                      <wp:docPr id="82" name="Frame8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62585" cy="175260"/>
                      <wp:effectExtent l="0" t="0" r="0" b="0"/>
                      <wp:wrapNone/>
                      <wp:docPr id="85" name="Frame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34010" cy="175260"/>
                      <wp:effectExtent l="0" t="0" r="0" b="0"/>
                      <wp:wrapNone/>
                      <wp:docPr id="88" name="Frame8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61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our Energy segment’s cash and cash equivalents includes $598 million of reserved funds to be utilized for the repayment of the 5.250% senior unsecured notes due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debt consists of the following:</w:t>
      </w:r>
    </w:p>
    <w:tbl>
      <w:tblPr>
        <w:tblW w:w="3762" w:type="dxa"/>
        <w:jc w:val="left"/>
        <w:tblInd w:w="0" w:type="dxa"/>
        <w:tblLayout w:type="fixed"/>
        <w:tblCellMar>
          <w:top w:w="0" w:type="dxa"/>
          <w:left w:w="0" w:type="dxa"/>
          <w:bottom w:w="0" w:type="dxa"/>
          <w:right w:w="0" w:type="dxa"/>
        </w:tblCellMar>
      </w:tblPr>
      <w:tblGrid>
        <w:gridCol w:w="1441"/>
        <w:gridCol w:w="326"/>
        <w:gridCol w:w="211"/>
        <w:gridCol w:w="571"/>
        <w:gridCol w:w="326"/>
        <w:gridCol w:w="211"/>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15035" cy="175260"/>
                      <wp:effectExtent l="0" t="0" r="0" b="0"/>
                      <wp:wrapNone/>
                      <wp:docPr id="89" name="Frame8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62585" cy="175260"/>
                      <wp:effectExtent l="0" t="0" r="0" b="0"/>
                      <wp:wrapNone/>
                      <wp:docPr id="92" name="Frame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76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1,787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CVR Energy issued $600 million in aggregate principal amount of 8.500% senior unsecured notes due 2029.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2024, CVR Energy redeemed all outstanding 5.250% senior unsecured notes due 2025, at par. As a result of this transaction, CVR Energy will recognize a $1 million loss on extinguishment of debt in the first quarter of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all of our subsidiaries were in compliance with all debt 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segments have additional borrowing availability under certain revolving credit facilities as summarized below:</w:t>
      </w:r>
    </w:p>
    <w:tbl>
      <w:tblPr>
        <w:tblW w:w="3117" w:type="dxa"/>
        <w:jc w:val="left"/>
        <w:tblInd w:w="0" w:type="dxa"/>
        <w:tblLayout w:type="fixed"/>
        <w:tblCellMar>
          <w:top w:w="0" w:type="dxa"/>
          <w:left w:w="0" w:type="dxa"/>
          <w:bottom w:w="0" w:type="dxa"/>
          <w:right w:w="0" w:type="dxa"/>
        </w:tblCellMar>
      </w:tblPr>
      <w:tblGrid>
        <w:gridCol w:w="1441"/>
        <w:gridCol w:w="326"/>
        <w:gridCol w:w="386"/>
        <w:gridCol w:w="964"/>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15035" cy="175260"/>
                      <wp:effectExtent l="0" t="0" r="0" b="0"/>
                      <wp:wrapNone/>
                      <wp:docPr id="96" name="Frame9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5110" cy="175260"/>
                      <wp:effectExtent l="0" t="0" r="0" b="0"/>
                      <wp:wrapNone/>
                      <wp:docPr id="98" name="Frame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12140" cy="175260"/>
                      <wp:effectExtent l="0" t="0" r="0" b="0"/>
                      <wp:wrapNone/>
                      <wp:docPr id="99" name="Frame9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1"/>
              <w:ind w:left="0" w:right="0" w:hanging="0"/>
              <w:jc w:val="left"/>
              <w:rPr/>
            </w:pPr>
            <w:r>
              <w:rPr/>
              <w:t> </w:t>
            </w:r>
          </w:p>
        </w:tc>
        <w:tc>
          <w:tcPr>
            <w:tcW w:w="386"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321</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and 2022, total availability under CVR Energy ABL and CVR Partners variable rate asset based revolving credit facilities aggregated $288 million and $287 million, respectively. CVR Energy ABL also had $26 million and $23 million of letters of credit outstanding as of December 31, 2023 and December 31, 2022,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distributions, loans and other transactions. See Note 13, “Debt,” to the consolidated financial statements for further discussion regarding our segment debt, including information relating to maturities, interest rates and borrowing availabilities.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Debt Service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Future debt service obligations for our other operating segments are primarily within our Energy segment.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After giving effect to certain debt activity in February 2024, as discussed above, our Energy segment’s future debt maturities (excluding financing leases) are $950 million for 2028 and $600 million for 2029. Future interest payments for our Energy segment are expected to be approximately $113 million for 2024, $108 to $109 million for each of 2025, 2026, and 2027, $64 million for 2028 and $13 million for 2029.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Subsidiary Distributions and 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2023, our Investment segment paid a pro-rata distribution of $400 million, which included $242 million in cash received by the Company in connection with its portion.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2023, our Energy segment paid four quarterly distributions aggregating $2.00 per share. Our portion of the dividend aggregated to $140 million. In addition, in the third and fourth quarters of 2023, our Energy segment paid a special dividend aggregating $2.50 per share, which included $171 million in cash for our portion. Furthermore, during the year ended December 31, 2023, our Energy segment had aggregate distributions of $319 million to non-controlling interests, of which $178 million are distributions paid by CVR Partners to its public unit holders.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Subsequent to December 31, 2023, our Energy segment declared a dividend of $0.50 per share, which is payable March 11, 2024 to shareholders of record as of March 4, 2024. Our portion of the dividend is estimated to be $33 million in cash.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Subsidiary 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23, 2019, the Board of Directors of CVR Energy authorized a stock repurchase program, which would have enabled it to repurchase up to $300 million of its common stock. As of December 31, 2023, CVR Energy did not repurchase any common stock, and such program expired, in accordance with its terms, on October 22,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2023, CVR Partners did not repurchase any common units. During 2022, CVR Partners repurchased common units on the open market at a cost of $12 million. As of December 31, 2023, CVR Partners had a nominal amount remaining under its unit repurchase program. On February 20, 2024, the UAN GP Board, on behalf of CVR Partners, terminated the nominal authority remaining under the unit repurchase program.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Future purchase obligations for our other operating segments are primarily within our Energy and Pharma segments, as discussed in Note 19, “Commitments and Contingencies,” to the consolidated financial statements.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cash flow information for Icahn Enterprises’ reporting segments and our Holding Company:</w:t>
      </w:r>
    </w:p>
    <w:tbl>
      <w:tblPr>
        <w:tblW w:w="11926" w:type="dxa"/>
        <w:jc w:val="left"/>
        <w:tblInd w:w="0" w:type="dxa"/>
        <w:tblLayout w:type="fixed"/>
        <w:tblCellMar>
          <w:top w:w="0" w:type="dxa"/>
          <w:left w:w="0" w:type="dxa"/>
          <w:bottom w:w="0" w:type="dxa"/>
          <w:right w:w="0" w:type="dxa"/>
        </w:tblCellMar>
      </w:tblPr>
      <w:tblGrid>
        <w:gridCol w:w="1216"/>
        <w:gridCol w:w="326"/>
        <w:gridCol w:w="230"/>
        <w:gridCol w:w="626"/>
        <w:gridCol w:w="326"/>
        <w:gridCol w:w="237"/>
        <w:gridCol w:w="544"/>
        <w:gridCol w:w="326"/>
        <w:gridCol w:w="211"/>
        <w:gridCol w:w="631"/>
        <w:gridCol w:w="326"/>
        <w:gridCol w:w="230"/>
        <w:gridCol w:w="626"/>
        <w:gridCol w:w="326"/>
        <w:gridCol w:w="237"/>
        <w:gridCol w:w="544"/>
        <w:gridCol w:w="326"/>
        <w:gridCol w:w="251"/>
        <w:gridCol w:w="575"/>
        <w:gridCol w:w="326"/>
        <w:gridCol w:w="261"/>
        <w:gridCol w:w="595"/>
        <w:gridCol w:w="326"/>
        <w:gridCol w:w="237"/>
        <w:gridCol w:w="544"/>
        <w:gridCol w:w="326"/>
        <w:gridCol w:w="251"/>
        <w:gridCol w:w="575"/>
        <w:gridCol w:w="371"/>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72160" cy="175260"/>
                      <wp:effectExtent l="0" t="0" r="0" b="0"/>
                      <wp:wrapNone/>
                      <wp:docPr id="100" name="Frame10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6050" cy="175260"/>
                      <wp:effectExtent l="0" t="0" r="0" b="0"/>
                      <wp:wrapNone/>
                      <wp:docPr id="102" name="Frame10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97510" cy="175260"/>
                      <wp:effectExtent l="0" t="0" r="0" b="0"/>
                      <wp:wrapNone/>
                      <wp:docPr id="103" name="Frame10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0495" cy="175260"/>
                      <wp:effectExtent l="0" t="0" r="0" b="0"/>
                      <wp:wrapNone/>
                      <wp:docPr id="105" name="Frame10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45440" cy="175260"/>
                      <wp:effectExtent l="0" t="0" r="0" b="0"/>
                      <wp:wrapNone/>
                      <wp:docPr id="106" name="Frame106"/>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00685" cy="175260"/>
                      <wp:effectExtent l="0" t="0" r="0" b="0"/>
                      <wp:wrapNone/>
                      <wp:docPr id="109" name="Frame10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6050" cy="175260"/>
                      <wp:effectExtent l="0" t="0" r="0" b="0"/>
                      <wp:wrapNone/>
                      <wp:docPr id="111" name="Frame11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97510" cy="175260"/>
                      <wp:effectExtent l="0" t="0" r="0" b="0"/>
                      <wp:wrapNone/>
                      <wp:docPr id="112" name="Frame112"/>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0495" cy="175260"/>
                      <wp:effectExtent l="0" t="0" r="0" b="0"/>
                      <wp:wrapNone/>
                      <wp:docPr id="114" name="Frame11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45440" cy="175260"/>
                      <wp:effectExtent l="0" t="0" r="0" b="0"/>
                      <wp:wrapNone/>
                      <wp:docPr id="115" name="Frame115"/>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9385" cy="175260"/>
                      <wp:effectExtent l="0" t="0" r="0" b="0"/>
                      <wp:wrapNone/>
                      <wp:docPr id="117" name="Frame11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5125" cy="175260"/>
                      <wp:effectExtent l="0" t="0" r="0" b="0"/>
                      <wp:wrapNone/>
                      <wp:docPr id="118" name="Frame118"/>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5735" cy="175260"/>
                      <wp:effectExtent l="0" t="0" r="0" b="0"/>
                      <wp:wrapNone/>
                      <wp:docPr id="120" name="Frame12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77825" cy="175260"/>
                      <wp:effectExtent l="0" t="0" r="0" b="0"/>
                      <wp:wrapNone/>
                      <wp:docPr id="121" name="Frame12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0495" cy="175260"/>
                      <wp:effectExtent l="0" t="0" r="0" b="0"/>
                      <wp:wrapNone/>
                      <wp:docPr id="123" name="Frame12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45440" cy="175260"/>
                      <wp:effectExtent l="0" t="0" r="0" b="0"/>
                      <wp:wrapNone/>
                      <wp:docPr id="124" name="Frame124"/>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9385" cy="175260"/>
                      <wp:effectExtent l="0" t="0" r="0" b="0"/>
                      <wp:wrapNone/>
                      <wp:docPr id="126" name="Frame12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65125" cy="175260"/>
                      <wp:effectExtent l="0" t="0" r="0" b="0"/>
                      <wp:wrapNone/>
                      <wp:docPr id="127" name="Frame127"/>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5585" cy="175260"/>
                      <wp:effectExtent l="0" t="0" r="0" b="0"/>
                      <wp:wrapNone/>
                      <wp:docPr id="128" name="Frame12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2022</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c>
          <w:tcPr>
            <w:tcW w:w="371" w:type="dxa"/>
            <w:tcBorders/>
            <w:vAlign w:val="center"/>
          </w:tcPr>
          <w:p>
            <w:pPr>
              <w:pStyle w:val="TableContents"/>
              <w:bidi w:val="0"/>
              <w:spacing w:before="0" w:after="1"/>
              <w:ind w:left="0" w:right="0" w:hanging="0"/>
              <w:jc w:val="center"/>
              <w:rPr/>
            </w:pPr>
            <w:r>
              <w:rPr/>
              <w:t>    </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71" w:type="dxa"/>
            <w:tcBorders/>
            <w:vAlign w:val="center"/>
          </w:tcPr>
          <w:p>
            <w:pPr>
              <w:pStyle w:val="TableContents"/>
              <w:bidi w:val="0"/>
              <w:spacing w:before="0" w:after="1"/>
              <w:ind w:left="0" w:right="0" w:hanging="0"/>
              <w:jc w:val="center"/>
              <w:rPr/>
            </w:pPr>
            <w:r>
              <w:rPr/>
              <w:t>    </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71" w:type="dxa"/>
            <w:tcBorders/>
            <w:vAlign w:val="center"/>
          </w:tcPr>
          <w:p>
            <w:pPr>
              <w:pStyle w:val="TableContents"/>
              <w:bidi w:val="0"/>
              <w:spacing w:before="0" w:after="1"/>
              <w:ind w:left="0" w:right="0" w:hanging="0"/>
              <w:jc w:val="center"/>
              <w:rPr/>
            </w:pPr>
            <w:r>
              <w:rPr/>
              <w:t>    </w:t>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71" w:type="dxa"/>
            <w:tcBorders/>
            <w:vAlign w:val="center"/>
          </w:tcPr>
          <w:p>
            <w:pPr>
              <w:pStyle w:val="TableContents"/>
              <w:bidi w:val="0"/>
              <w:spacing w:before="0" w:after="1"/>
              <w:ind w:left="0" w:right="0" w:hanging="0"/>
              <w:jc w:val="center"/>
              <w:rPr/>
            </w:pPr>
            <w:r>
              <w:rPr/>
              <w:t> </w:t>
            </w:r>
          </w:p>
        </w:tc>
      </w:tr>
      <w:tr>
        <w:trPr/>
        <w:tc>
          <w:tcPr>
            <w:tcW w:w="11926" w:type="dxa"/>
            <w:gridSpan w:val="29"/>
            <w:tcBorders/>
            <w:vAlign w:val="center"/>
          </w:tcPr>
          <w:p>
            <w:pPr>
              <w:pStyle w:val="TableContents"/>
              <w:bidi w:val="0"/>
              <w:spacing w:before="0" w:after="283"/>
              <w:ind w:left="0" w:right="0" w:hanging="0"/>
              <w:jc w:val="left"/>
              <w:rPr>
                <w:sz w:val="4"/>
                <w:szCs w:val="4"/>
              </w:rPr>
            </w:pPr>
            <w:r>
              <w:rPr>
                <w:sz w:val="4"/>
                <w:szCs w:val="4"/>
              </w:rPr>
            </w:r>
          </w:p>
        </w:tc>
      </w:tr>
      <w:tr>
        <w:trPr/>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13" w:type="dxa"/>
            <w:gridSpan w:val="26"/>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71" w:type="dxa"/>
            <w:tcBorders/>
            <w:vAlign w:val="center"/>
          </w:tcPr>
          <w:p>
            <w:pPr>
              <w:pStyle w:val="TableContents"/>
              <w:bidi w:val="0"/>
              <w:spacing w:before="0" w:after="1"/>
              <w:ind w:left="0" w:right="0" w:hanging="0"/>
              <w:jc w:val="center"/>
              <w:rPr/>
            </w:pPr>
            <w:r>
              <w:rPr/>
              <w:t> </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Metals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before eliminations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7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rFonts w:ascii="Times New Roman;Times;serif" w:hAnsi="Times New Roman;Times;serif"/>
          <w:sz w:val="20"/>
        </w:rPr>
        <w:t xml:space="preserve">The discussion of consolidated cash flows below primarily discusses the comparisons between the years ended December 31, 2023 and 2022. Refer to “Management’s Discussion and Analysis of Financial Condition and Results of Operations” in </w:t>
      </w:r>
      <w:hyperlink r:id="rId3">
        <w:r>
          <w:rPr>
            <w:rStyle w:val="InternetLink"/>
            <w:rFonts w:ascii="Times New Roman;Times;serif" w:hAnsi="Times New Roman;Times;serif"/>
            <w:b w:val="false"/>
            <w:i w:val="false"/>
            <w:caps w:val="false"/>
            <w:smallCaps w:val="false"/>
            <w:sz w:val="20"/>
          </w:rPr>
          <w:t>Item 7 of our Annual Report on Form 10-K for the fiscal year ended December 31, 2022 filed on</w:t>
        </w:r>
      </w:hyperlink>
      <w:r>
        <w:rPr>
          <w:rFonts w:ascii="Times New Roman;Times;serif" w:hAnsi="Times New Roman;Times;serif"/>
          <w:sz w:val="20"/>
        </w:rPr>
        <w:t xml:space="preserve"> February 24, 2023, which is incorporated by reference herein, for additional discussion of consolidated cash flows for the comparisons between the years ended December 31, 2022 and 2021.</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Eliminations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w:t>
      </w:r>
    </w:p>
    <w:tbl>
      <w:tblPr>
        <w:tblW w:w="10205" w:type="dxa"/>
        <w:jc w:val="left"/>
        <w:tblInd w:w="0" w:type="dxa"/>
        <w:tblLayout w:type="fixed"/>
        <w:tblCellMar>
          <w:top w:w="0" w:type="dxa"/>
          <w:left w:w="0" w:type="dxa"/>
          <w:bottom w:w="0" w:type="dxa"/>
          <w:right w:w="0" w:type="dxa"/>
        </w:tblCellMar>
      </w:tblPr>
      <w:tblGrid>
        <w:gridCol w:w="6664"/>
        <w:gridCol w:w="326"/>
        <w:gridCol w:w="211"/>
        <w:gridCol w:w="678"/>
        <w:gridCol w:w="326"/>
        <w:gridCol w:w="211"/>
        <w:gridCol w:w="528"/>
        <w:gridCol w:w="326"/>
        <w:gridCol w:w="211"/>
        <w:gridCol w:w="724"/>
      </w:tblGrid>
      <w:tr>
        <w:trPr/>
        <w:tc>
          <w:tcPr>
            <w:tcW w:w="6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31640" cy="175260"/>
                      <wp:effectExtent l="0" t="0" r="0" b="0"/>
                      <wp:wrapNone/>
                      <wp:docPr id="129" name="Frame129"/>
                      <a:graphic xmlns:a="http://schemas.openxmlformats.org/drawingml/2006/main">
                        <a:graphicData uri="http://schemas.microsoft.com/office/word/2010/wordprocessingShape">
                          <wps:wsp>
                            <wps:cNvSpPr txBox="1"/>
                            <wps:spPr>
                              <a:xfrm>
                                <a:off x="0" y="0"/>
                                <a:ext cx="423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0530" cy="175260"/>
                      <wp:effectExtent l="0" t="0" r="0" b="0"/>
                      <wp:wrapNone/>
                      <wp:docPr id="132" name="Frame132"/>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35280" cy="175260"/>
                      <wp:effectExtent l="0" t="0" r="0" b="0"/>
                      <wp:wrapNone/>
                      <wp:docPr id="135" name="Frame135"/>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59740" cy="175260"/>
                      <wp:effectExtent l="0" t="0" r="0" b="0"/>
                      <wp:wrapNone/>
                      <wp:docPr id="138" name="Frame138"/>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Year Ended December 31,</w:t>
            </w:r>
          </w:p>
        </w:tc>
      </w:tr>
      <w:tr>
        <w:trPr/>
        <w:tc>
          <w:tcPr>
            <w:tcW w:w="6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2022</w:t>
            </w:r>
          </w:p>
        </w:tc>
        <w:tc>
          <w:tcPr>
            <w:tcW w:w="326" w:type="dxa"/>
            <w:tcBorders/>
            <w:vAlign w:val="center"/>
          </w:tcPr>
          <w:p>
            <w:pPr>
              <w:pStyle w:val="TableContents"/>
              <w:bidi w:val="0"/>
              <w:spacing w:before="0" w:after="1"/>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5"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pPr>
            <w:r>
              <w:rPr/>
              <w:t>  </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on senior unsecured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income taxes, net of receipts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pPr>
            <w:r>
              <w:rPr/>
              <w:t>—</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pPr>
            <w:r>
              <w:rPr/>
              <w:t>  </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sale of consolidated businesses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from the Investment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pPr>
            <w:r>
              <w:rPr/>
              <w:t>—</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segments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investments held at the Holding Company segment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 receivable repayments and disbursements,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pPr>
            <w:r>
              <w:rPr/>
              <w:t>—</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activities,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pPr>
            <w:r>
              <w:rPr/>
              <w:t>  </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pPr>
            <w:r>
              <w:rPr/>
              <w:t>—</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partial sale of interests in consolidated subsidiaries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pPr>
            <w:r>
              <w:rPr/>
              <w:t>—</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Holding Company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r>
      <w:tr>
        <w:trPr/>
        <w:tc>
          <w:tcPr>
            <w:tcW w:w="6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and repurchases of Holding Company senior unsecured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6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843</w:t>
            </w:r>
          </w:p>
        </w:tc>
      </w:tr>
    </w:tbl>
    <w:p>
      <w:pPr>
        <w:pStyle w:val="TextBody"/>
        <w:bidi w:val="0"/>
        <w:spacing w:before="0" w:after="240"/>
        <w:ind w:left="0" w:right="0" w:hanging="0"/>
        <w:jc w:val="left"/>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7315" cy="175260"/>
                      <wp:effectExtent l="0" t="0" r="0" b="0"/>
                      <wp:wrapNone/>
                      <wp:docPr id="139" name="Frame139"/>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decrease in interest payments during 2023 compared to 2022 was primarily due to the redemption of $500 million of senior unsecured notes in February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Proceeds from the sale of consolidated businesses include proceeds from the sale of PSC Metals in 2021.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Distributions paid from the Investment Funds include a pro-rata distribution paid, which includes payment to the Holding Company, and are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from operating segments is made up of dividends, distributions, and intercompany loans that are eliminated in consolidation. During 2023, this includes cash dividends received from CVR Energy of $311 million, cash distributions received from our Real Estate segment of $64 million and repayments of intercompany loans received from our Pharma segment of $10 million. During 2022, this includes cash dividends received from CVR of $342 million and cash distributions received from our Real Estate segment of $25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to operating segments is made up of contributions and intercompany loans to our operating segments that are eliminated in consolidation. Changes in cash to operating segments were mainly attributable to cash paid to our Real Estate and Automotive segment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Proceeds from the sale of investments include proceeds from the sale of equity investments in 2022 and 2021.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to operating segments are eliminated in consolidation. Changes in cash to operating segments was mainly attributable for cash paid to our Automotive and Real Estate segments for each year presented.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Proceeds from the sale of investments include proceeds from the sale of equity investments in 2022 and 2021.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Partnership contributions represent sales in connection with our “at-the-market” offerings pursuant to our Open Market Sale Agreements entered into May 2019, as discussed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Proceeds from the partial sale of interests in consolidated subsidiaries include proceeds related to the sale of CVR common stock in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Partnership distributions represent cash paid to depositary unitholders in connection with our regularly quarterly distributions. In the fourth quarter of 2023, Mr. Icahn and his affiliates elected to receive their distribution in a combination of cash and additional depositary units. For distributions declared for all other quarters in 2023, 2022 and 2021, Mr. Icahn and his affiliates elected to receive their distributions in additional depositary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2023, proceeds from Holding Company senior unsecured notes include the issuance of $700 million aggregate principal amount of 9.750% senior unsecured notes due 2029.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Repayments of Holding Company senior unsecured notes include the satisfaction and discharge of the 4.750% senior unsecured notes due 2024 and repurchases of treasury notes.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from operating activities for the comparable periods were attributable to its net investment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cash flows used in financing activities for the year ended December 31, 2023 were mainly attributable to redemptions paid to Mr. Icahn and his affiliates (excluding us and Brett Icahn) of $2.0 billion. In addition, in December 2023, our Investment segment distributed a pro-rata distribution of $400 million. For the year ended December 31, 2022, our Investment segment had net cash provided by financing activities of $14 million, as a result of contributions from Brett Icahn in accordance with his manager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Operating Segments</w:t>
      </w:r>
    </w:p>
    <w:tbl>
      <w:tblPr>
        <w:tblW w:w="10205" w:type="dxa"/>
        <w:jc w:val="left"/>
        <w:tblInd w:w="0" w:type="dxa"/>
        <w:tblLayout w:type="fixed"/>
        <w:tblCellMar>
          <w:top w:w="0" w:type="dxa"/>
          <w:left w:w="0" w:type="dxa"/>
          <w:bottom w:w="0" w:type="dxa"/>
          <w:right w:w="0" w:type="dxa"/>
        </w:tblCellMar>
      </w:tblPr>
      <w:tblGrid>
        <w:gridCol w:w="6782"/>
        <w:gridCol w:w="326"/>
        <w:gridCol w:w="211"/>
        <w:gridCol w:w="571"/>
        <w:gridCol w:w="326"/>
        <w:gridCol w:w="211"/>
        <w:gridCol w:w="522"/>
        <w:gridCol w:w="326"/>
        <w:gridCol w:w="211"/>
        <w:gridCol w:w="719"/>
      </w:tblGrid>
      <w:tr>
        <w:trPr/>
        <w:tc>
          <w:tcPr>
            <w:tcW w:w="6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06570" cy="175260"/>
                      <wp:effectExtent l="0" t="0" r="0" b="0"/>
                      <wp:wrapNone/>
                      <wp:docPr id="140" name="Frame140"/>
                      <a:graphic xmlns:a="http://schemas.openxmlformats.org/drawingml/2006/main">
                        <a:graphicData uri="http://schemas.microsoft.com/office/word/2010/wordprocessingShape">
                          <wps:wsp>
                            <wps:cNvSpPr txBox="1"/>
                            <wps:spPr>
                              <a:xfrm>
                                <a:off x="0" y="0"/>
                                <a:ext cx="430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2585" cy="175260"/>
                      <wp:effectExtent l="0" t="0" r="0" b="0"/>
                      <wp:wrapNone/>
                      <wp:docPr id="143" name="Frame1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31470" cy="175260"/>
                      <wp:effectExtent l="0" t="0" r="0" b="0"/>
                      <wp:wrapNone/>
                      <wp:docPr id="146" name="Frame146"/>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56565" cy="175260"/>
                      <wp:effectExtent l="0" t="0" r="0" b="0"/>
                      <wp:wrapNone/>
                      <wp:docPr id="149" name="Frame149"/>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97"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  </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 from operating activities before 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6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pPr>
            <w:r>
              <w:rPr/>
              <w:t>  </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pPr>
            <w:r>
              <w:rPr/>
              <w:t>  </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other borrowings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other borrowings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from Holding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to Holding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6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 and cash equivalents and restricted cash and restricted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other operating segments’ net cash flow from operating activities before changes in operating assets and liabilities were primarily attributable to an increase in the operating results of our Energy segment primarily associated with a decrease in expenses resulting from lower crude oil prices and favorable RINs liability revaluation.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Changes in operating assets and liabilities for 2023 and 2022 were primarily attributable to our Energy segment resulting primarily from a decrease in RINs obligations.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Capital expenditures are primarily from our Energy and Automotive segments and are primarily for maintenance and growth. Refer to Note 15, “Segment and Geographic Reporting,” for capital expenditures reported for each of our segments. Turnaround expenditures relates to our Energy segment, which were higher in 2022 due to planned maintenance at one of its refineries.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Acquisition of businesses, net of cash acquired relates to our Real Estate segment’s purchase of an development land and a country club in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Proceeds from other borrowings were mainly attributable to CVR Energy’s issuance of $600 million aggregate principal amount of its 8.50% senior unsecured notes due 2029 issued in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Repayments of other borrowings was mainly attributable to loan repayments in our Home Fashion and Food Packaging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Distributions to non-controlling interests were from our Energy segment relating to its regular quarterly dividends and distributions, excluding payments made to us, as well as a special dividend made in 2023, 2022 and 2021.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to Holding Company is made up of dividends, distributions, and intercompany loans that are eliminated in consolidation. During 2023, this includes cash dividends received from CVR Energy of $311 million, cash distributions received from our Real Estate segment of $64 million and repayments of intercompany loans received from our Pharma segment of $10 million. During 2022, this includes cash dividends received from CVR of $342 million and cash distributions received from our Real Estate segment of $25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from Holding Company is made up of intercompany loans to our Holding Company that are eliminated in consolidation. Changes in cash to operating segments were mainly attributable to cash paid to our Real Estate and Automotive segment in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Capital Spending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15, “Segment and Geographic Reporting,” for a reconciliation of our segments’ capital expenditures to consolidated capital expenditures for each of the years ended December 31, 2023, 2022 and 2021. In addition, our Energy segment had turnaround expenditures of $57 million, $83 million and $5 million during the years ended December 31, 2023, 2022 and 2021, respectively, which is reported separately from capital expenditures in our consolidated statements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2024, we estimate our consolidated capital expenditures to be approximately $226 million to $250 million for our Energy segment, for both maintenance and growth, $73 million for our Automotive segment and approximately $29 million in the aggregate for all other segments.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Energy segment mechanically completed a renewable diesel project at one of its refineries in the fourth quarter of 2023 at a cost of $94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 following accounting estimates are critical to our business operations and the understanding of results of operations and affect the more significant judgments and estimates used in the preparation of our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periodically evaluates all evidence, both positive and negative, in determining whether a valuation allowance to reduce the carrying value of deferred tax assets is still needed. For each of December 31, 2023 and 2022,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16, “Income Taxes,” to the consolidated financial statements for further discussion regarding our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Valuation of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6, “Fair Value Measurements” to the consolidated financial statements for further discussion regarding our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 and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calculate depreciation and amortization on a straight-line basis over the estimated useful lives of the various definite-lived assets. When assets are placed in service, we make estimates of what we believe are their reasonable useful lives.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Long-lived assets held and used by our various operating segments and long-lived assets to be disposed of are reviewed for impairment whenever events or changes in circumstances indicate a possible significant deterioration in future expected cash flows that could result in the carrying amount of an asset not being recoverable. In performing the review for recoverability, we estimate the future cash flows expected to result from the remaining useful life of the asset and its eventual disposition. Assumptions used in the review of recoverability require the exercise of significant judgment, including judgment about terminal values, growth rates, and the amount and timing of expected future cash flows. The forecasted cash flows are based on current plans and for years beyond that plan, the estimates are based on assumed growth rates. If the sum of the estimated future cash flows, undiscounted and without interest charges, is less than the carrying amount of the asset, a fair value assessment is performed. If the carrying amount of the asset exceeds its fair value, an impairment loss is recognized in accordance with U.S. GAAP. Similarly, long-lived assets to be disposed of are reported at the lower of carrying amount or fair value less cost to sell.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performed a trademarks and brand names impairment analysis in accordance with FASB ASC 350, </w:t>
      </w:r>
      <w:r>
        <w:rPr>
          <w:rFonts w:ascii="Times New Roman;Times;serif" w:hAnsi="Times New Roman;Times;serif"/>
          <w:i/>
          <w:sz w:val="20"/>
        </w:rPr>
        <w:t>Intangibles-Goodwill and other</w:t>
      </w:r>
      <w:r>
        <w:rPr>
          <w:rFonts w:ascii="Times New Roman;Times;serif" w:hAnsi="Times New Roman;Times;serif"/>
          <w:sz w:val="20"/>
        </w:rPr>
        <w:t xml:space="preserve">, as of December 31, 2023. Our impairment analyses compare the fair values of these assets to the related carrying values, and impairment charges are recorded for any excess of carrying values over fair values. The fair values of these assets are based upon the prospective stream of hypothetical after-tax royalty cost savings discounted at rates that reflect the rates of return appropriate for these intangible assets. Following this analysis, our Automotive segment recognized a $7 million impairment charge in the fourth quarter of 2023.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 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2023, our consolidated goodwill was $288 million, primarily within our Automotive segment’s reporting unit. We perform the annual goodwill impairment test for our Automotive segment as of October 1 of each year. Based on our quantitative annual goodwill impairment analysis for our Automotive segment, we determined that the fair value of our Automotive segment was higher than its carrying value and therefore, no impairment is required. As of December 31, 2023, our Automotive segment had remaining goodwill of $250 million, which is allocated entirely to its reporting unit.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11, “Goodwill and Intangible Assets, Net,” to the consolidated financial statements for further discussion regarding goodwill and intangible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2, “Basis of Presentation and Summary of Significant Accounting Policies,” to the consolidated financial statements for a discussion of recent accounting pronouncements applicable to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5" w:name="Item7AQuantitativeandQualitativeDisclosu"/>
      <w:bookmarkStart w:id="66" w:name="_770c897f_287c_45c1_aeb1_a90a1dd3ed2d"/>
      <w:bookmarkEnd w:id="65"/>
      <w:bookmarkEnd w:id="66"/>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Price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equity price risk is related to our Investment segment and the sensitivities to movements in the fair value of the Investment Funds’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2023, we estimate that in the event of a 10% adverse change in the fair value of these investments, the fair values of securities owned, securities sold, not yet purchased and derivatives, based on the price impact on notional value, would decrease by approximately $290 million, $347 million and $673 million, respectively. However, as of December 31, 2023, we estimate that the impact to our share of the net gain (loss) from investment activities reported in our consolidated statements of operations would be less than the change in fair value since we have an investment of approximately 60% in the Investment Funds, and the non-controlling interests in income would correspondingly offset approximately 40% of the change in fair value. As of December 31, 2022, we estimated that in the event of a 10% adverse change in the fair value of these investments, the fair values of securities owned, securities sold, not yet purchased and derivatives, based on the price impact on notional value, would decrease by approximately $672 million, $650 million and $968 million, respectively and as of December 31, 2022, our investment in the Investment Funds was 46%.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Commodity Price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 as a manufacturer of refined petroleum and renewable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petroleum business uses a crude oil purchasing intermediary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Energy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interest rate risk is related to our operating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subsidiaries have variable rate debt with a principal amount outstanding aggregating $141 million as of December 31, 2023, primarily at our Food Packaging segment. A 1.0% increase in interest rates would increase interest expense by approximately $1 million on an annualized basis, thus decreasing net income by the same amount. Additionally, as of December 31, 2023, our operating segments have additional borrowing availability subject to variable interest rates aggregating $321 million, which if outstanding, would increase our operating segments’ exposure to changes in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Exchange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Viskase has foreign currency exposures related to buying, selling, and financing in currencies other than the local currencies in which they operate. 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 Viskase recorded a translation gain of $5 million and a loss of $4 million in accumulated other comprehensive loss for the years ended December 31, 2023 and 2022, respectively, and recorded translation losses in earnings of $3 million for each of the years ended December 31, 2023 and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the Investment Funds are subject to certain inherent risks through our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Program Price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 producer of transportation fuels from petroleum, our Energy segment’s obligated-party subsidiaries are required to blend biofuels into the transportation fuels they produce or to purchase RINs in the open market in lieu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blending to meet the mandates established by the EPA, unless such blending obligations are waived by the EPA. CVR Energy’s obligated-party subsidiaries are exposed to market risk related to volatility in the price of RINs needed to comply with the Renewable Fuel Standards. See Note 19, “Commitments and Contingencies,” to the consolidated financial statements for further discussion about compliance with the Renewable Fuel Standards.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 w:name="Item8FinancialStatementsandSupplementary"/>
      <w:bookmarkStart w:id="68" w:name="_4002b25e_9dec_408c_87a8_24cc8f6fb4db"/>
      <w:bookmarkEnd w:id="67"/>
      <w:bookmarkEnd w:id="68"/>
      <w:r>
        <w:rPr>
          <w:rFonts w:ascii="Times New Roman;Times;serif" w:hAnsi="Times New Roman;Times;serif"/>
          <w:b/>
          <w:sz w:val="20"/>
        </w:rPr>
        <w:t>Item 8. Financial Statements 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Icahn Enterprises L.P.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Icahn Enterprises L.P. (a Delaware limited partnership) and subsidiaries (the “Partnership”) as of December 31, 2023 and 2022, the related consolidated statements of operations, comprehensive income (loss), changes in equity, and cash flows for each of the three years in the period ended December 31, 2023, and the related notes and financial statement schedule included under Item 15(a)(2) (collectively referred to as the “financial statements”). In our opinion, the financial statements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Partnership’s internal control over financial reporting as of December 31, 2023,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and our report dated February 28, 2024 expressed an unqualified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/s/GRANT THORNTON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Partnership’s auditor since 2004.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Fort Lauderdale, Florida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28,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 w:name="_4c099565_9560_44a9_864c_13119849764d"/>
      <w:bookmarkEnd w:id="69"/>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70" w:name="BALANCESHEETS_124396"/>
      <w:bookmarkEnd w:id="70"/>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71" w:name="Tc_nm_RoaS_qUi9aZYNFX7chg_37_5"/>
      <w:bookmarkStart w:id="72" w:name="Tc_kLTXzq2CYEGyfPcsL0p55Q_37_2"/>
      <w:bookmarkStart w:id="73" w:name="Tc_jbrMB4Ab7k6p92-m3U5bbw_37_0"/>
      <w:bookmarkStart w:id="74" w:name="Tc_hkz9GT30WEWQyyX58thjUA_36_0"/>
      <w:bookmarkStart w:id="75" w:name="Tc_tX5I-_12cEGmu4DHcdep5g_35_0"/>
      <w:bookmarkStart w:id="76" w:name="Tc_fqGmdfFpdU2gVox2GfXtvA_34_0"/>
      <w:bookmarkStart w:id="77" w:name="Tc_qDRCtFublEKmWKtoofGr8Q_33_0"/>
      <w:bookmarkStart w:id="78" w:name="Tc_m-TDB70d00CQnxMDcAKzvA_32_0"/>
      <w:bookmarkStart w:id="79" w:name="Tc_LW-Bf9gr40OeWmFpnjYZbQ_31_0"/>
      <w:bookmarkStart w:id="80" w:name="Tc_9DTDojUP4kyP4DdAyqLazQ_29_0"/>
      <w:bookmarkStart w:id="81" w:name="Tc_hjjlvOaVkU217AJPFGMTVw_27_0"/>
      <w:bookmarkStart w:id="82" w:name="Tc_DoCTDs2cEkmrY9ZxQYO9ZQ_26_0"/>
      <w:bookmarkStart w:id="83" w:name="Tc_sE0uIRsce0esyV2CuYCR0Q_25_0"/>
      <w:bookmarkStart w:id="84" w:name="Tc_Qm8lUNODGk21ZrtsaiXEag_24_0"/>
      <w:bookmarkStart w:id="85" w:name="Tc_E4UsRasZAU-kWpmSO3OlOQ_23_0"/>
      <w:bookmarkStart w:id="86" w:name="Tc_f5KZfdHBekG5h2Q_oNv_TA_22_0"/>
      <w:bookmarkStart w:id="87" w:name="Tc_dFpb9ZF26USXSR6nGOWjVw_21_0"/>
      <w:bookmarkStart w:id="88" w:name="Tc_kyxmly5cB02cttJn3diYRw_20_5"/>
      <w:bookmarkStart w:id="89" w:name="Tc_RJ-bK6leW069vXAn7nEGWw_20_2"/>
      <w:bookmarkStart w:id="90" w:name="Tc_UJa3G4ozl0mJs2yz3BHFRw_20_0"/>
      <w:bookmarkStart w:id="91" w:name="Tc_lk9ysRawb0GWTNYE0_UrdQ_19_0"/>
      <w:bookmarkStart w:id="92" w:name="Tc_dxgZ_aBMx0yQgPIfJb9-Wg_18_5"/>
      <w:bookmarkStart w:id="93" w:name="Tc_T3Px83pqF0CGLXaR4zQoIQ_18_2"/>
      <w:bookmarkStart w:id="94" w:name="Tc_fFtvDPa9w0i8KTRHlHloDQ_18_0"/>
      <w:bookmarkStart w:id="95" w:name="Tc_Ffp3xU_k-U-TlpJR_p10Hw_17_0"/>
      <w:bookmarkStart w:id="96" w:name="Tc_jgkRCR2BaEKc9Y5RzuyrSA_16_0"/>
      <w:bookmarkStart w:id="97" w:name="Tc_rsWBSHNV_kiy_0jtfWpCPA_15_0"/>
      <w:bookmarkStart w:id="98" w:name="Tc_-CFp2h3nSkmN_0dzKfeA7g_14_0"/>
      <w:bookmarkStart w:id="99" w:name="Tc_JjVb8apuska0aATOIjswFg_13_0"/>
      <w:bookmarkStart w:id="100" w:name="Tc_NZ3bdLBRikKCFd5JQ-NSNw_12_0"/>
      <w:bookmarkStart w:id="101" w:name="Tc_MTtPo1MsCUiwtY67eQhGYw_11_0"/>
      <w:bookmarkStart w:id="102" w:name="Tc_Obr9JdHrcEWNpgUXNgo16Q_10_6"/>
      <w:bookmarkStart w:id="103" w:name="Tc_AOZB_Nu4pEaDolXDXk4PxQ_10_0"/>
      <w:bookmarkStart w:id="104" w:name="Tc_ZNhbMXHcekOhSXfjGKGN-A_9_0"/>
      <w:bookmarkStart w:id="105" w:name="Tc_hHmVgBcjbEKRFc4_gNi7ug_8_0"/>
      <w:bookmarkStart w:id="106" w:name="Tc_yD7PX3a72UWN1wYD1GkpIA_7_0"/>
      <w:bookmarkStart w:id="107" w:name="Tc_rJ0aiJM9W0ur2PQOmk34eg_6_0"/>
      <w:bookmarkStart w:id="108" w:name="Tc_tknLgVQvoUSE_Y9TkCQPCA_5_5"/>
      <w:bookmarkStart w:id="109" w:name="Tc__fGkbQwLV0arvpVySsv0Kw_5_2"/>
      <w:bookmarkStart w:id="110" w:name="Tc_GIZNRC6Q-UG6_OGVPyadFg_5_0"/>
      <w:bookmarkStart w:id="111" w:name="Tc_5WMCb3sRvkSPF-FyWTO25Q_4_0"/>
      <w:bookmarkStart w:id="112" w:name="Tc_dnNt7YayZk2jyONHql8M4g_3_2"/>
      <w:bookmarkStart w:id="113" w:name="Tc_pTB3wFZ2ZEi4qjkJ3PGcTA_2_5"/>
      <w:bookmarkStart w:id="114" w:name="Tc_sZngv5r08kyb-Ke8NwwIpQ_2_2"/>
      <w:bookmarkStart w:id="115" w:name="Tc_A1efnO7Bo0a0rI1rwW8zEQ_1_2"/>
      <w:bookmarkStart w:id="116" w:name="_73ac2dd0_9276_407e_8cea_4e1d751ae372"/>
      <w:bookmarkStart w:id="117" w:name="Tc_nm_RoaS_qUi9aZYNFX7chg_37_5"/>
      <w:bookmarkStart w:id="118" w:name="Tc_kLTXzq2CYEGyfPcsL0p55Q_37_2"/>
      <w:bookmarkStart w:id="119" w:name="Tc_jbrMB4Ab7k6p92-m3U5bbw_37_0"/>
      <w:bookmarkStart w:id="120" w:name="Tc_hkz9GT30WEWQyyX58thjUA_36_0"/>
      <w:bookmarkStart w:id="121" w:name="Tc_tX5I-_12cEGmu4DHcdep5g_35_0"/>
      <w:bookmarkStart w:id="122" w:name="Tc_fqGmdfFpdU2gVox2GfXtvA_34_0"/>
      <w:bookmarkStart w:id="123" w:name="Tc_qDRCtFublEKmWKtoofGr8Q_33_0"/>
      <w:bookmarkStart w:id="124" w:name="Tc_m-TDB70d00CQnxMDcAKzvA_32_0"/>
      <w:bookmarkStart w:id="125" w:name="Tc_LW-Bf9gr40OeWmFpnjYZbQ_31_0"/>
      <w:bookmarkStart w:id="126" w:name="Tc_9DTDojUP4kyP4DdAyqLazQ_29_0"/>
      <w:bookmarkStart w:id="127" w:name="Tc_hjjlvOaVkU217AJPFGMTVw_27_0"/>
      <w:bookmarkStart w:id="128" w:name="Tc_DoCTDs2cEkmrY9ZxQYO9ZQ_26_0"/>
      <w:bookmarkStart w:id="129" w:name="Tc_sE0uIRsce0esyV2CuYCR0Q_25_0"/>
      <w:bookmarkStart w:id="130" w:name="Tc_Qm8lUNODGk21ZrtsaiXEag_24_0"/>
      <w:bookmarkStart w:id="131" w:name="Tc_E4UsRasZAU-kWpmSO3OlOQ_23_0"/>
      <w:bookmarkStart w:id="132" w:name="Tc_f5KZfdHBekG5h2Q_oNv_TA_22_0"/>
      <w:bookmarkStart w:id="133" w:name="Tc_dFpb9ZF26USXSR6nGOWjVw_21_0"/>
      <w:bookmarkStart w:id="134" w:name="Tc_kyxmly5cB02cttJn3diYRw_20_5"/>
      <w:bookmarkStart w:id="135" w:name="Tc_RJ-bK6leW069vXAn7nEGWw_20_2"/>
      <w:bookmarkStart w:id="136" w:name="Tc_UJa3G4ozl0mJs2yz3BHFRw_20_0"/>
      <w:bookmarkStart w:id="137" w:name="Tc_lk9ysRawb0GWTNYE0_UrdQ_19_0"/>
      <w:bookmarkStart w:id="138" w:name="Tc_dxgZ_aBMx0yQgPIfJb9-Wg_18_5"/>
      <w:bookmarkStart w:id="139" w:name="Tc_T3Px83pqF0CGLXaR4zQoIQ_18_2"/>
      <w:bookmarkStart w:id="140" w:name="Tc_fFtvDPa9w0i8KTRHlHloDQ_18_0"/>
      <w:bookmarkStart w:id="141" w:name="Tc_Ffp3xU_k-U-TlpJR_p10Hw_17_0"/>
      <w:bookmarkStart w:id="142" w:name="Tc_jgkRCR2BaEKc9Y5RzuyrSA_16_0"/>
      <w:bookmarkStart w:id="143" w:name="Tc_rsWBSHNV_kiy_0jtfWpCPA_15_0"/>
      <w:bookmarkStart w:id="144" w:name="Tc_-CFp2h3nSkmN_0dzKfeA7g_14_0"/>
      <w:bookmarkStart w:id="145" w:name="Tc_JjVb8apuska0aATOIjswFg_13_0"/>
      <w:bookmarkStart w:id="146" w:name="Tc_NZ3bdLBRikKCFd5JQ-NSNw_12_0"/>
      <w:bookmarkStart w:id="147" w:name="Tc_MTtPo1MsCUiwtY67eQhGYw_11_0"/>
      <w:bookmarkStart w:id="148" w:name="Tc_Obr9JdHrcEWNpgUXNgo16Q_10_6"/>
      <w:bookmarkStart w:id="149" w:name="Tc_AOZB_Nu4pEaDolXDXk4PxQ_10_0"/>
      <w:bookmarkStart w:id="150" w:name="Tc_ZNhbMXHcekOhSXfjGKGN-A_9_0"/>
      <w:bookmarkStart w:id="151" w:name="Tc_hHmVgBcjbEKRFc4_gNi7ug_8_0"/>
      <w:bookmarkStart w:id="152" w:name="Tc_yD7PX3a72UWN1wYD1GkpIA_7_0"/>
      <w:bookmarkStart w:id="153" w:name="Tc_rJ0aiJM9W0ur2PQOmk34eg_6_0"/>
      <w:bookmarkStart w:id="154" w:name="Tc_tknLgVQvoUSE_Y9TkCQPCA_5_5"/>
      <w:bookmarkStart w:id="155" w:name="Tc__fGkbQwLV0arvpVySsv0Kw_5_2"/>
      <w:bookmarkStart w:id="156" w:name="Tc_GIZNRC6Q-UG6_OGVPyadFg_5_0"/>
      <w:bookmarkStart w:id="157" w:name="Tc_5WMCb3sRvkSPF-FyWTO25Q_4_0"/>
      <w:bookmarkStart w:id="158" w:name="Tc_dnNt7YayZk2jyONHql8M4g_3_2"/>
      <w:bookmarkStart w:id="159" w:name="Tc_pTB3wFZ2ZEi4qjkJ3PGcTA_2_5"/>
      <w:bookmarkStart w:id="160" w:name="Tc_sZngv5r08kyb-Ke8NwwIpQ_2_2"/>
      <w:bookmarkStart w:id="161" w:name="Tc_A1efnO7Bo0a0rI1rwW8zEQ_1_2"/>
      <w:bookmarkStart w:id="162" w:name="_73ac2dd0_9276_407e_8cea_4e1d751ae372"/>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537"/>
        <w:gridCol w:w="326"/>
        <w:gridCol w:w="223"/>
        <w:gridCol w:w="717"/>
        <w:gridCol w:w="346"/>
        <w:gridCol w:w="223"/>
        <w:gridCol w:w="833"/>
      </w:tblGrid>
      <w:tr>
        <w:trPr/>
        <w:tc>
          <w:tcPr>
            <w:tcW w:w="7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785995" cy="175260"/>
                      <wp:effectExtent l="0" t="0" r="0" b="0"/>
                      <wp:wrapNone/>
                      <wp:docPr id="150" name="Frame150"/>
                      <a:graphic xmlns:a="http://schemas.openxmlformats.org/drawingml/2006/main">
                        <a:graphicData uri="http://schemas.microsoft.com/office/word/2010/wordprocessingShape">
                          <wps:wsp>
                            <wps:cNvSpPr txBox="1"/>
                            <wps:spPr>
                              <a:xfrm>
                                <a:off x="0" y="0"/>
                                <a:ext cx="4785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1605" cy="175260"/>
                      <wp:effectExtent l="0" t="0" r="0" b="0"/>
                      <wp:wrapNone/>
                      <wp:docPr id="152" name="Frame15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55295" cy="175260"/>
                      <wp:effectExtent l="0" t="0" r="0" b="0"/>
                      <wp:wrapNone/>
                      <wp:docPr id="153" name="Frame153"/>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1605" cy="175260"/>
                      <wp:effectExtent l="0" t="0" r="0" b="0"/>
                      <wp:wrapNone/>
                      <wp:docPr id="155" name="Frame15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28955" cy="175260"/>
                      <wp:effectExtent l="0" t="0" r="0" b="0"/>
                      <wp:wrapNone/>
                      <wp:docPr id="156" name="Frame15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5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42"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537"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center"/>
              <w:rPr/>
            </w:pPr>
            <w:r>
              <w:rPr/>
              <w:t>​</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held at consolidated affiliated partnerships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6,809</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7,051</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27,914</w:t>
            </w:r>
          </w:p>
        </w:tc>
      </w:tr>
      <w:tr>
        <w:trPr/>
        <w:tc>
          <w:tcPr>
            <w:tcW w:w="753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  </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net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6,495</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brokers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14,785</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18,356</w:t>
            </w:r>
          </w:p>
        </w:tc>
      </w:tr>
      <w:tr>
        <w:trPr/>
        <w:tc>
          <w:tcPr>
            <w:tcW w:w="753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19)</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  </w:t>
            </w:r>
          </w:p>
        </w:tc>
      </w:tr>
      <w:tr>
        <w:trPr/>
        <w:tc>
          <w:tcPr>
            <w:tcW w:w="753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  </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0"/>
              </w:rPr>
              <w:t>Limited partners: Depositary units: 429,033,241</w:t>
            </w:r>
            <w:r>
              <w:rPr>
                <w:rFonts w:ascii="Times New Roman;Times;serif" w:hAnsi="Times New Roman;Times;serif"/>
                <w:sz w:val="24"/>
              </w:rPr>
              <w:t xml:space="preserve"> </w:t>
            </w:r>
            <w:r>
              <w:rPr>
                <w:rFonts w:ascii="Times New Roman;Times;serif" w:hAnsi="Times New Roman;Times;serif"/>
                <w:sz w:val="20"/>
              </w:rPr>
              <w:t xml:space="preserve">units </w:t>
            </w:r>
            <w:r>
              <w:rPr>
                <w:rFonts w:ascii="Times New Roman;Times;serif" w:hAnsi="Times New Roman;Times;serif"/>
                <w:b w:val="false"/>
                <w:i w:val="false"/>
                <w:caps w:val="false"/>
                <w:smallCaps w:val="false"/>
                <w:sz w:val="20"/>
              </w:rPr>
              <w:t>issued</w:t>
            </w:r>
            <w:r>
              <w:rPr>
                <w:rFonts w:ascii="Times New Roman;Times;serif" w:hAnsi="Times New Roman;Times;serif"/>
                <w:sz w:val="24"/>
              </w:rPr>
              <w:t xml:space="preserve"> </w:t>
            </w:r>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outstanding</w:t>
            </w:r>
            <w:r>
              <w:rPr>
                <w:rFonts w:ascii="Times New Roman;Times;serif" w:hAnsi="Times New Roman;Times;serif"/>
                <w:sz w:val="24"/>
              </w:rPr>
              <w:t xml:space="preserve"> </w:t>
            </w:r>
            <w:r>
              <w:rPr>
                <w:rFonts w:ascii="Times New Roman;Times;serif" w:hAnsi="Times New Roman;Times;serif"/>
                <w:sz w:val="20"/>
              </w:rPr>
              <w:t>at December 31, 2023 and 353,572,182</w:t>
            </w:r>
            <w:r>
              <w:rPr>
                <w:rFonts w:ascii="Times New Roman;Times;serif" w:hAnsi="Times New Roman;Times;serif"/>
                <w:sz w:val="24"/>
              </w:rPr>
              <w:t xml:space="preserve"> </w:t>
            </w:r>
            <w:r>
              <w:rPr>
                <w:rFonts w:ascii="Times New Roman;Times;serif" w:hAnsi="Times New Roman;Times;serif"/>
                <w:sz w:val="20"/>
              </w:rPr>
              <w:t>units issued and outstanding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r>
      <w:tr>
        <w:trPr/>
        <w:tc>
          <w:tcPr>
            <w:tcW w:w="7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w:t>
            </w:r>
          </w:p>
        </w:tc>
      </w:tr>
      <w:tr>
        <w:trPr/>
        <w:tc>
          <w:tcPr>
            <w:tcW w:w="75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20,858</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27,914</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 w:name="_ee49861c_cec3_490a_9bc5_8a33d62c8664"/>
      <w:bookmarkEnd w:id="163"/>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164" w:name="STATEMENTSOFOPERATIONS_770807"/>
      <w:bookmarkEnd w:id="164"/>
      <w:r>
        <w:rPr>
          <w:rFonts w:ascii="Times New Roman;Times;serif" w:hAnsi="Times New Roman;Times;serif"/>
          <w:b/>
          <w:sz w:val="20"/>
        </w:rPr>
        <w:t>CONSOLIDATED STATEMENTS OF OPERATIONS</w:t>
      </w:r>
    </w:p>
    <w:p>
      <w:pPr>
        <w:pStyle w:val="Normal"/>
        <w:bidi w:val="0"/>
        <w:spacing w:before="0" w:after="0"/>
        <w:jc w:val="left"/>
        <w:rPr>
          <w:sz w:val="4"/>
          <w:szCs w:val="4"/>
        </w:rPr>
      </w:pPr>
      <w:r>
        <w:rPr>
          <w:sz w:val="4"/>
          <w:szCs w:val="4"/>
        </w:rPr>
      </w:r>
      <w:bookmarkStart w:id="165" w:name="Tc_Zu7TIITo60q-yleYpJfisw_35_8"/>
      <w:bookmarkStart w:id="166" w:name="Tc_EjarqvIkskqYgTqcWgUjzw_35_5"/>
      <w:bookmarkStart w:id="167" w:name="Tc_Cqc1gv8hhkiMlS7rmkWwig_35_2"/>
      <w:bookmarkStart w:id="168" w:name="Tc_z3HgowTfAkegkOYyvhmOUA_35_0"/>
      <w:bookmarkStart w:id="169" w:name="Tc_f5riOfyG60Snr5lAigd_-g_34_0"/>
      <w:bookmarkStart w:id="170" w:name="Tc_nMLfNbnK90yWFBu93JPaVw_33_0"/>
      <w:bookmarkStart w:id="171" w:name="Tc_UKCHZG_rIEWf4ensYCi9oA_31_8"/>
      <w:bookmarkStart w:id="172" w:name="Tc_EX7Rkb4YQ0OyZDTLOBexeQ_31_5"/>
      <w:bookmarkStart w:id="173" w:name="Tc_m1t81dMexUWZewpgnwC_3g_31_2"/>
      <w:bookmarkStart w:id="174" w:name="Tc_4DnCWYCib0GpsrjMrXamig_30_0"/>
      <w:bookmarkStart w:id="175" w:name="Tc_o_P4LmnmkEizsPCDGCq6og_29_8"/>
      <w:bookmarkStart w:id="176" w:name="Tc_83u0Tg-OJ02vyszF3SZrJQ_29_5"/>
      <w:bookmarkStart w:id="177" w:name="Tc_GVpGzSWFgUS14lfZo1iZqg_29_2"/>
      <w:bookmarkStart w:id="178" w:name="Tc_0BDGwi5ZPk-b-HZKBFTP0A_29_0"/>
      <w:bookmarkStart w:id="179" w:name="Tc_yIYf--xb4Eyi1c3so_Z1Fg_28_0"/>
      <w:bookmarkStart w:id="180" w:name="Tc_iBF2kgT-xUKa0s4eBRp_Lg_26_8"/>
      <w:bookmarkStart w:id="181" w:name="Tc_1jZmpCyVOUOXORsUxCt-eg_26_5"/>
      <w:bookmarkStart w:id="182" w:name="Tc_doHSjjqKqEiYd4lBwlWFxQ_26_2"/>
      <w:bookmarkStart w:id="183" w:name="Tc_RU48e8iWu0-QnP4w3OyUzQ_26_0"/>
      <w:bookmarkStart w:id="184" w:name="Tc_lgrjJX9ytE-UwTG1fQdfCg_25_0"/>
      <w:bookmarkStart w:id="185" w:name="Tc_U6h9xiDfKEycf-9FXa-fIg_24_0"/>
      <w:bookmarkStart w:id="186" w:name="Tc_k2V4M4iOb0SuKXMZ8EubBg_23_0"/>
      <w:bookmarkStart w:id="187" w:name="Tc_iGZhFAYcpUuzZrcNOveXUw_22_0"/>
      <w:bookmarkStart w:id="188" w:name="Tc_aojseen-nEKrgnb1aN0YRw_20_0"/>
      <w:bookmarkStart w:id="189" w:name="Tc_W0CrXhF1iEuL8oWjGXWCHA_19_9"/>
      <w:bookmarkStart w:id="190" w:name="Tc_YQEjWqxQD0eTseHvL_Alyw_19_6"/>
      <w:bookmarkStart w:id="191" w:name="Tc_jOda9EyFW0SzgoL5e5tVXg_19_0"/>
      <w:bookmarkStart w:id="192" w:name="Tc_mda8K8uQfka0pqwpd1Gb0A_18_9"/>
      <w:bookmarkStart w:id="193" w:name="Tc_svMp4NTC5UuhwsbNe5UEFw_18_6"/>
      <w:bookmarkStart w:id="194" w:name="Tc_79ZT9GDED0Ku6hA-57NSIA_18_0"/>
      <w:bookmarkStart w:id="195" w:name="Tc_GcegClRgC0WZ5LFxKTGqbA_17_9"/>
      <w:bookmarkStart w:id="196" w:name="Tc_LR-UVJuNMku4UBM2v2w8Yw_17_6"/>
      <w:bookmarkStart w:id="197" w:name="Tc_XwYPRAVsjE-14D-60KhM6A_17_0"/>
      <w:bookmarkStart w:id="198" w:name="Tc_p26RhpyW_0SNuSxChEaEKQ_16_0"/>
      <w:bookmarkStart w:id="199" w:name="Tc_skVwXzAmlkq_y4aUbkJvLg_15_0"/>
      <w:bookmarkStart w:id="200" w:name="Tc_st6YHayj4k2HnU6Krvg_NQ_14_0"/>
      <w:bookmarkStart w:id="201" w:name="Tc_ZvJejtz-I0-mPsX-0B4UGA_13_0"/>
      <w:bookmarkStart w:id="202" w:name="Tc_YsqB66dD7UanhkPoBoSgcQ_12_0"/>
      <w:bookmarkStart w:id="203" w:name="Tc_yPTRj9kcLE29oPPDCTxj8A_10_0"/>
      <w:bookmarkStart w:id="204" w:name="Tc_07a60X7G1EO8iFHqwrjzEA_9_0"/>
      <w:bookmarkStart w:id="205" w:name="Tc_jB2UEfjwoUubBR9hMP7WPQ_8_0"/>
      <w:bookmarkStart w:id="206" w:name="Tc_vUpOxbmBREypY378akPnKg_7_0"/>
      <w:bookmarkStart w:id="207" w:name="Tc_BFgDwYS9ek-vGdjHqFhPyA_6_0"/>
      <w:bookmarkStart w:id="208" w:name="Tc_MCNJs6-WlUaGkUW_zjxhLQ_5_8"/>
      <w:bookmarkStart w:id="209" w:name="Tc_N_vrzZx7kUK9VYlhrx-i2w_5_5"/>
      <w:bookmarkStart w:id="210" w:name="Tc_2NRqb8batEOiURCh_Yu0Mw_5_2"/>
      <w:bookmarkStart w:id="211" w:name="Tc_e71tu7Z1GE2opq_yDJK5Nw_5_0"/>
      <w:bookmarkStart w:id="212" w:name="Tc_15Ja95njZkC5boQGJRCaVQ_4_0"/>
      <w:bookmarkStart w:id="213" w:name="Tc_R--NmLicwUK7IOAd9I-W0g_3_2"/>
      <w:bookmarkStart w:id="214" w:name="Tc_y2RrTQcg1EiP06fIqwU7Fg_2_8"/>
      <w:bookmarkStart w:id="215" w:name="Tc_kQLp-s7FL0mKg3wnbKGqaA_2_5"/>
      <w:bookmarkStart w:id="216" w:name="Tc_MN04gimrFEm2YlYxXtpMWA_2_2"/>
      <w:bookmarkStart w:id="217" w:name="Tc_9dCWTLH6xUSE7HFhXFVZXg_1_2"/>
      <w:bookmarkStart w:id="218" w:name="_3bad29b3_d73b_4fee_b853_5ca76afb783d"/>
      <w:bookmarkStart w:id="219" w:name="_fff7c507_9457_43c0_a5f4_8f4dcfb44e69"/>
      <w:bookmarkStart w:id="220" w:name="Tc_Zu7TIITo60q-yleYpJfisw_35_8"/>
      <w:bookmarkStart w:id="221" w:name="Tc_EjarqvIkskqYgTqcWgUjzw_35_5"/>
      <w:bookmarkStart w:id="222" w:name="Tc_Cqc1gv8hhkiMlS7rmkWwig_35_2"/>
      <w:bookmarkStart w:id="223" w:name="Tc_z3HgowTfAkegkOYyvhmOUA_35_0"/>
      <w:bookmarkStart w:id="224" w:name="Tc_f5riOfyG60Snr5lAigd_-g_34_0"/>
      <w:bookmarkStart w:id="225" w:name="Tc_nMLfNbnK90yWFBu93JPaVw_33_0"/>
      <w:bookmarkStart w:id="226" w:name="Tc_UKCHZG_rIEWf4ensYCi9oA_31_8"/>
      <w:bookmarkStart w:id="227" w:name="Tc_EX7Rkb4YQ0OyZDTLOBexeQ_31_5"/>
      <w:bookmarkStart w:id="228" w:name="Tc_m1t81dMexUWZewpgnwC_3g_31_2"/>
      <w:bookmarkStart w:id="229" w:name="Tc_4DnCWYCib0GpsrjMrXamig_30_0"/>
      <w:bookmarkStart w:id="230" w:name="Tc_o_P4LmnmkEizsPCDGCq6og_29_8"/>
      <w:bookmarkStart w:id="231" w:name="Tc_83u0Tg-OJ02vyszF3SZrJQ_29_5"/>
      <w:bookmarkStart w:id="232" w:name="Tc_GVpGzSWFgUS14lfZo1iZqg_29_2"/>
      <w:bookmarkStart w:id="233" w:name="Tc_0BDGwi5ZPk-b-HZKBFTP0A_29_0"/>
      <w:bookmarkStart w:id="234" w:name="Tc_yIYf--xb4Eyi1c3so_Z1Fg_28_0"/>
      <w:bookmarkStart w:id="235" w:name="Tc_iBF2kgT-xUKa0s4eBRp_Lg_26_8"/>
      <w:bookmarkStart w:id="236" w:name="Tc_1jZmpCyVOUOXORsUxCt-eg_26_5"/>
      <w:bookmarkStart w:id="237" w:name="Tc_doHSjjqKqEiYd4lBwlWFxQ_26_2"/>
      <w:bookmarkStart w:id="238" w:name="Tc_RU48e8iWu0-QnP4w3OyUzQ_26_0"/>
      <w:bookmarkStart w:id="239" w:name="Tc_lgrjJX9ytE-UwTG1fQdfCg_25_0"/>
      <w:bookmarkStart w:id="240" w:name="Tc_U6h9xiDfKEycf-9FXa-fIg_24_0"/>
      <w:bookmarkStart w:id="241" w:name="Tc_k2V4M4iOb0SuKXMZ8EubBg_23_0"/>
      <w:bookmarkStart w:id="242" w:name="Tc_iGZhFAYcpUuzZrcNOveXUw_22_0"/>
      <w:bookmarkStart w:id="243" w:name="Tc_aojseen-nEKrgnb1aN0YRw_20_0"/>
      <w:bookmarkStart w:id="244" w:name="Tc_W0CrXhF1iEuL8oWjGXWCHA_19_9"/>
      <w:bookmarkStart w:id="245" w:name="Tc_YQEjWqxQD0eTseHvL_Alyw_19_6"/>
      <w:bookmarkStart w:id="246" w:name="Tc_jOda9EyFW0SzgoL5e5tVXg_19_0"/>
      <w:bookmarkStart w:id="247" w:name="Tc_mda8K8uQfka0pqwpd1Gb0A_18_9"/>
      <w:bookmarkStart w:id="248" w:name="Tc_svMp4NTC5UuhwsbNe5UEFw_18_6"/>
      <w:bookmarkStart w:id="249" w:name="Tc_79ZT9GDED0Ku6hA-57NSIA_18_0"/>
      <w:bookmarkStart w:id="250" w:name="Tc_GcegClRgC0WZ5LFxKTGqbA_17_9"/>
      <w:bookmarkStart w:id="251" w:name="Tc_LR-UVJuNMku4UBM2v2w8Yw_17_6"/>
      <w:bookmarkStart w:id="252" w:name="Tc_XwYPRAVsjE-14D-60KhM6A_17_0"/>
      <w:bookmarkStart w:id="253" w:name="Tc_p26RhpyW_0SNuSxChEaEKQ_16_0"/>
      <w:bookmarkStart w:id="254" w:name="Tc_skVwXzAmlkq_y4aUbkJvLg_15_0"/>
      <w:bookmarkStart w:id="255" w:name="Tc_st6YHayj4k2HnU6Krvg_NQ_14_0"/>
      <w:bookmarkStart w:id="256" w:name="Tc_ZvJejtz-I0-mPsX-0B4UGA_13_0"/>
      <w:bookmarkStart w:id="257" w:name="Tc_YsqB66dD7UanhkPoBoSgcQ_12_0"/>
      <w:bookmarkStart w:id="258" w:name="Tc_yPTRj9kcLE29oPPDCTxj8A_10_0"/>
      <w:bookmarkStart w:id="259" w:name="Tc_07a60X7G1EO8iFHqwrjzEA_9_0"/>
      <w:bookmarkStart w:id="260" w:name="Tc_jB2UEfjwoUubBR9hMP7WPQ_8_0"/>
      <w:bookmarkStart w:id="261" w:name="Tc_vUpOxbmBREypY378akPnKg_7_0"/>
      <w:bookmarkStart w:id="262" w:name="Tc_BFgDwYS9ek-vGdjHqFhPyA_6_0"/>
      <w:bookmarkStart w:id="263" w:name="Tc_MCNJs6-WlUaGkUW_zjxhLQ_5_8"/>
      <w:bookmarkStart w:id="264" w:name="Tc_N_vrzZx7kUK9VYlhrx-i2w_5_5"/>
      <w:bookmarkStart w:id="265" w:name="Tc_2NRqb8batEOiURCh_Yu0Mw_5_2"/>
      <w:bookmarkStart w:id="266" w:name="Tc_e71tu7Z1GE2opq_yDJK5Nw_5_0"/>
      <w:bookmarkStart w:id="267" w:name="Tc_15Ja95njZkC5boQGJRCaVQ_4_0"/>
      <w:bookmarkStart w:id="268" w:name="Tc_R--NmLicwUK7IOAd9I-W0g_3_2"/>
      <w:bookmarkStart w:id="269" w:name="Tc_y2RrTQcg1EiP06fIqwU7Fg_2_8"/>
      <w:bookmarkStart w:id="270" w:name="Tc_kQLp-s7FL0mKg3wnbKGqaA_2_5"/>
      <w:bookmarkStart w:id="271" w:name="Tc_MN04gimrFEm2YlYxXtpMWA_2_2"/>
      <w:bookmarkStart w:id="272" w:name="Tc_9dCWTLH6xUSE7HFhXFVZXg_1_2"/>
      <w:bookmarkStart w:id="273" w:name="_3bad29b3_d73b_4fee_b853_5ca76afb783d"/>
      <w:bookmarkStart w:id="274" w:name="_fff7c507_9457_43c0_a5f4_8f4dcfb44e6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W w:w="8935" w:type="dxa"/>
        <w:jc w:val="left"/>
        <w:tblInd w:w="0" w:type="dxa"/>
        <w:tblLayout w:type="fixed"/>
        <w:tblCellMar>
          <w:top w:w="0" w:type="dxa"/>
          <w:left w:w="0" w:type="dxa"/>
          <w:bottom w:w="0" w:type="dxa"/>
          <w:right w:w="0" w:type="dxa"/>
        </w:tblCellMar>
      </w:tblPr>
      <w:tblGrid>
        <w:gridCol w:w="5236"/>
        <w:gridCol w:w="326"/>
        <w:gridCol w:w="211"/>
        <w:gridCol w:w="691"/>
        <w:gridCol w:w="326"/>
        <w:gridCol w:w="211"/>
        <w:gridCol w:w="676"/>
        <w:gridCol w:w="326"/>
        <w:gridCol w:w="211"/>
        <w:gridCol w:w="721"/>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324860" cy="175260"/>
                      <wp:effectExtent l="0" t="0" r="0" b="0"/>
                      <wp:wrapNone/>
                      <wp:docPr id="157" name="Frame157"/>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60" name="Frame1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29260" cy="175260"/>
                      <wp:effectExtent l="0" t="0" r="0" b="0"/>
                      <wp:wrapNone/>
                      <wp:docPr id="163" name="Frame1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7835" cy="175260"/>
                      <wp:effectExtent l="0" t="0" r="0" b="0"/>
                      <wp:wrapNone/>
                      <wp:docPr id="166" name="Frame1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89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7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10,304</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from investment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11,338</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9,485</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on related party note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deconsolidation of subsidiary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11,916</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Icahn Enterprises allocated to:</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52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declared per LP unit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8.00</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5" w:name="_f934ca47_1ba8_4c23_8412_64b3ce21edd0"/>
      <w:bookmarkEnd w:id="275"/>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276" w:name="COMPREHENSIVEINCOMELOSS_916205"/>
      <w:bookmarkEnd w:id="276"/>
      <w:r>
        <w:rPr>
          <w:rFonts w:ascii="Times New Roman;Times;serif" w:hAnsi="Times New Roman;Times;serif"/>
          <w:b/>
          <w:sz w:val="20"/>
        </w:rPr>
        <w:t>CONSOLIDATED STATEMENTS OF COMPREHENSIVE INCOME (LOSS)</w:t>
      </w:r>
    </w:p>
    <w:p>
      <w:pPr>
        <w:pStyle w:val="Normal"/>
        <w:bidi w:val="0"/>
        <w:spacing w:before="0" w:after="0"/>
        <w:jc w:val="left"/>
        <w:rPr>
          <w:sz w:val="4"/>
          <w:szCs w:val="4"/>
        </w:rPr>
      </w:pPr>
      <w:r>
        <w:rPr>
          <w:sz w:val="4"/>
          <w:szCs w:val="4"/>
        </w:rPr>
      </w:r>
      <w:bookmarkStart w:id="277" w:name="Tc_OOp7dlHSmEWtuy7Yj1TqEA_16_8"/>
      <w:bookmarkStart w:id="278" w:name="Tc_2UA6lHUix069GeP6S8idnQ_16_5"/>
      <w:bookmarkStart w:id="279" w:name="Tc_8S_U_wEYvkG-SAyYZ1KN1g_16_2"/>
      <w:bookmarkStart w:id="280" w:name="Tc_dujL6y0qwkGbpY2dVGWsOg_15_0"/>
      <w:bookmarkStart w:id="281" w:name="Tc_rY9e0FcAgUaVd7xriINjsQ_14_8"/>
      <w:bookmarkStart w:id="282" w:name="Tc_GS5FvdM_nUmVW2dk4x6Nbg_14_5"/>
      <w:bookmarkStart w:id="283" w:name="Tc_Zub9xBZOUE2Ohztg8EJ5Jg_14_2"/>
      <w:bookmarkStart w:id="284" w:name="Tc_6UuPLb7McUmD6f-OBVIZWw_14_0"/>
      <w:bookmarkStart w:id="285" w:name="Tc_ihQxplId_0qKC96kltj6pw_13_0"/>
      <w:bookmarkStart w:id="286" w:name="Tc_3UW4fdI82UG4WvU5xr4Sdg_11_8"/>
      <w:bookmarkStart w:id="287" w:name="Tc_lidSkbKiL0y4mX1kU68wPw_11_5"/>
      <w:bookmarkStart w:id="288" w:name="Tc_TU80xB1G30mhSW0xhWZIVw_11_2"/>
      <w:bookmarkStart w:id="289" w:name="Tc_X0uCzVYmeUCR0VjfNewItg_11_0"/>
      <w:bookmarkStart w:id="290" w:name="Tc_yT5LKceNPkW8Kw9ne4TMaw_10_0"/>
      <w:bookmarkStart w:id="291" w:name="Tc_W7fP1Cn7BEOZdLNieNnMfg_9_0"/>
      <w:bookmarkStart w:id="292" w:name="Tc_kp8rNY5gB0aG3HXPUWRRYQ_8_0"/>
      <w:bookmarkStart w:id="293" w:name="Tc_lBG4jZgXPUS-XSVl4h0lOw_7_0"/>
      <w:bookmarkStart w:id="294" w:name="Tc_9-PPOBnY7Uir2NRA-vgU-A_6_0"/>
      <w:bookmarkStart w:id="295" w:name="Tc_BhjecYOGsU2Q9iQdrLstGQ_5_0"/>
      <w:bookmarkStart w:id="296" w:name="Tc_eNKyYEHczECY0eoSgL0FXw_4_8"/>
      <w:bookmarkStart w:id="297" w:name="Tc_f0TehBbGU0ev-ED-fwmGIw_4_5"/>
      <w:bookmarkStart w:id="298" w:name="Tc_M7x74cLcZE6o6Do8Zt1P2A_4_2"/>
      <w:bookmarkStart w:id="299" w:name="Tc_2BqOzWr6K0SXbExmWAPChw_4_0"/>
      <w:bookmarkStart w:id="300" w:name="Tc_G-AzNBYK4UippztqP7Qugg_3_2"/>
      <w:bookmarkStart w:id="301" w:name="Tc_UG9OG1kyaE2I9-Eo5Y03ZQ_2_8"/>
      <w:bookmarkStart w:id="302" w:name="Tc__52V7EWwC0iQyh4-aikvxA_2_5"/>
      <w:bookmarkStart w:id="303" w:name="Tc_7FAk5blGsEqsR0XZgWt-NQ_2_2"/>
      <w:bookmarkStart w:id="304" w:name="Tc_E7h_kwmHYECqNsoay2Nxsw_1_2"/>
      <w:bookmarkStart w:id="305" w:name="_e0045651_0760_44a2_97b9_5dc899f56456"/>
      <w:bookmarkStart w:id="306" w:name="Tc_OOp7dlHSmEWtuy7Yj1TqEA_16_8"/>
      <w:bookmarkStart w:id="307" w:name="Tc_2UA6lHUix069GeP6S8idnQ_16_5"/>
      <w:bookmarkStart w:id="308" w:name="Tc_8S_U_wEYvkG-SAyYZ1KN1g_16_2"/>
      <w:bookmarkStart w:id="309" w:name="Tc_dujL6y0qwkGbpY2dVGWsOg_15_0"/>
      <w:bookmarkStart w:id="310" w:name="Tc_rY9e0FcAgUaVd7xriINjsQ_14_8"/>
      <w:bookmarkStart w:id="311" w:name="Tc_GS5FvdM_nUmVW2dk4x6Nbg_14_5"/>
      <w:bookmarkStart w:id="312" w:name="Tc_Zub9xBZOUE2Ohztg8EJ5Jg_14_2"/>
      <w:bookmarkStart w:id="313" w:name="Tc_6UuPLb7McUmD6f-OBVIZWw_14_0"/>
      <w:bookmarkStart w:id="314" w:name="Tc_ihQxplId_0qKC96kltj6pw_13_0"/>
      <w:bookmarkStart w:id="315" w:name="Tc_3UW4fdI82UG4WvU5xr4Sdg_11_8"/>
      <w:bookmarkStart w:id="316" w:name="Tc_lidSkbKiL0y4mX1kU68wPw_11_5"/>
      <w:bookmarkStart w:id="317" w:name="Tc_TU80xB1G30mhSW0xhWZIVw_11_2"/>
      <w:bookmarkStart w:id="318" w:name="Tc_X0uCzVYmeUCR0VjfNewItg_11_0"/>
      <w:bookmarkStart w:id="319" w:name="Tc_yT5LKceNPkW8Kw9ne4TMaw_10_0"/>
      <w:bookmarkStart w:id="320" w:name="Tc_W7fP1Cn7BEOZdLNieNnMfg_9_0"/>
      <w:bookmarkStart w:id="321" w:name="Tc_kp8rNY5gB0aG3HXPUWRRYQ_8_0"/>
      <w:bookmarkStart w:id="322" w:name="Tc_lBG4jZgXPUS-XSVl4h0lOw_7_0"/>
      <w:bookmarkStart w:id="323" w:name="Tc_9-PPOBnY7Uir2NRA-vgU-A_6_0"/>
      <w:bookmarkStart w:id="324" w:name="Tc_BhjecYOGsU2Q9iQdrLstGQ_5_0"/>
      <w:bookmarkStart w:id="325" w:name="Tc_eNKyYEHczECY0eoSgL0FXw_4_8"/>
      <w:bookmarkStart w:id="326" w:name="Tc_f0TehBbGU0ev-ED-fwmGIw_4_5"/>
      <w:bookmarkStart w:id="327" w:name="Tc_M7x74cLcZE6o6Do8Zt1P2A_4_2"/>
      <w:bookmarkStart w:id="328" w:name="Tc_2BqOzWr6K0SXbExmWAPChw_4_0"/>
      <w:bookmarkStart w:id="329" w:name="Tc_G-AzNBYK4UippztqP7Qugg_3_2"/>
      <w:bookmarkStart w:id="330" w:name="Tc_UG9OG1kyaE2I9-Eo5Y03ZQ_2_8"/>
      <w:bookmarkStart w:id="331" w:name="Tc__52V7EWwC0iQyh4-aikvxA_2_5"/>
      <w:bookmarkStart w:id="332" w:name="Tc_7FAk5blGsEqsR0XZgWt-NQ_2_2"/>
      <w:bookmarkStart w:id="333" w:name="Tc_E7h_kwmHYECqNsoay2Nxsw_1_2"/>
      <w:bookmarkStart w:id="334" w:name="_e0045651_0760_44a2_97b9_5dc899f56456"/>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tbl>
      <w:tblPr>
        <w:tblW w:w="9670" w:type="dxa"/>
        <w:jc w:val="left"/>
        <w:tblInd w:w="0" w:type="dxa"/>
        <w:tblLayout w:type="fixed"/>
        <w:tblCellMar>
          <w:top w:w="0" w:type="dxa"/>
          <w:left w:w="0" w:type="dxa"/>
          <w:bottom w:w="0" w:type="dxa"/>
          <w:right w:w="0" w:type="dxa"/>
        </w:tblCellMar>
      </w:tblPr>
      <w:tblGrid>
        <w:gridCol w:w="6241"/>
        <w:gridCol w:w="326"/>
        <w:gridCol w:w="211"/>
        <w:gridCol w:w="691"/>
        <w:gridCol w:w="326"/>
        <w:gridCol w:w="211"/>
        <w:gridCol w:w="541"/>
        <w:gridCol w:w="326"/>
        <w:gridCol w:w="211"/>
        <w:gridCol w:w="586"/>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63035" cy="175260"/>
                      <wp:effectExtent l="0" t="0" r="0" b="0"/>
                      <wp:wrapNone/>
                      <wp:docPr id="167" name="Frame167"/>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43535" cy="175260"/>
                      <wp:effectExtent l="0" t="0" r="0" b="0"/>
                      <wp:wrapNone/>
                      <wp:docPr id="173" name="Frame17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72110" cy="175260"/>
                      <wp:effectExtent l="0" t="0" r="0" b="0"/>
                      <wp:wrapNone/>
                      <wp:docPr id="176" name="Frame17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967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income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r>
      <w:tr>
        <w:trPr/>
        <w:tc>
          <w:tcPr>
            <w:tcW w:w="6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 allocated to:</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6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5" w:name="_44118a31_7af8_48cb_bcda_88194265b249"/>
      <w:bookmarkEnd w:id="335"/>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336" w:name="CHANGESINEQUITY_806278"/>
      <w:bookmarkEnd w:id="336"/>
      <w:r>
        <w:rPr>
          <w:rFonts w:ascii="Times New Roman;Times;serif" w:hAnsi="Times New Roman;Times;serif"/>
          <w:b/>
          <w:sz w:val="20"/>
        </w:rPr>
        <w:t>CONSOLIDATED STATEMENT OF CHANGES IN EQUITY</w:t>
      </w:r>
    </w:p>
    <w:p>
      <w:pPr>
        <w:pStyle w:val="Normal"/>
        <w:bidi w:val="0"/>
        <w:spacing w:before="0" w:after="0"/>
        <w:jc w:val="left"/>
        <w:rPr>
          <w:sz w:val="4"/>
          <w:szCs w:val="4"/>
        </w:rPr>
      </w:pPr>
      <w:r>
        <w:rPr>
          <w:sz w:val="4"/>
          <w:szCs w:val="4"/>
        </w:rPr>
      </w:r>
      <w:bookmarkStart w:id="337" w:name="Tc_myQJac8YDkavxGYdyA1ZHQ_31_14"/>
      <w:bookmarkStart w:id="338" w:name="Tc_YGBgMXRSr029DEEcwOiukw_31_11"/>
      <w:bookmarkStart w:id="339" w:name="Tc_kkbWY6mz9UKrzFz0gU8aBw_31_8"/>
      <w:bookmarkStart w:id="340" w:name="Tc_T3OH_W02vkOP6-QKd43NWw_31_5"/>
      <w:bookmarkStart w:id="341" w:name="Tc_7Pizq824F0OzIEUKC0CC-w_31_2"/>
      <w:bookmarkStart w:id="342" w:name="Tc_kJypJMB7EUCW19oyLPvg1A_31_0"/>
      <w:bookmarkStart w:id="343" w:name="Tc_dDBLlnF61UOvA3g0PxInGw_30_0"/>
      <w:bookmarkStart w:id="344" w:name="Tc_D1LUcJcwqki0EqGZvGu3Aw_29_9"/>
      <w:bookmarkStart w:id="345" w:name="Tc_xxLINy9qOEOqt3lxkkcJxA_29_6"/>
      <w:bookmarkStart w:id="346" w:name="Tc_n70b-axjbEySvCVZZezIoQ_29_3"/>
      <w:bookmarkStart w:id="347" w:name="Tc_U5jZor0B3kiLbdkTcioKNA_29_0"/>
      <w:bookmarkStart w:id="348" w:name="Tc_1Z1-hEdM40OeqEpllOi__g_28_9"/>
      <w:bookmarkStart w:id="349" w:name="Tc_ZRTBwjlcMEaYF5tEDeckcw_28_6"/>
      <w:bookmarkStart w:id="350" w:name="Tc_rr5th0hNXEeV_i1FTMQXIA_28_3"/>
      <w:bookmarkStart w:id="351" w:name="Tc_zLlrHquii024ERIhixukCg_28_0"/>
      <w:bookmarkStart w:id="352" w:name="Tc_0iX11JMiakiEsAbd9-2JAw_27_12"/>
      <w:bookmarkStart w:id="353" w:name="Tc_vibiCcJ-MESaVbk-IKhfRg_27_0"/>
      <w:bookmarkStart w:id="354" w:name="Tc_0jsBS1N0lEulaSD_iGsgxA_26_12"/>
      <w:bookmarkStart w:id="355" w:name="Tc_Wh3Ln9q8e0CNonGmriNRog_26_0"/>
      <w:bookmarkStart w:id="356" w:name="Tc_V-jyMGYmBUS7OgwL741GJw_25_12"/>
      <w:bookmarkStart w:id="357" w:name="Tc_Aw6VkuQdcE-_ke5H9WUV_g_25_3"/>
      <w:bookmarkStart w:id="358" w:name="Tc_4v6oUTGLdke88W6IZQN6oA_25_0"/>
      <w:bookmarkStart w:id="359" w:name="Tc_cqpkfi8XQUOlDIHTqBxoWg_24_0"/>
      <w:bookmarkStart w:id="360" w:name="Tc_U9s7W61FtUSZNn0P6EZVFA_23_0"/>
      <w:bookmarkStart w:id="361" w:name="Tc_N1Wo-TSdbk24-49r6YURCA_22_3"/>
      <w:bookmarkStart w:id="362" w:name="Tc_fqcBhMz2JESfYHwCbYsLHw_22_0"/>
      <w:bookmarkStart w:id="363" w:name="Tc_2bFjxHPq5kGqNoTI4oDKow_21_9"/>
      <w:bookmarkStart w:id="364" w:name="Tc_mgvBXYg3DkWAs1L8OEfa4A_21_6"/>
      <w:bookmarkStart w:id="365" w:name="Tc_FdCQl9sgXUWpjg8DNRKLMw_21_3"/>
      <w:bookmarkStart w:id="366" w:name="Tc_fc7qdvxu_E6zW71My9Yvag_21_0"/>
      <w:bookmarkStart w:id="367" w:name="Tc_zz3EfrUriE2yyJ2ws7b9SA_20_9"/>
      <w:bookmarkStart w:id="368" w:name="Tc_pbOP9kwyY0CC9W2IqjdnMw_20_6"/>
      <w:bookmarkStart w:id="369" w:name="Tc_wiS5B1nTO0iLB_r01FKRug_20_3"/>
      <w:bookmarkStart w:id="370" w:name="Tc_Az3dM9L2TEOouFrWIx1ddw_20_0"/>
      <w:bookmarkStart w:id="371" w:name="Tc__OW8HuiQAkKkqsd14wlZVA_19_9"/>
      <w:bookmarkStart w:id="372" w:name="Tc_idlTEBmAJkaiszdoQlB6Qg_19_6"/>
      <w:bookmarkStart w:id="373" w:name="Tc_q15IQBttakKEYjvdAg8msw_19_3"/>
      <w:bookmarkStart w:id="374" w:name="Tc_HSuA9q6AN0S9i9eU727h-A_19_0"/>
      <w:bookmarkStart w:id="375" w:name="Tc_TqtwAeF8XUmuxYIwfQwdJw_18_12"/>
      <w:bookmarkStart w:id="376" w:name="Tc_YVt2TAcUF0KoJVoRRVzmYQ_18_0"/>
      <w:bookmarkStart w:id="377" w:name="Tc_DZ9qle5-gkGFKE4jA-wmhw_17_12"/>
      <w:bookmarkStart w:id="378" w:name="Tc_KhnA7wM-YUOtVhs0z5HP8g_17_0"/>
      <w:bookmarkStart w:id="379" w:name="Tc_n1wIsHyub0CbkJNosuu9OA_16_12"/>
      <w:bookmarkStart w:id="380" w:name="Tc_cdFLav9A20G0uc9nNJeSng_16_3"/>
      <w:bookmarkStart w:id="381" w:name="Tc_yV6sFjhogk-v8roKkWJHOw_16_0"/>
      <w:bookmarkStart w:id="382" w:name="Tc_qoiqcPNrvkKv4C2RVx0SaA_15_0"/>
      <w:bookmarkStart w:id="383" w:name="Tc_G8yVf5bt-ESDPh_hDIPsmg_14_0"/>
      <w:bookmarkStart w:id="384" w:name="Tc_nrl-SMBjkE2v06VEsZ2bow_13_0"/>
      <w:bookmarkStart w:id="385" w:name="Tc_-zV7siFPaUuvM0BvBpPMAA_12_9"/>
      <w:bookmarkStart w:id="386" w:name="Tc_TUJ3ai9zMU61lAfFVYRAFg_12_6"/>
      <w:bookmarkStart w:id="387" w:name="Tc_BA2GFPJK80CaMcu8-qEJ-A_12_3"/>
      <w:bookmarkStart w:id="388" w:name="Tc_g0dDIuslj0qHIsR7Db8LEw_12_0"/>
      <w:bookmarkStart w:id="389" w:name="Tc_i8vNFct0Ykym57M4FMVTKw_11_9"/>
      <w:bookmarkStart w:id="390" w:name="Tc_FMJD7LshWECd3Ah86D6h5Q_11_6"/>
      <w:bookmarkStart w:id="391" w:name="Tc_UwDnkSKxWkeCVmHixs0pZg_11_3"/>
      <w:bookmarkStart w:id="392" w:name="Tc_y8U-SqZRGUaHnnV5JBXwOQ_11_0"/>
      <w:bookmarkStart w:id="393" w:name="Tc_WRKuMlh6LE2hY9w4ozh6EA_10_12"/>
      <w:bookmarkStart w:id="394" w:name="Tc_7yaQlatY90qTROeENGDwpg_10_0"/>
      <w:bookmarkStart w:id="395" w:name="Tc_CcBAAz497UqwZBI8QvpYDg_9_12"/>
      <w:bookmarkStart w:id="396" w:name="Tc_CImINUDY8kmVfp5B73g1Ww_9_0"/>
      <w:bookmarkStart w:id="397" w:name="Tc_VDgMfeqJwUi04gfzcQQBrQ_8_3"/>
      <w:bookmarkStart w:id="398" w:name="Tc_wbrkrkvKN0OGzShxlvi98Q_8_0"/>
      <w:bookmarkStart w:id="399" w:name="Tc_rQDUmqVyBka7fQsHtR23zA_7_0"/>
      <w:bookmarkStart w:id="400" w:name="Tc_-xk-iMd5gEWDpZ_WWTEKWA_6_14"/>
      <w:bookmarkStart w:id="401" w:name="Tc_-gEMj7-ReUKsEQ98wH0jrw_6_11"/>
      <w:bookmarkStart w:id="402" w:name="Tc_ADTMDokghkOqFGe-lJZmww_6_8"/>
      <w:bookmarkStart w:id="403" w:name="Tc_rmYhV8oZnE-peytfX6PU1w_6_5"/>
      <w:bookmarkStart w:id="404" w:name="Tc_CpIdsIOz7ki1juR-GY1LWA_6_2"/>
      <w:bookmarkStart w:id="405" w:name="Tc_dL7bJRe0aEq1Kv-DhuzDIA_6_0"/>
      <w:bookmarkStart w:id="406" w:name="Tc_B_oGIYKcYkSoBaYg6Hn7ew_5_2"/>
      <w:bookmarkStart w:id="407" w:name="Tc_jtn_DGW6zEizqMT7odJNlA_4_14"/>
      <w:bookmarkStart w:id="408" w:name="Tc_bQF2RtRymEmvq5Vnkc9kVw_4_11"/>
      <w:bookmarkStart w:id="409" w:name="Tc_Pf_zlCR-S0eLEXCsHpTxjg_4_8"/>
      <w:bookmarkStart w:id="410" w:name="Tc_6rGZxi3bt0yBVr5Ij2rTkw_4_5"/>
      <w:bookmarkStart w:id="411" w:name="Tc_VAgU2p0jAEemGeFF6qgR_Q_4_2"/>
      <w:bookmarkStart w:id="412" w:name="Tc_KapnDo5r7kOCNLsIPp1gBA_3_11"/>
      <w:bookmarkStart w:id="413" w:name="Tc_QBJqo2KoJ0qjjdg6ZX6new_3_8"/>
      <w:bookmarkStart w:id="414" w:name="Tc_C-87mgiLLkOKx8M6LeEBDg_3_5"/>
      <w:bookmarkStart w:id="415" w:name="Tc_yZiRl4DVv0O0-yet2_WM0w_3_2"/>
      <w:bookmarkStart w:id="416" w:name="Tc_rzedGdpOJEq-wfy_tLAZVw_2_11"/>
      <w:bookmarkStart w:id="417" w:name="Tc_tybmxWHFqkadx7cG8FwO-A_2_5"/>
      <w:bookmarkStart w:id="418" w:name="Tc_2bFgC8_luEyvwHXgIcz50Q_2_2"/>
      <w:bookmarkStart w:id="419" w:name="Tc_aPXq94NDV0iVGlN4U7tvaw_1_2"/>
      <w:bookmarkStart w:id="420" w:name="_4b1d1af0_09f5_40af_ae98_ce2001c0518f"/>
      <w:bookmarkStart w:id="421" w:name="Tc_myQJac8YDkavxGYdyA1ZHQ_31_14"/>
      <w:bookmarkStart w:id="422" w:name="Tc_YGBgMXRSr029DEEcwOiukw_31_11"/>
      <w:bookmarkStart w:id="423" w:name="Tc_kkbWY6mz9UKrzFz0gU8aBw_31_8"/>
      <w:bookmarkStart w:id="424" w:name="Tc_T3OH_W02vkOP6-QKd43NWw_31_5"/>
      <w:bookmarkStart w:id="425" w:name="Tc_7Pizq824F0OzIEUKC0CC-w_31_2"/>
      <w:bookmarkStart w:id="426" w:name="Tc_kJypJMB7EUCW19oyLPvg1A_31_0"/>
      <w:bookmarkStart w:id="427" w:name="Tc_dDBLlnF61UOvA3g0PxInGw_30_0"/>
      <w:bookmarkStart w:id="428" w:name="Tc_D1LUcJcwqki0EqGZvGu3Aw_29_9"/>
      <w:bookmarkStart w:id="429" w:name="Tc_xxLINy9qOEOqt3lxkkcJxA_29_6"/>
      <w:bookmarkStart w:id="430" w:name="Tc_n70b-axjbEySvCVZZezIoQ_29_3"/>
      <w:bookmarkStart w:id="431" w:name="Tc_U5jZor0B3kiLbdkTcioKNA_29_0"/>
      <w:bookmarkStart w:id="432" w:name="Tc_1Z1-hEdM40OeqEpllOi__g_28_9"/>
      <w:bookmarkStart w:id="433" w:name="Tc_ZRTBwjlcMEaYF5tEDeckcw_28_6"/>
      <w:bookmarkStart w:id="434" w:name="Tc_rr5th0hNXEeV_i1FTMQXIA_28_3"/>
      <w:bookmarkStart w:id="435" w:name="Tc_zLlrHquii024ERIhixukCg_28_0"/>
      <w:bookmarkStart w:id="436" w:name="Tc_0iX11JMiakiEsAbd9-2JAw_27_12"/>
      <w:bookmarkStart w:id="437" w:name="Tc_vibiCcJ-MESaVbk-IKhfRg_27_0"/>
      <w:bookmarkStart w:id="438" w:name="Tc_0jsBS1N0lEulaSD_iGsgxA_26_12"/>
      <w:bookmarkStart w:id="439" w:name="Tc_Wh3Ln9q8e0CNonGmriNRog_26_0"/>
      <w:bookmarkStart w:id="440" w:name="Tc_V-jyMGYmBUS7OgwL741GJw_25_12"/>
      <w:bookmarkStart w:id="441" w:name="Tc_Aw6VkuQdcE-_ke5H9WUV_g_25_3"/>
      <w:bookmarkStart w:id="442" w:name="Tc_4v6oUTGLdke88W6IZQN6oA_25_0"/>
      <w:bookmarkStart w:id="443" w:name="Tc_cqpkfi8XQUOlDIHTqBxoWg_24_0"/>
      <w:bookmarkStart w:id="444" w:name="Tc_U9s7W61FtUSZNn0P6EZVFA_23_0"/>
      <w:bookmarkStart w:id="445" w:name="Tc_N1Wo-TSdbk24-49r6YURCA_22_3"/>
      <w:bookmarkStart w:id="446" w:name="Tc_fqcBhMz2JESfYHwCbYsLHw_22_0"/>
      <w:bookmarkStart w:id="447" w:name="Tc_2bFjxHPq5kGqNoTI4oDKow_21_9"/>
      <w:bookmarkStart w:id="448" w:name="Tc_mgvBXYg3DkWAs1L8OEfa4A_21_6"/>
      <w:bookmarkStart w:id="449" w:name="Tc_FdCQl9sgXUWpjg8DNRKLMw_21_3"/>
      <w:bookmarkStart w:id="450" w:name="Tc_fc7qdvxu_E6zW71My9Yvag_21_0"/>
      <w:bookmarkStart w:id="451" w:name="Tc_zz3EfrUriE2yyJ2ws7b9SA_20_9"/>
      <w:bookmarkStart w:id="452" w:name="Tc_pbOP9kwyY0CC9W2IqjdnMw_20_6"/>
      <w:bookmarkStart w:id="453" w:name="Tc_wiS5B1nTO0iLB_r01FKRug_20_3"/>
      <w:bookmarkStart w:id="454" w:name="Tc_Az3dM9L2TEOouFrWIx1ddw_20_0"/>
      <w:bookmarkStart w:id="455" w:name="Tc__OW8HuiQAkKkqsd14wlZVA_19_9"/>
      <w:bookmarkStart w:id="456" w:name="Tc_idlTEBmAJkaiszdoQlB6Qg_19_6"/>
      <w:bookmarkStart w:id="457" w:name="Tc_q15IQBttakKEYjvdAg8msw_19_3"/>
      <w:bookmarkStart w:id="458" w:name="Tc_HSuA9q6AN0S9i9eU727h-A_19_0"/>
      <w:bookmarkStart w:id="459" w:name="Tc_TqtwAeF8XUmuxYIwfQwdJw_18_12"/>
      <w:bookmarkStart w:id="460" w:name="Tc_YVt2TAcUF0KoJVoRRVzmYQ_18_0"/>
      <w:bookmarkStart w:id="461" w:name="Tc_DZ9qle5-gkGFKE4jA-wmhw_17_12"/>
      <w:bookmarkStart w:id="462" w:name="Tc_KhnA7wM-YUOtVhs0z5HP8g_17_0"/>
      <w:bookmarkStart w:id="463" w:name="Tc_n1wIsHyub0CbkJNosuu9OA_16_12"/>
      <w:bookmarkStart w:id="464" w:name="Tc_cdFLav9A20G0uc9nNJeSng_16_3"/>
      <w:bookmarkStart w:id="465" w:name="Tc_yV6sFjhogk-v8roKkWJHOw_16_0"/>
      <w:bookmarkStart w:id="466" w:name="Tc_qoiqcPNrvkKv4C2RVx0SaA_15_0"/>
      <w:bookmarkStart w:id="467" w:name="Tc_G8yVf5bt-ESDPh_hDIPsmg_14_0"/>
      <w:bookmarkStart w:id="468" w:name="Tc_nrl-SMBjkE2v06VEsZ2bow_13_0"/>
      <w:bookmarkStart w:id="469" w:name="Tc_-zV7siFPaUuvM0BvBpPMAA_12_9"/>
      <w:bookmarkStart w:id="470" w:name="Tc_TUJ3ai9zMU61lAfFVYRAFg_12_6"/>
      <w:bookmarkStart w:id="471" w:name="Tc_BA2GFPJK80CaMcu8-qEJ-A_12_3"/>
      <w:bookmarkStart w:id="472" w:name="Tc_g0dDIuslj0qHIsR7Db8LEw_12_0"/>
      <w:bookmarkStart w:id="473" w:name="Tc_i8vNFct0Ykym57M4FMVTKw_11_9"/>
      <w:bookmarkStart w:id="474" w:name="Tc_FMJD7LshWECd3Ah86D6h5Q_11_6"/>
      <w:bookmarkStart w:id="475" w:name="Tc_UwDnkSKxWkeCVmHixs0pZg_11_3"/>
      <w:bookmarkStart w:id="476" w:name="Tc_y8U-SqZRGUaHnnV5JBXwOQ_11_0"/>
      <w:bookmarkStart w:id="477" w:name="Tc_WRKuMlh6LE2hY9w4ozh6EA_10_12"/>
      <w:bookmarkStart w:id="478" w:name="Tc_7yaQlatY90qTROeENGDwpg_10_0"/>
      <w:bookmarkStart w:id="479" w:name="Tc_CcBAAz497UqwZBI8QvpYDg_9_12"/>
      <w:bookmarkStart w:id="480" w:name="Tc_CImINUDY8kmVfp5B73g1Ww_9_0"/>
      <w:bookmarkStart w:id="481" w:name="Tc_VDgMfeqJwUi04gfzcQQBrQ_8_3"/>
      <w:bookmarkStart w:id="482" w:name="Tc_wbrkrkvKN0OGzShxlvi98Q_8_0"/>
      <w:bookmarkStart w:id="483" w:name="Tc_rQDUmqVyBka7fQsHtR23zA_7_0"/>
      <w:bookmarkStart w:id="484" w:name="Tc_-xk-iMd5gEWDpZ_WWTEKWA_6_14"/>
      <w:bookmarkStart w:id="485" w:name="Tc_-gEMj7-ReUKsEQ98wH0jrw_6_11"/>
      <w:bookmarkStart w:id="486" w:name="Tc_ADTMDokghkOqFGe-lJZmww_6_8"/>
      <w:bookmarkStart w:id="487" w:name="Tc_rmYhV8oZnE-peytfX6PU1w_6_5"/>
      <w:bookmarkStart w:id="488" w:name="Tc_CpIdsIOz7ki1juR-GY1LWA_6_2"/>
      <w:bookmarkStart w:id="489" w:name="Tc_dL7bJRe0aEq1Kv-DhuzDIA_6_0"/>
      <w:bookmarkStart w:id="490" w:name="Tc_B_oGIYKcYkSoBaYg6Hn7ew_5_2"/>
      <w:bookmarkStart w:id="491" w:name="Tc_jtn_DGW6zEizqMT7odJNlA_4_14"/>
      <w:bookmarkStart w:id="492" w:name="Tc_bQF2RtRymEmvq5Vnkc9kVw_4_11"/>
      <w:bookmarkStart w:id="493" w:name="Tc_Pf_zlCR-S0eLEXCsHpTxjg_4_8"/>
      <w:bookmarkStart w:id="494" w:name="Tc_6rGZxi3bt0yBVr5Ij2rTkw_4_5"/>
      <w:bookmarkStart w:id="495" w:name="Tc_VAgU2p0jAEemGeFF6qgR_Q_4_2"/>
      <w:bookmarkStart w:id="496" w:name="Tc_KapnDo5r7kOCNLsIPp1gBA_3_11"/>
      <w:bookmarkStart w:id="497" w:name="Tc_QBJqo2KoJ0qjjdg6ZX6new_3_8"/>
      <w:bookmarkStart w:id="498" w:name="Tc_C-87mgiLLkOKx8M6LeEBDg_3_5"/>
      <w:bookmarkStart w:id="499" w:name="Tc_yZiRl4DVv0O0-yet2_WM0w_3_2"/>
      <w:bookmarkStart w:id="500" w:name="Tc_rzedGdpOJEq-wfy_tLAZVw_2_11"/>
      <w:bookmarkStart w:id="501" w:name="Tc_tybmxWHFqkadx7cG8FwO-A_2_5"/>
      <w:bookmarkStart w:id="502" w:name="Tc_2bFgC8_luEyvwHXgIcz50Q_2_2"/>
      <w:bookmarkStart w:id="503" w:name="Tc_aPXq94NDV0iVGlN4U7tvaw_1_2"/>
      <w:bookmarkStart w:id="504" w:name="_4b1d1af0_09f5_40af_ae98_ce2001c0518f"/>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74"/>
        <w:gridCol w:w="822"/>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30705" cy="175260"/>
                      <wp:effectExtent l="0" t="0" r="0" b="0"/>
                      <wp:wrapNone/>
                      <wp:docPr id="177" name="Frame177"/>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3990" cy="175260"/>
                      <wp:effectExtent l="0" t="0" r="0" b="0"/>
                      <wp:wrapNone/>
                      <wp:docPr id="179" name="Frame17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98145" cy="175260"/>
                      <wp:effectExtent l="0" t="0" r="0" b="0"/>
                      <wp:wrapNone/>
                      <wp:docPr id="180" name="Frame18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9555" cy="175260"/>
                      <wp:effectExtent l="0" t="0" r="0" b="0"/>
                      <wp:wrapNone/>
                      <wp:docPr id="181" name="Frame18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1290" cy="175260"/>
                      <wp:effectExtent l="0" t="0" r="0" b="0"/>
                      <wp:wrapNone/>
                      <wp:docPr id="182" name="Frame18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37515" cy="175260"/>
                      <wp:effectExtent l="0" t="0" r="0" b="0"/>
                      <wp:wrapNone/>
                      <wp:docPr id="183" name="Frame18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9555" cy="175260"/>
                      <wp:effectExtent l="0" t="0" r="0" b="0"/>
                      <wp:wrapNone/>
                      <wp:docPr id="184" name="Frame18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34950" cy="175260"/>
                      <wp:effectExtent l="0" t="0" r="0" b="0"/>
                      <wp:wrapNone/>
                      <wp:docPr id="185" name="Frame18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4525" cy="175260"/>
                      <wp:effectExtent l="0" t="0" r="0" b="0"/>
                      <wp:wrapNone/>
                      <wp:docPr id="186" name="Frame186"/>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3990" cy="175260"/>
                      <wp:effectExtent l="0" t="0" r="0" b="0"/>
                      <wp:wrapNone/>
                      <wp:docPr id="188" name="Frame18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21970" cy="175260"/>
                      <wp:effectExtent l="0" t="0" r="0" b="0"/>
                      <wp:wrapNone/>
                      <wp:docPr id="189" name="Frame18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5420" cy="175260"/>
                      <wp:effectExtent l="0" t="0" r="0" b="0"/>
                      <wp:wrapNone/>
                      <wp:docPr id="191" name="Frame19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97535" cy="175260"/>
                      <wp:effectExtent l="0" t="0" r="0" b="0"/>
                      <wp:wrapNone/>
                      <wp:docPr id="192" name="Frame19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8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2020</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contributions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5,799</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contributions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(761)</w:t>
            </w:r>
          </w:p>
        </w:tc>
        <w:tc>
          <w:tcPr>
            <w:tcW w:w="393"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3,969</w:t>
            </w:r>
          </w:p>
        </w:tc>
        <w:tc>
          <w:tcPr>
            <w:tcW w:w="393"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3,208</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2,865</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6,073</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5" w:name="_080fb1ab_294c_48e5_a67b_8b7d68b6e7ff"/>
      <w:bookmarkEnd w:id="505"/>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506" w:name="CASHFLOWS_636712"/>
      <w:bookmarkEnd w:id="506"/>
      <w:r>
        <w:rPr>
          <w:rFonts w:ascii="Times New Roman;Times;serif" w:hAnsi="Times New Roman;Times;serif"/>
          <w:b/>
          <w:sz w:val="20"/>
        </w:rPr>
        <w:t>CONSOLIDATED STATEMENTS OF CASH FLOWS</w:t>
      </w:r>
    </w:p>
    <w:p>
      <w:pPr>
        <w:pStyle w:val="Normal"/>
        <w:bidi w:val="0"/>
        <w:spacing w:before="0" w:after="0"/>
        <w:jc w:val="left"/>
        <w:rPr>
          <w:sz w:val="4"/>
          <w:szCs w:val="4"/>
        </w:rPr>
      </w:pPr>
      <w:r>
        <w:rPr>
          <w:sz w:val="4"/>
          <w:szCs w:val="4"/>
        </w:rPr>
      </w:r>
      <w:bookmarkStart w:id="507" w:name="Tc_I7_fKMZ7iUK-gil2kbFfig_55_8"/>
      <w:bookmarkStart w:id="508" w:name="Tc_o-15iNvBP0eQTUST8BsyiA_55_5"/>
      <w:bookmarkStart w:id="509" w:name="Tc_XWJ7CrgTPk-_F7zAO2UHqQ_55_2"/>
      <w:bookmarkStart w:id="510" w:name="Tc_r0Ofvz1VA0W-VWXGXnkruw_55_0"/>
      <w:bookmarkStart w:id="511" w:name="Tc_ifSS1YTr60W-xCVDUEIepQ_54_0"/>
      <w:bookmarkStart w:id="512" w:name="Tc_bI_pwB0MfkGHGO3-51th5A_53_0"/>
      <w:bookmarkStart w:id="513" w:name="Tc_EIY0NPnrv0WeS1NXi67PSA_52_0"/>
      <w:bookmarkStart w:id="514" w:name="Tc_sz3MgLFtnEiiOiFpHA_3fQ_51_0"/>
      <w:bookmarkStart w:id="515" w:name="Tc_9SVMOFyqZ0a6Lqxntb4QUA_50_6"/>
      <w:bookmarkStart w:id="516" w:name="Tc_ZH3ORTCtpEWx3uH-c6I2pw_50_0"/>
      <w:bookmarkStart w:id="517" w:name="Tc_sNZn0IHx7k-tO78pCDWPeg_49_0"/>
      <w:bookmarkStart w:id="518" w:name="Tc_6yKgc3tV6ki5gN9c3D4xdA_48_0"/>
      <w:bookmarkStart w:id="519" w:name="Tc_WR90wkF83km3P5g9hqgqvQ_47_0"/>
      <w:bookmarkStart w:id="520" w:name="Tc_SKg_Mjuq90OmiCMuFVoicA_46_6"/>
      <w:bookmarkStart w:id="521" w:name="Tc_wrabTw8a90-jA9yGczx56A_46_0"/>
      <w:bookmarkStart w:id="522" w:name="Tc_5e29HQe_7UqPQOw4O2g_JA_45_0"/>
      <w:bookmarkStart w:id="523" w:name="Tc_phk-pGvTFUu3UJac1k53_w_44_9"/>
      <w:bookmarkStart w:id="524" w:name="Tc_U2R9txBTh0OpiRElfpUnPw_44_0"/>
      <w:bookmarkStart w:id="525" w:name="Tc_wkQnw7t2Ok2PRwrAg_SURw_43_0"/>
      <w:bookmarkStart w:id="526" w:name="Tc_0w9AZxbsZkmkHspHk-ndmw_42_0"/>
      <w:bookmarkStart w:id="527" w:name="Tc_5teK1jildk2J2zYI0WosEw_41_0"/>
      <w:bookmarkStart w:id="528" w:name="Tc_x087e2zB5EaltGU44XTXkA_40_3"/>
      <w:bookmarkStart w:id="529" w:name="Tc_00KewUi5oEGMvuo93UlhSA_40_0"/>
      <w:bookmarkStart w:id="530" w:name="Tc_WGiBe7dDNEuqgm5CzPm9Ww_39_0"/>
      <w:bookmarkStart w:id="531" w:name="Tc_JkgatLsmEkOdlmCyM-YhRg_38_0"/>
      <w:bookmarkStart w:id="532" w:name="Tc_r_BdEKvqV02pC6ebucr3uQ_37_0"/>
      <w:bookmarkStart w:id="533" w:name="Tc_WGRmY9_Sa0OfiOAnRxHNSw_36_9"/>
      <w:bookmarkStart w:id="534" w:name="Tc_VXKUhGkDWE2UpkozGmat8Q_36_6"/>
      <w:bookmarkStart w:id="535" w:name="Tc_sa_4rvkHfEWqo9argmm3pA_36_0"/>
      <w:bookmarkStart w:id="536" w:name="Tc__yHNfnkRQkWgp-HyYh-E6A_35_0"/>
      <w:bookmarkStart w:id="537" w:name="Tc_YbkJKG93Q0ehlHBPzqXiLQ_34_3"/>
      <w:bookmarkStart w:id="538" w:name="Tc_ebY8qaddWU6sOj1tdFHOqQ_34_0"/>
      <w:bookmarkStart w:id="539" w:name="Tc_7xSkUw2oxU68WK6BogUT5w_33_6"/>
      <w:bookmarkStart w:id="540" w:name="Tc_QN5PHepDA0K1viGquU43KA_33_0"/>
      <w:bookmarkStart w:id="541" w:name="Tc_Hhbushn-PEGnpefyVrihVg_32_0"/>
      <w:bookmarkStart w:id="542" w:name="Tc_K-WSBYbbgUSbSirrc3VPXA_31_0"/>
      <w:bookmarkStart w:id="543" w:name="Tc_C4s7MOU87EqbTWUNDi13jw_30_0"/>
      <w:bookmarkStart w:id="544" w:name="Tc_barPdnezMkqvdid5HQqmiw_29_0"/>
      <w:bookmarkStart w:id="545" w:name="Tc_TviiyYsgMkWIbyDIkses7g_28_0"/>
      <w:bookmarkStart w:id="546" w:name="Tc_wKRew0oe_0ad8gnCZkuqzg_27_0"/>
      <w:bookmarkStart w:id="547" w:name="Tc_QybEe7Qx70GJiyyzCitixQ_26_0"/>
      <w:bookmarkStart w:id="548" w:name="Tc_TlUC7r2JEUWDoS7SStbNqA_25_0"/>
      <w:bookmarkStart w:id="549" w:name="Tc_Vx7NuzthM0WyatT3CQ2nxQ_24_9"/>
      <w:bookmarkStart w:id="550" w:name="Tc_WrZNIWhpgUCR184ltL9dMg_24_6"/>
      <w:bookmarkStart w:id="551" w:name="Tc_LeFihlJt50OVN3ixGA6lwA_24_0"/>
      <w:bookmarkStart w:id="552" w:name="Tc_Z8ZdZxXwmkyY4NbLX7TmHA_23_0"/>
      <w:bookmarkStart w:id="553" w:name="Tc_I3jANbtG1ECUbYvcWJ-eRg_22_0"/>
      <w:bookmarkStart w:id="554" w:name="Tc_WXcUj5LEU0-svLfvhak7EQ_21_0"/>
      <w:bookmarkStart w:id="555" w:name="Tc_Hlyq4NXkzUeU6_U1g9UG4w_20_3"/>
      <w:bookmarkStart w:id="556" w:name="Tc_CDxe6qHLWkCqt9OEw1OVPQ_20_0"/>
      <w:bookmarkStart w:id="557" w:name="Tc_W_73myxTtEajvpP7tTI6kQ_19_0"/>
      <w:bookmarkStart w:id="558" w:name="Tc_r_dtrMdBCEiqOqhaIDkWKA_18_9"/>
      <w:bookmarkStart w:id="559" w:name="Tc_lB31RaK4qku0lMtLIbnkig_18_6"/>
      <w:bookmarkStart w:id="560" w:name="Tc_xy5PrN0U0k6-I3EkPB5OKg_18_0"/>
      <w:bookmarkStart w:id="561" w:name="Tc_ampclBO53EGGHpUnU9Fv9w_17_9"/>
      <w:bookmarkStart w:id="562" w:name="Tc_Ix4m0HM1fk6qKY2pPFrDmQ_17_6"/>
      <w:bookmarkStart w:id="563" w:name="Tc_rQ-lvdxWh02sVSZUl86tBw_17_0"/>
      <w:bookmarkStart w:id="564" w:name="Tc_dfOePZZvjkaOVaiWBVm6LA_16_9"/>
      <w:bookmarkStart w:id="565" w:name="Tc_AKCIyCTyuU-VKmH5-A4ptA_16_6"/>
      <w:bookmarkStart w:id="566" w:name="Tc_DW-vTtNCHEaVJ73XyOojLw_16_0"/>
      <w:bookmarkStart w:id="567" w:name="Tc__0C821UePkWQ6LkNmJfnyQ_15_0"/>
      <w:bookmarkStart w:id="568" w:name="Tc_ygr8t4suqEGMFIdgAFaY0Q_14_0"/>
      <w:bookmarkStart w:id="569" w:name="Tc_xA_RUzvd302x3MSCtWgntg_13_0"/>
      <w:bookmarkStart w:id="570" w:name="Tc_o4nU9RcfB0a5TtuKlHuuAw_12_0"/>
      <w:bookmarkStart w:id="571" w:name="Tc_GH466x9l1kODzGjSiuaOJQ_11_0"/>
      <w:bookmarkStart w:id="572" w:name="Tc_Eb_SL9oUF0u6z1HBZEl-Tg_10_0"/>
      <w:bookmarkStart w:id="573" w:name="Tc_60nf7njO6E2jwX_Tr-Adwg_9_0"/>
      <w:bookmarkStart w:id="574" w:name="Tc_4q36RZCv00OsGm7V0vjwHw_8_0"/>
      <w:bookmarkStart w:id="575" w:name="Tc_n7f_n64YF0O8l_g_UFJfJA_7_0"/>
      <w:bookmarkStart w:id="576" w:name="Tc_k5jwXe9IMEiLB9SHihZvaQ_6_0"/>
      <w:bookmarkStart w:id="577" w:name="Tc_I8vrXKfxF0-MM1n_dNQzqg_5_8"/>
      <w:bookmarkStart w:id="578" w:name="Tc_s0zxE1mJY0-m7rLQYw788w_5_5"/>
      <w:bookmarkStart w:id="579" w:name="Tc_a8Ysfkam_Uu28uX2vFe5UQ_5_2"/>
      <w:bookmarkStart w:id="580" w:name="Tc_VgVAm-6yy06lpNbeqG6UtQ_5_0"/>
      <w:bookmarkStart w:id="581" w:name="Tc_4LZoUYF6vkW4BxMRrSZKcA_4_0"/>
      <w:bookmarkStart w:id="582" w:name="Tc_O9nA6v_YgEGrPKqyTVqAzw_3_2"/>
      <w:bookmarkStart w:id="583" w:name="Tc_i2iinEcSDEGjhbYYaZeBfw_2_8"/>
      <w:bookmarkStart w:id="584" w:name="Tc_F-X0ZWKDl0GEP4i59-c-fg_2_5"/>
      <w:bookmarkStart w:id="585" w:name="Tc_L-6GxiGOuECiJmZyy8EDxw_2_2"/>
      <w:bookmarkStart w:id="586" w:name="Tc_wl0fL9p-ika7XlRn6SNF5g_1_2"/>
      <w:bookmarkStart w:id="587" w:name="_58d76831_03e7_4272_a661_1510ea71225c"/>
      <w:bookmarkStart w:id="588" w:name="Tc_I7_fKMZ7iUK-gil2kbFfig_55_8"/>
      <w:bookmarkStart w:id="589" w:name="Tc_o-15iNvBP0eQTUST8BsyiA_55_5"/>
      <w:bookmarkStart w:id="590" w:name="Tc_XWJ7CrgTPk-_F7zAO2UHqQ_55_2"/>
      <w:bookmarkStart w:id="591" w:name="Tc_r0Ofvz1VA0W-VWXGXnkruw_55_0"/>
      <w:bookmarkStart w:id="592" w:name="Tc_ifSS1YTr60W-xCVDUEIepQ_54_0"/>
      <w:bookmarkStart w:id="593" w:name="Tc_bI_pwB0MfkGHGO3-51th5A_53_0"/>
      <w:bookmarkStart w:id="594" w:name="Tc_EIY0NPnrv0WeS1NXi67PSA_52_0"/>
      <w:bookmarkStart w:id="595" w:name="Tc_sz3MgLFtnEiiOiFpHA_3fQ_51_0"/>
      <w:bookmarkStart w:id="596" w:name="Tc_9SVMOFyqZ0a6Lqxntb4QUA_50_6"/>
      <w:bookmarkStart w:id="597" w:name="Tc_ZH3ORTCtpEWx3uH-c6I2pw_50_0"/>
      <w:bookmarkStart w:id="598" w:name="Tc_sNZn0IHx7k-tO78pCDWPeg_49_0"/>
      <w:bookmarkStart w:id="599" w:name="Tc_6yKgc3tV6ki5gN9c3D4xdA_48_0"/>
      <w:bookmarkStart w:id="600" w:name="Tc_WR90wkF83km3P5g9hqgqvQ_47_0"/>
      <w:bookmarkStart w:id="601" w:name="Tc_SKg_Mjuq90OmiCMuFVoicA_46_6"/>
      <w:bookmarkStart w:id="602" w:name="Tc_wrabTw8a90-jA9yGczx56A_46_0"/>
      <w:bookmarkStart w:id="603" w:name="Tc_5e29HQe_7UqPQOw4O2g_JA_45_0"/>
      <w:bookmarkStart w:id="604" w:name="Tc_phk-pGvTFUu3UJac1k53_w_44_9"/>
      <w:bookmarkStart w:id="605" w:name="Tc_U2R9txBTh0OpiRElfpUnPw_44_0"/>
      <w:bookmarkStart w:id="606" w:name="Tc_wkQnw7t2Ok2PRwrAg_SURw_43_0"/>
      <w:bookmarkStart w:id="607" w:name="Tc_0w9AZxbsZkmkHspHk-ndmw_42_0"/>
      <w:bookmarkStart w:id="608" w:name="Tc_5teK1jildk2J2zYI0WosEw_41_0"/>
      <w:bookmarkStart w:id="609" w:name="Tc_x087e2zB5EaltGU44XTXkA_40_3"/>
      <w:bookmarkStart w:id="610" w:name="Tc_00KewUi5oEGMvuo93UlhSA_40_0"/>
      <w:bookmarkStart w:id="611" w:name="Tc_WGiBe7dDNEuqgm5CzPm9Ww_39_0"/>
      <w:bookmarkStart w:id="612" w:name="Tc_JkgatLsmEkOdlmCyM-YhRg_38_0"/>
      <w:bookmarkStart w:id="613" w:name="Tc_r_BdEKvqV02pC6ebucr3uQ_37_0"/>
      <w:bookmarkStart w:id="614" w:name="Tc_WGRmY9_Sa0OfiOAnRxHNSw_36_9"/>
      <w:bookmarkStart w:id="615" w:name="Tc_VXKUhGkDWE2UpkozGmat8Q_36_6"/>
      <w:bookmarkStart w:id="616" w:name="Tc_sa_4rvkHfEWqo9argmm3pA_36_0"/>
      <w:bookmarkStart w:id="617" w:name="Tc__yHNfnkRQkWgp-HyYh-E6A_35_0"/>
      <w:bookmarkStart w:id="618" w:name="Tc_YbkJKG93Q0ehlHBPzqXiLQ_34_3"/>
      <w:bookmarkStart w:id="619" w:name="Tc_ebY8qaddWU6sOj1tdFHOqQ_34_0"/>
      <w:bookmarkStart w:id="620" w:name="Tc_7xSkUw2oxU68WK6BogUT5w_33_6"/>
      <w:bookmarkStart w:id="621" w:name="Tc_QN5PHepDA0K1viGquU43KA_33_0"/>
      <w:bookmarkStart w:id="622" w:name="Tc_Hhbushn-PEGnpefyVrihVg_32_0"/>
      <w:bookmarkStart w:id="623" w:name="Tc_K-WSBYbbgUSbSirrc3VPXA_31_0"/>
      <w:bookmarkStart w:id="624" w:name="Tc_C4s7MOU87EqbTWUNDi13jw_30_0"/>
      <w:bookmarkStart w:id="625" w:name="Tc_barPdnezMkqvdid5HQqmiw_29_0"/>
      <w:bookmarkStart w:id="626" w:name="Tc_TviiyYsgMkWIbyDIkses7g_28_0"/>
      <w:bookmarkStart w:id="627" w:name="Tc_wKRew0oe_0ad8gnCZkuqzg_27_0"/>
      <w:bookmarkStart w:id="628" w:name="Tc_QybEe7Qx70GJiyyzCitixQ_26_0"/>
      <w:bookmarkStart w:id="629" w:name="Tc_TlUC7r2JEUWDoS7SStbNqA_25_0"/>
      <w:bookmarkStart w:id="630" w:name="Tc_Vx7NuzthM0WyatT3CQ2nxQ_24_9"/>
      <w:bookmarkStart w:id="631" w:name="Tc_WrZNIWhpgUCR184ltL9dMg_24_6"/>
      <w:bookmarkStart w:id="632" w:name="Tc_LeFihlJt50OVN3ixGA6lwA_24_0"/>
      <w:bookmarkStart w:id="633" w:name="Tc_Z8ZdZxXwmkyY4NbLX7TmHA_23_0"/>
      <w:bookmarkStart w:id="634" w:name="Tc_I3jANbtG1ECUbYvcWJ-eRg_22_0"/>
      <w:bookmarkStart w:id="635" w:name="Tc_WXcUj5LEU0-svLfvhak7EQ_21_0"/>
      <w:bookmarkStart w:id="636" w:name="Tc_Hlyq4NXkzUeU6_U1g9UG4w_20_3"/>
      <w:bookmarkStart w:id="637" w:name="Tc_CDxe6qHLWkCqt9OEw1OVPQ_20_0"/>
      <w:bookmarkStart w:id="638" w:name="Tc_W_73myxTtEajvpP7tTI6kQ_19_0"/>
      <w:bookmarkStart w:id="639" w:name="Tc_r_dtrMdBCEiqOqhaIDkWKA_18_9"/>
      <w:bookmarkStart w:id="640" w:name="Tc_lB31RaK4qku0lMtLIbnkig_18_6"/>
      <w:bookmarkStart w:id="641" w:name="Tc_xy5PrN0U0k6-I3EkPB5OKg_18_0"/>
      <w:bookmarkStart w:id="642" w:name="Tc_ampclBO53EGGHpUnU9Fv9w_17_9"/>
      <w:bookmarkStart w:id="643" w:name="Tc_Ix4m0HM1fk6qKY2pPFrDmQ_17_6"/>
      <w:bookmarkStart w:id="644" w:name="Tc_rQ-lvdxWh02sVSZUl86tBw_17_0"/>
      <w:bookmarkStart w:id="645" w:name="Tc_dfOePZZvjkaOVaiWBVm6LA_16_9"/>
      <w:bookmarkStart w:id="646" w:name="Tc_AKCIyCTyuU-VKmH5-A4ptA_16_6"/>
      <w:bookmarkStart w:id="647" w:name="Tc_DW-vTtNCHEaVJ73XyOojLw_16_0"/>
      <w:bookmarkStart w:id="648" w:name="Tc__0C821UePkWQ6LkNmJfnyQ_15_0"/>
      <w:bookmarkStart w:id="649" w:name="Tc_ygr8t4suqEGMFIdgAFaY0Q_14_0"/>
      <w:bookmarkStart w:id="650" w:name="Tc_xA_RUzvd302x3MSCtWgntg_13_0"/>
      <w:bookmarkStart w:id="651" w:name="Tc_o4nU9RcfB0a5TtuKlHuuAw_12_0"/>
      <w:bookmarkStart w:id="652" w:name="Tc_GH466x9l1kODzGjSiuaOJQ_11_0"/>
      <w:bookmarkStart w:id="653" w:name="Tc_Eb_SL9oUF0u6z1HBZEl-Tg_10_0"/>
      <w:bookmarkStart w:id="654" w:name="Tc_60nf7njO6E2jwX_Tr-Adwg_9_0"/>
      <w:bookmarkStart w:id="655" w:name="Tc_4q36RZCv00OsGm7V0vjwHw_8_0"/>
      <w:bookmarkStart w:id="656" w:name="Tc_n7f_n64YF0O8l_g_UFJfJA_7_0"/>
      <w:bookmarkStart w:id="657" w:name="Tc_k5jwXe9IMEiLB9SHihZvaQ_6_0"/>
      <w:bookmarkStart w:id="658" w:name="Tc_I8vrXKfxF0-MM1n_dNQzqg_5_8"/>
      <w:bookmarkStart w:id="659" w:name="Tc_s0zxE1mJY0-m7rLQYw788w_5_5"/>
      <w:bookmarkStart w:id="660" w:name="Tc_a8Ysfkam_Uu28uX2vFe5UQ_5_2"/>
      <w:bookmarkStart w:id="661" w:name="Tc_VgVAm-6yy06lpNbeqG6UtQ_5_0"/>
      <w:bookmarkStart w:id="662" w:name="Tc_4LZoUYF6vkW4BxMRrSZKcA_4_0"/>
      <w:bookmarkStart w:id="663" w:name="Tc_O9nA6v_YgEGrPKqyTVqAzw_3_2"/>
      <w:bookmarkStart w:id="664" w:name="Tc_i2iinEcSDEGjhbYYaZeBfw_2_8"/>
      <w:bookmarkStart w:id="665" w:name="Tc_F-X0ZWKDl0GEP4i59-c-fg_2_5"/>
      <w:bookmarkStart w:id="666" w:name="Tc_L-6GxiGOuECiJmZyy8EDxw_2_2"/>
      <w:bookmarkStart w:id="667" w:name="Tc_wl0fL9p-ika7XlRn6SNF5g_1_2"/>
      <w:bookmarkStart w:id="668" w:name="_58d76831_03e7_4272_a661_1510ea71225c"/>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tbl>
      <w:tblPr>
        <w:tblW w:w="10205" w:type="dxa"/>
        <w:jc w:val="left"/>
        <w:tblInd w:w="0" w:type="dxa"/>
        <w:tblLayout w:type="fixed"/>
        <w:tblCellMar>
          <w:top w:w="0" w:type="dxa"/>
          <w:left w:w="0" w:type="dxa"/>
          <w:bottom w:w="0" w:type="dxa"/>
          <w:right w:w="0" w:type="dxa"/>
        </w:tblCellMar>
      </w:tblPr>
      <w:tblGrid>
        <w:gridCol w:w="6731"/>
        <w:gridCol w:w="326"/>
        <w:gridCol w:w="196"/>
        <w:gridCol w:w="620"/>
        <w:gridCol w:w="326"/>
        <w:gridCol w:w="196"/>
        <w:gridCol w:w="620"/>
        <w:gridCol w:w="326"/>
        <w:gridCol w:w="196"/>
        <w:gridCol w:w="668"/>
      </w:tblGrid>
      <w:tr>
        <w:trPr/>
        <w:tc>
          <w:tcPr>
            <w:tcW w:w="6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74185" cy="175260"/>
                      <wp:effectExtent l="0" t="0" r="0" b="0"/>
                      <wp:wrapNone/>
                      <wp:docPr id="193" name="Frame193"/>
                      <a:graphic xmlns:a="http://schemas.openxmlformats.org/drawingml/2006/main">
                        <a:graphicData uri="http://schemas.microsoft.com/office/word/2010/wordprocessingShape">
                          <wps:wsp>
                            <wps:cNvSpPr txBox="1"/>
                            <wps:spPr>
                              <a:xfrm>
                                <a:off x="0" y="0"/>
                                <a:ext cx="427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4460" cy="175260"/>
                      <wp:effectExtent l="0" t="0" r="0" b="0"/>
                      <wp:wrapNone/>
                      <wp:docPr id="195" name="Frame1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93700" cy="175260"/>
                      <wp:effectExtent l="0" t="0" r="0" b="0"/>
                      <wp:wrapNone/>
                      <wp:docPr id="196" name="Frame196"/>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4460" cy="175260"/>
                      <wp:effectExtent l="0" t="0" r="0" b="0"/>
                      <wp:wrapNone/>
                      <wp:docPr id="198" name="Frame1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93700" cy="175260"/>
                      <wp:effectExtent l="0" t="0" r="0" b="0"/>
                      <wp:wrapNone/>
                      <wp:docPr id="199" name="Frame199"/>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4180" cy="175260"/>
                      <wp:effectExtent l="0" t="0" r="0" b="0"/>
                      <wp:wrapNone/>
                      <wp:docPr id="202" name="Frame20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Year Ended December 31, </w:t>
            </w:r>
          </w:p>
        </w:tc>
      </w:tr>
      <w:tr>
        <w:trPr/>
        <w:tc>
          <w:tcPr>
            <w:tcW w:w="6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2023</w:t>
            </w:r>
          </w:p>
        </w:tc>
        <w:tc>
          <w:tcPr>
            <w:tcW w:w="326" w:type="dxa"/>
            <w:tcBorders/>
            <w:vAlign w:val="center"/>
          </w:tcPr>
          <w:p>
            <w:pPr>
              <w:pStyle w:val="TableContents"/>
              <w:bidi w:val="0"/>
              <w:spacing w:before="0" w:after="0"/>
              <w:ind w:left="0" w:right="0" w:hanging="0"/>
              <w:jc w:val="left"/>
              <w:rPr/>
            </w:pPr>
            <w:r>
              <w:rPr/>
              <w:t>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2022</w:t>
            </w:r>
          </w:p>
        </w:tc>
        <w:tc>
          <w:tcPr>
            <w:tcW w:w="326" w:type="dxa"/>
            <w:tcBorders/>
            <w:vAlign w:val="center"/>
          </w:tcPr>
          <w:p>
            <w:pPr>
              <w:pStyle w:val="TableContents"/>
              <w:bidi w:val="0"/>
              <w:spacing w:before="0" w:after="0"/>
              <w:ind w:left="0" w:right="0" w:hanging="0"/>
              <w:jc w:val="left"/>
              <w:rPr/>
            </w:pPr>
            <w:r>
              <w:rPr/>
              <w:t>    </w:t>
            </w:r>
          </w:p>
        </w:tc>
        <w:tc>
          <w:tcPr>
            <w:tcW w:w="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2021</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7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48"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68" w:type="dxa"/>
            <w:tcBorders/>
            <w:shd w:fill="CCEEFF" w:val="clear"/>
            <w:vAlign w:val="center"/>
          </w:tcPr>
          <w:p>
            <w:pPr>
              <w:pStyle w:val="TableContents"/>
              <w:bidi w:val="0"/>
              <w:spacing w:before="0" w:after="0"/>
              <w:ind w:left="0" w:right="0" w:hanging="0"/>
              <w:jc w:val="center"/>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(1,012)</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pPr>
            <w:r>
              <w:rPr/>
              <w:t>  </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 (gain) from securities transactions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(1,206)</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(2,158)</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sales of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4,172</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to cover securities sold, not yet purchased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(2,775)</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securities sold, not yet purchased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4,025</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receivables and payables relating to securities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(2,035)</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derivative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321</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loss on disposition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517</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on deconsolidation of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Credit loss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pPr>
            <w:r>
              <w:rPr/>
              <w:t>—</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 write-down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other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Related party note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252</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321</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pPr>
            <w:r>
              <w:rPr/>
              <w:t>  </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(305)</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Turnaround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Acquisition of businesses, net of cash acquired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445</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disposition of businesses and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414</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Related party note receivable payments and distributions,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528</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  </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segment contributions from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Partnership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835</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Partnership distributions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(134)</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(purchase of) additional interests in consolidated subsidiaries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Holding Company senior unsecured notes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1,214</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Repayments of Holding Company senior unsecured notes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(1,205)</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subsidiary borrowings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1,165</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Repayments of subsidiary borrowings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(1,545)</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cash (used in) provided by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293</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exchange rate changes on cash and cash equivalents and restricted cash and restricted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increase in cash and cash equivalents and restricted cash and restricted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1,145</w:t>
            </w:r>
          </w:p>
        </w:tc>
      </w:tr>
      <w:tr>
        <w:trPr/>
        <w:tc>
          <w:tcPr>
            <w:tcW w:w="673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and restricted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3,291</w:t>
            </w:r>
          </w:p>
        </w:tc>
      </w:tr>
      <w:tr>
        <w:trPr/>
        <w:tc>
          <w:tcPr>
            <w:tcW w:w="673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and restricted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4,886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6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4,436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69" w:name="a1DescriptionofBusiness_452019"/>
      <w:bookmarkEnd w:id="669"/>
      <w:r>
        <w:rPr>
          <w:rFonts w:ascii="Times New Roman;Times;serif" w:hAnsi="Times New Roman;Times;serif"/>
          <w:b/>
          <w:sz w:val="20"/>
        </w:rPr>
        <w:t>1. Description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2023, representing an aggregate 1.99% general partner interest in Icahn Enterprises Holdings and us. Mr. Icahn and his affiliates owned approximately 86% of our outstanding depositary units as of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Operating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 diversified holding company owning subsidiaries currently engaged in the following continuing operating businesses: </w:t>
      </w:r>
      <w:r>
        <w:rPr>
          <w:rFonts w:ascii="Times New Roman;Times;serif" w:hAnsi="Times New Roman;Times;serif"/>
          <w:color w:val="231F20"/>
          <w:sz w:val="20"/>
        </w:rPr>
        <w:t xml:space="preserve">Investment, Energy, Automotive, Food Packaging, Real Estate, Home Fashion and Pharma. In addition, we operated our Metals segment until sold in December 2021. </w:t>
      </w:r>
      <w:r>
        <w:rPr>
          <w:rFonts w:ascii="Times New Roman;Times;serif" w:hAnsi="Times New Roman;Times;serif"/>
          <w:sz w:val="20"/>
        </w:rPr>
        <w:t>We also report the results of our Holding Company, which includes the results of certain subsidiaries of Icahn Enterprises (unless otherwise noted), and investment activity and expenses associated with our Holding Company. See Note 15, “Segment and Geographic Reporting,” for a reconciliation of each of our reporting segment’s results of operations to our consolidated results. Certain additional information with respect to our segments is discussed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$3.2 billion and $4.2 billion as of December 31, 2023 and 2022,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and approximately 37% of the outstanding common units of CVR Partners as of December 31, 2023. During the year ended December 31, 2023, we decreased our ownership in CVR Energy through the sale of common stock resulting in proceeds of $158 million and as of December 31, 2023, we owned approximately 66% of the total outstanding common stock of CVR Energy.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subsidiaries, Icahn Automotive Group LLC (“Icahn Automotive”) and AEP PLC LLC (“AEP PLC”).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In addition to its primary businesses, the Automotive segment leases available and excess real estate in certain locations under long-term operating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31, 2023, a subsidiary of Icahn Automotive, IEH Auto Parts Holding LLC and its subsidiaries (collectively “Auto Plus”), an aftermarket parts distributor held within our Automotive segment, filed voluntary petitions in the United States Bankruptcy Court. As a result of Auto Plus’ filings for bankruptcy protections on January 31, 2023, we no longer controlled the operations of Auto Plus, and therefore, we deconsolidated Auto Plus as of January 31, 2023. See Note 3, “Subsidiary Bankruptcy and Deconsolidation”, for a detailed discussion of the Auto Plus bankruptcy and deconsolidation.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Food Packaging segment through our majority owned subsidiary, Viskase Companies, Inc. (“Viskase”). Viskase is a producer of cellulosic, fibrous and plastic casings used to prepare and package processed meat products. As of December 31, 2023, we owned approximately 90% of the total outstanding common stock of Viskase.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wholly-owned subsidiary, WestPoint Home LLC (“WPH”). WPH’s business consists of manufacturing, sourcing, marketing, distributing and selling home fashion consumer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Pharma segment through our wholly owned subsidiary, Vivus LLC, formerly Vivus, Inc. (“Vivus”). Vivus is a specialty pharmaceutical company with two approved therapies and two product candidates in active clinical development.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conducted our Metals segment through our indirect wholly-owned subsidiary, PSC Metals, LLC (“PSC Metals”). PSC Metals was principally engaged in the business of collecting, processing, and selling ferrous and non-ferrous metals, as well as the processing and distribution of steel pipe and plate products. PSC Metals collected industrial and obsolete scrap metal, processed it into reusable forms and supplied the recycled metals to its customers</w:t>
      </w:r>
      <w:r>
        <w:rPr>
          <w:rFonts w:ascii="Times New Roman;Times;serif" w:hAnsi="Times New Roman;Times;serif"/>
          <w:i/>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7, 2021, we closed on the sale of 100% of the equity interests in PSC Metals. In connection with this sale, we received proceeds of $323 million and recorded a pretax gain on disposition of assets of $163 million in the fourth quarter of 2021. As a result of the sale of PSC Metals, we no longer operate a Metals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audited consolidated financial statements have been prepared in accordance with accounting principles generally accepted in the United States (“U.S. GAAP”).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our Investment segment and Holding Company, for equity investments in which we own 50% or less but greater than 20%, we generally account for such investments using the equity method. All other equity investments are accounted for at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1, 2023, we established a captive insurance program to supplement the insurance coverage of the officers, directors, employees and agents of the Company, its subsidiaries and our general partner, in addition to our newly established commercial insurance program. We hold assets in a protected cell, which we are the primary beneficiary of, and therefore consolidate the protected cell. At December 31, 2023, total assets related to the protected cell were $103 million and included in restricted cash in the consolidated balance sheet.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Discontinued Operations and Assets Held For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 in Preparation of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reclassifications from the prior year presentation have been made to conform to the current year presentation, which did not have an impact on previously reported net income and equity and are not deemed material.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our long-term debt is based on the quoted market prices for the same or similar issues or on the current rates offered to us for debt of the same remaining maturities. The carrying value and estimated fair value of our debt as of December 31, 2023 was approximately $7.2 billion and $6.9 billion, respectively. The carrying value and estimated fair value of our debt as of December 31, 2022 was approximately $7.1 billion and $6.6 billion,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Acquisitions of Businesses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value assets acquired and liabilities assumed at the acquisition date as well as contingent consideration, where applicable, our estimates are inherently uncertain and subject to refinement.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Investments and Disposition of Entities under Common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Acquisitions of or investments in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in our consolidated statements of cash flows is comprised of (i) cash and cash equivalents and (ii) cash held at consolidated affiliated partnerships and restricted cash.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consider short-term investments, which are highly liquid with original maturities of three months or less at date of purchase, to be cash equivalents. As of December 31, 2023, our cash and cash equivalents balance includes $598 million of reserved funds at our Energy segment to be utilized for the repayment of our Energy segment’s 5.250% senior unsecured notes due 2025.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Held at Consolidated Affiliated Partnerships and Restricted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$1,068 million and $1,019 million as of December 31, 2023 and 2022, respectively. Cash held at consolidated affiliated partnerships relates to our Investment segment and consists of cash and cash equivalents held by the Investment Funds that, although not legally restricted, are not used for the general operating needs of the Investment segment or Icahn Enterprises.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restricted cash balance was $1,927 million and $1,530 million as of December 31, 2023 and 2022, respectively. Restricted cash includes, but is not limited to, our Investment segment’s cash pledged and held for margin requirements on derivative transactions and cash held related to our captive insurance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and Related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Investment Transactions and Related Investment Income (Loss).</w:t>
      </w:r>
      <w:r>
        <w:rPr>
          <w:rFonts w:ascii="Times New Roman;Times;serif" w:hAnsi="Times New Roman;Times;serif"/>
          <w:sz w:val="20"/>
        </w:rPr>
        <w:t xml:space="preserve"> Investment transactions of the Investment Funds are recorded on a trade date basis. 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held by our Investment segment are carried at fair value. Our Investment segment applies the fair value option to those investments that are otherwise subject to the equity method of accounting.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Valuation of Investments.</w:t>
      </w:r>
      <w:r>
        <w:rPr>
          <w:rFonts w:ascii="Times New Roman;Times;serif" w:hAnsi="Times New Roman;Times;serif"/>
          <w:sz w:val="20"/>
        </w:rPr>
        <w:t xml:space="preserve"> Securities of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Foreign Currency Transactions.</w:t>
      </w:r>
      <w:r>
        <w:rPr>
          <w:rFonts w:ascii="Times New Roman;Times;serif" w:hAnsi="Times New Roman;Times;serif"/>
          <w:sz w:val="20"/>
        </w:rPr>
        <w:t xml:space="preserve"> The books and records of the Investment Funds are maintained in U.S. dollars. Assets and liabilities denominated in 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Fair Values of Financial Instruments.</w:t>
      </w:r>
      <w:r>
        <w:rPr>
          <w:rFonts w:ascii="Times New Roman;Times;serif" w:hAnsi="Times New Roman;Times;serif"/>
          <w:sz w:val="20"/>
        </w:rPr>
        <w:t xml:space="preserve"> The fair values of the Investment Funds’ assets and liabilities that qualify as financial instruments under applicable U.S. GAAP approximate the carrying amounts presented in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Securities Sold, Not Yet Purchased.</w:t>
      </w:r>
      <w:r>
        <w:rPr>
          <w:rFonts w:ascii="Times New Roman;Times;serif" w:hAnsi="Times New Roman;Times;serif"/>
          <w:sz w:val="20"/>
        </w:rPr>
        <w:t xml:space="preserve"> The Investment Funds may sell an investment they do not own in anticipation of a decline in the fair value of that 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Due From Brokers.</w:t>
      </w:r>
      <w:r>
        <w:rPr>
          <w:rFonts w:ascii="Times New Roman;Times;serif" w:hAnsi="Times New Roman;Times;serif"/>
          <w:sz w:val="20"/>
        </w:rPr>
        <w:t xml:space="preserve"> Due from brokers represents cash balances with the Investment Funds’ clearing brokers. These funds as well as fully-paid for and marginable securities are essentially restricted to the extent that they serve as collateral against securities sold, not yet purchased. Due from brokers may also include unrestricted balances with derivative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Due To Brokers.</w:t>
      </w:r>
      <w:r>
        <w:rPr>
          <w:rFonts w:ascii="Times New Roman;Times;serif" w:hAnsi="Times New Roman;Times;serif"/>
          <w:sz w:val="20"/>
        </w:rPr>
        <w:t> Due to brokers represents margin debit balances collateralized by certain of the Investment Funds’ investments in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in equity securities are carried at fair value with the unrealized gains or losses reflected in the consolidated statements of operations. For purposes of determining gains and losses, the cost of securities is based on specific identification. Dividend income is recorded on the ex-dividend date and interest income is recognized when earned.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Option for Financial Assets and Financial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Times New Roman;Times;serif" w:hAnsi="Times New Roman;Times;serif"/>
          <w:i/>
          <w:sz w:val="20"/>
        </w:rPr>
        <w:t>Financial Instrument</w:t>
      </w:r>
      <w:r>
        <w:rPr>
          <w:rFonts w:ascii="Times New Roman;Times;serif" w:hAnsi="Times New Roman;Times;serif"/>
          <w:sz w:val="20"/>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6, “Fair Value Measurements.” For our Investment segment, we apply the fair value option to our investments that would otherwise be accounted under the equity method.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7,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Accounts receivable, net consists of trade receivables from customers, including contract assets when we have an unconditional right to receive consideration. An allowance is based on historical loss experience, expected credit losses from current economic conditions, and management’s expectations of future economic conditions.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inventories consist primarily of domestic and foreign crude oil, blending stock and components, work in progress, fertilizer products, refined fuels and by-products and renewable diesel, all of which are valued at the lower of first-in, first-out (“FIFO”) basis method cost or net realizable value. Other inventories, including other raw materials, spare parts and supplies, are valued at the lower of moving-average cost, which approximates FIFO, or net realizable value. The cost of inventories includes inbound freight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 Food Packaging, Home Fashion and 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Food Packaging, Home Fashion and Pharma segments’ inventories are stated at the lower of cost or net realizable value. Cost is determined by using the FIFO method, except for our Automotive segment which uses the last-in, first out (“LIFO”) method and the Pharma segment which utilizes weighted-average cost. Inventory recorded using the LIFO method was $228 million and $246 million as of December 31, 2023 and 2022, respectively, all of which relates to finished goods. The cost of manufactured goods includes the cost of direct materials, labor and manufacturing overhead. Our Automotive, Food Packaging, Home Fashion and Pharma segments write-down inventory for estimated excess, slow-moving and obsolete inventory as well as inventory whose carrying value is in excess of net realizable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assets are evaluated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a long-lived asset is not determined to be recoverable, a fair value assessment is performed. If the carrying amount of the asset exceeds its fair value, an impairment loss is recognized in accordance with U.S. GAAP. Depreciation and amortization are computed principally by the straight-line method for financial reporting purposes.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a significant tenant of a commercial high-rise property, within our Real Estate segment, was notified of default for non-payment. The tenant was unable to cure the default status and the lease was terminated. We considered this default, along with other facts and circumstances, a triggering event for potential impairment and we assessed the carrying value of this long-lived asset for recoverability using the undiscounted cash flow method during the second quarter of 2023. We determined the total undiscounted cash flows of the property exceeded its carrying value and therefore, no impairment is required.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Costs for planned major maintenance activities (“turnarounds”) for our Energy segment represent major maintenance activities that require shutdown of significant parts of a plant to perform necessary inspection, cleaning, repairs, and replacement of assets. Our Energy segment’s turnaround expenditures are deferred for its petroleum business and expensed as incurred for its nitrogen fertilizer business. Turnarounds generally occur every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five years for our Energy segment’s refineries and generally every three years for its nitrogen fertilizer plants. Deferred turnaround costs, net of accumulated amortization, are included in other assets in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and Indefinite-Lived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and indefinite-lived intangible assets primarily include trademarks and brand names acquired in acquisitions. For a complete discussion of the impairment of goodwill and indefinite-lived intangible assets related to our various segments, see Note 11, “Goodwill and Intangible Assets,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Goodwill is determined as the excess of the fair value of consideration transferred in a business combination over the net amounts of identifiable assets acquired and liabilities assumed. Goodwill is reviewed for impairment annually,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more frequently if impairment indicators exist. An impairment exists when a reporting unit’s carrying value exceeds its 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 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Indefinite-Lived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In the fourth quarter of 2023, our Automotive segment recognized an impairment charge of $7 million, representing the excess of the assets’ carrying value over their fair value.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Pension and Other Post-Retirement Benefit Plan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Post-retirement benefit liabilities were $34 million and $36 million as of December 31, 2023 and 2022, respectively, and are included in accrued expenses and other liabilities in our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Accumulated other comprehensive loss is included in the limited partners and general partner components of equity in the consolidated balance sheets in the amounts of $55 million and $70 million as of December 31, 2023 and 2022, respectively. Refer to Note 17, “Changes in Accumulated Other Comprehensive Loss,”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Allocation of Net Profits and Losses in Consolidated Affiliated Partnerships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Partnership Interest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Basic and Diluted Income Per LP Unit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accounting purposes, when applicable, earnings prior to dates of acquisitions of entities under common control are excluded from the computation of basic and diluted income per LP unit as such earnings are allocated to our general partner.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largest amount of tax benefit that is greater than 50 percent likely to be recognized upon ultimate settlement with the taxing authority is recorded. See Note 16, “Income Taxes,”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Automotive segment and Real Estate segment. Refer to Note 12, “Leases,” for additional information regarding our operating leases. In addition, all of our businesses, including our Real Estate segment, enter into lease arrangements as the lessee. The following is our accounting policy for leases in which we are the lessee.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w:t>
      </w:r>
      <w:r>
        <w:rPr>
          <w:rFonts w:ascii="Times New Roman;Times;serif" w:hAnsi="Times New Roman;Times;serif"/>
          <w:i/>
          <w:sz w:val="20"/>
        </w:rPr>
        <w:t>Leases</w:t>
      </w:r>
      <w:r>
        <w:rPr>
          <w:rFonts w:ascii="Times New Roman;Times;serif" w:hAnsi="Times New Roman;Times;serif"/>
          <w:sz w:val="20"/>
        </w:rPr>
        <w:t xml:space="preserve">. These assets leased to others are recorded at cost, net of accumulated depreciation, and are included in property, plant and equipment, net on our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and Contract Balances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GAAP. Such revenue from contracts with customers is included in net sales and other revenues from operations in the consolidated statements of operations; however, our Real Estate and Automotive segments’ leasing revenue, as disclosed in Note 12,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 and Automotive segments. See Note 15, “Segment and Geographic Reporting,” for our complete disaggregation of revenue information. In addition, we disclose additional information with respect to revenue from contracts with customers and contract balances for our segments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 Our Energy segment revenues are generated from contracts with customers and are recognized at a point in time when performance obligations are satisfied by transferring control of the products or services to a customer. The transfer of control occurs upon shipment or delivery of the product, as the customer accepts the product, has title and significant risks and rewards of ownership of the product, physical possession of the product has been transferred, and we have the right to payment.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transaction prices of our Energy segment’s contracts are either fixed or based on market indices, and any uncertainty related to the variable consideration when determining the transaction price is resolved on the pricing date or the date when the product is delivered. The payment terms depend on the product and type of contract, but generally require customers to pay within 30 days or less, and do not contain significant financing components.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Any pass-through finished goods delivery costs reimbursed by customers are reported in net sales, while an offsetting expense is included in cost of goods sold. Non-monetary product exchanges and certain buy/sell transactions which are entered into in the normal course of business are included on a net cost basis in cost of goods sold. Qualifying excise and other taxes collected from customers and remitted to governmental authorities are recorded as a reduction of the transaction price.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sales contracts of the petroleum business require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the product to the customer. An associated receivable is recorded for uncollected prepaid contract amounts.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our Energy segment had $10 million of remaining performance obligations for contracts with an original expected duration of more than one year. Our Energy segment expects to recognize approximately $3 million of these performance obligations as revenue by the end of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an additional $3 million by the end of </w:t>
      </w:r>
      <w:r>
        <w:rPr>
          <w:rFonts w:ascii="Times New Roman;Times;serif" w:hAnsi="Times New Roman;Times;serif"/>
          <w:b w:val="false"/>
          <w:i w:val="false"/>
          <w:caps w:val="false"/>
          <w:smallCaps w:val="false"/>
          <w:sz w:val="20"/>
        </w:rPr>
        <w:t>2025</w:t>
      </w:r>
      <w:r>
        <w:rPr>
          <w:rFonts w:ascii="Times New Roman;Times;serif" w:hAnsi="Times New Roman;Times;serif"/>
          <w:sz w:val="20"/>
        </w:rPr>
        <w:t>, and the remaining balance thereafter.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Contract balances: </w:t>
      </w:r>
      <w:r>
        <w:rPr>
          <w:rFonts w:ascii="Times New Roman;Times;serif" w:hAnsi="Times New Roman;Times;serif"/>
          <w:sz w:val="20"/>
        </w:rPr>
        <w:t xml:space="preserve">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In addition, it includes deferred revenue associated with agreements entered into with third-party investors that has allowed our Energy segment to monetize certain tax credits available under Section 45Q of the Internal Revenue Code (the “45Q Transaction”). Our Energy segment had deferred revenue of $49 million and $48 million as of December 31, 2023 and 2022, respectively. Deferred revenue is included in accrued expense and other liabilities in the consolidated balance sheets. For the year ended December 31, 2023, 2022 and 2021, our Energy segment recorded revenue of $47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million, $86 million and $30 million, respectively, with respect to deferred revenue outstanding as of the beginning of each respective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Revenue: </w:t>
      </w:r>
      <w:r>
        <w:rPr>
          <w:rFonts w:ascii="Times New Roman;Times;serif" w:hAnsi="Times New Roman;Times;serif"/>
          <w:sz w:val="20"/>
        </w:rPr>
        <w:t xml:space="preserve">Our Automotive segment recognizes revenue when it satisfies a performance obligation by transferring control over a product or service to a customer. Our Automotive segment revenue from retail and commercial parts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royalties, for which it receives payment over time, in the period in which royalties are earned, generally based on a percentage of franchise sales and are included in other revenues from operations in the consolidated statements of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Contract balances: </w:t>
      </w:r>
      <w:r>
        <w:rPr>
          <w:rFonts w:ascii="Times New Roman;Times;serif" w:hAnsi="Times New Roman;Times;serif"/>
          <w:sz w:val="20"/>
        </w:rPr>
        <w:t xml:space="preserve">Our Automotive segment had deferred revenue with respect to extended warranty plans of $45 million and $44 million as of December 31, 2023 and 2022, respectively, which are included in accrued expenses and other liabilities in our consolidated balance sheets. For the years ended December 31, 2023, 2022 and 2021, our Automotive segment recorded deferred revenue of $22 million, $25 million and $24 million, respectively, outstanding as of the beginning of each respective year.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Pharma segment records product and supply revenue at the time of shipment at which time it has satisfied its performance obligations. Product revenue represents the significant majority of our Pharma segment’s revenue and is recognized net of estimated returns as well as net of consideration paid to customers, wholesalers and certified pharmacies for services rendered in accordance with their respective services network agreements and includes a fixed rate per prescription shipped and monthly program management and data fees. Consideration fees are not deemed sufficiently separable from the customers’ purchase of the products and therefore, such fees are recorded as a reduction of revenue at the time of revenue recognition. Our Pharma segment, as the principal party in a supply arrangement,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recognizes supply revenue on a gross basis. Our Pharma segment also recognizes license and royalty revenue, which are not significant.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Metals segment’s primary source of revenue was from the sale of processed ferrous scrap metal, non-ferrous scrap metals, steel pipe and steel plate. PSC Metals also generated revenues from sales of secondary plate and pipe, the brokering of scrap metals and from services performed. All sales were recognized when title passes to the customer. Revenues from services were recognized as the service is performed. Sales adjustments related to price and weight differences were reflected as a reduction of revenues when settled.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Revenue and Expense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Revenue from real estate sales and related costs are recognized at the time of closing primarily by specific identification. The properties comprising our net lease portfolio are leased to others under long-term net leases classified as operating leases and we account for these leases in accordance with applicable U.S. GAAP. Operating lease revenue is recognized on a straight-line basis over the lease term.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Shipping Costs: </w:t>
      </w:r>
      <w:r>
        <w:rPr>
          <w:rFonts w:ascii="Times New Roman;Times;serif" w:hAnsi="Times New Roman;Times;serif"/>
          <w:sz w:val="20"/>
        </w:rPr>
        <w:t>Our Energy segment’s pass-through finished goods delivery costs reimbursed by customers are reported in net sales, while an offsetting expense is included in cost of goods sold.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Shipping Costs: </w:t>
      </w:r>
      <w:r>
        <w:rPr>
          <w:rFonts w:ascii="Times New Roman;Times;serif" w:hAnsi="Times New Roman;Times;serif"/>
          <w:sz w:val="20"/>
        </w:rPr>
        <w:t>Our Automotive segment recognizes shipping and handling costs as incurred and is included in selling, general and administrative in the consolidated statements of operations for its commercial and retail parts businesses.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Concentrations of credit risk relate primarily to derivative instruments from our Investment segment. See Note 7, “Financial Instruments,” for further discussion.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at our Holding Company, financial instruments that potentially subject us to concentrations of credit risk are primarily cash and cash equivalent deposits. These cash and cash equivalent deposits are maintained with several financial institutions. The deposits held at the various financial institutions may exceed federally insured limits. Exposure to this credit risk is reduced by placing such deposits with major financial institutions and monitoring their credit ratings and, therefore, we believe these deposits bear minimal credit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Adoption of New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2022, the Statement of Financial Accounting Standards (“FASB “) issued ASU 2022-04, </w:t>
      </w:r>
      <w:r>
        <w:rPr>
          <w:rFonts w:ascii="Times New Roman;Times;serif" w:hAnsi="Times New Roman;Times;serif"/>
          <w:i/>
          <w:sz w:val="20"/>
        </w:rPr>
        <w:t>Liabilities- Supplier Finance Programs (Subtopic 405-50) Disclosure of Supplier Finance Program Obligations</w:t>
      </w:r>
      <w:r>
        <w:rPr>
          <w:rFonts w:ascii="Times New Roman;Times;serif" w:hAnsi="Times New Roman;Times;serif"/>
          <w:sz w:val="20"/>
        </w:rPr>
        <w:t xml:space="preserve"> to require entities that use supplier finance programs in connection with the purchase of goods and services to disclose the key terms of such programs and information about obligations outstanding at the end of the reporting period, including a rollforward of those obligations of where in the financial statements outstanding amounts are present. The guidance does not affect the recognition, measurement, or financial statement presentation of supplier finance program obligations. The amendments are effective in periods beginning after December 15, 2022, except that the amendments to disclose a rollforward of obligations outstanding will be effective beginning after December 15, 2023. We early adopted provisions of this ASU effective January 1, 2023, and implemented the disclosure requirements related to the rollforward obligations in the fourth quarter of 2023. The adoption of this standard did not have a significant impact on our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2020, the FASB issued ASU 2020-04, </w:t>
      </w:r>
      <w:r>
        <w:rPr>
          <w:rFonts w:ascii="Times New Roman;Times;serif" w:hAnsi="Times New Roman;Times;serif"/>
          <w:i/>
          <w:sz w:val="20"/>
        </w:rPr>
        <w:t>Facilitation of the Effects of Reference Rate Reform on Financial Reporting</w:t>
      </w:r>
      <w:r>
        <w:rPr>
          <w:rFonts w:ascii="Times New Roman;Times;serif" w:hAnsi="Times New Roman;Times;serif"/>
          <w:sz w:val="20"/>
        </w:rPr>
        <w:t xml:space="preserve">, which amends FASB ASC Topic 848, </w:t>
      </w:r>
      <w:r>
        <w:rPr>
          <w:rFonts w:ascii="Times New Roman;Times;serif" w:hAnsi="Times New Roman;Times;serif"/>
          <w:i/>
          <w:sz w:val="20"/>
        </w:rPr>
        <w:t>Reference Rate Reform</w:t>
      </w:r>
      <w:r>
        <w:rPr>
          <w:rFonts w:ascii="Times New Roman;Times;serif" w:hAnsi="Times New Roman;Times;serif"/>
          <w:sz w:val="20"/>
        </w:rPr>
        <w:t>. Banks are no longer 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We adopted this ASU effective January 1, 2023. The adoption of this standard did not have a significant impact on our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requires enhanced income tax disclosures that reflect how operations and related tax risks, as well as how tax planning and operational opportunities, affect the tax rate and prospects for future cash flows. This standard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effective for the Company beginning January 1, 2025 with early adoption permitted. We are currently assessing the impact of adopting this standard on our consolidated financial statements.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 Improvements to Reportable Segment Disclosures</w:t>
      </w:r>
      <w:r>
        <w:rPr>
          <w:rFonts w:ascii="Times New Roman;Times;serif" w:hAnsi="Times New Roman;Times;serif"/>
          <w:sz w:val="20"/>
        </w:rPr>
        <w:t xml:space="preserve">,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adoptions permitted. We are currently assessing the impact of adopting this standard on our consolidated financial statements.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2022, the FASB issued ASU 2022-03, </w:t>
      </w:r>
      <w:r>
        <w:rPr>
          <w:rFonts w:ascii="Times New Roman;Times;serif" w:hAnsi="Times New Roman;Times;serif"/>
          <w:i/>
          <w:sz w:val="20"/>
        </w:rPr>
        <w:t xml:space="preserve">Fair Value Measurement of Equity Securities Subject to Contractual Sale Restrictions, </w:t>
      </w:r>
      <w:r>
        <w:rPr>
          <w:rFonts w:ascii="Times New Roman;Times;serif" w:hAnsi="Times New Roman;Times;serif"/>
          <w:sz w:val="20"/>
        </w:rPr>
        <w:t xml:space="preserve">which amends guidance in Topic 820, Fair Value Measurement. The guidance clarifies that a contractual 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Early adoption is permitted. We are currently assessing the impact of adopting this new accounting standard on our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Subsidiary Bankruptcy and Deconsolidation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w:t>
      </w:r>
      <w:r>
        <w:rPr>
          <w:rFonts w:ascii="Times New Roman;Times;serif" w:hAnsi="Times New Roman;Times;serif"/>
          <w:sz w:val="20"/>
        </w:rPr>
        <w:t xml:space="preserve"> </w:t>
      </w:r>
      <w:r>
        <w:rPr>
          <w:rFonts w:ascii="TimesNewRomanPSMT" w:hAnsi="TimesNewRomanPSMT"/>
          <w:sz w:val="20"/>
        </w:rPr>
        <w:t>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w:t>
      </w:r>
      <w:r>
        <w:rPr>
          <w:rFonts w:ascii="Times New Roman;Times;serif" w:hAnsi="Times New Roman;Times;serif"/>
          <w:sz w:val="20"/>
          <w:shd w:fill="FFFFFF" w:val="clear"/>
        </w:rPr>
        <w:t xml:space="preserve"> On May 19, 2023, the Bankruptcy Court approved five sales of Auto Plus’ assets to five different bidders pursuant to Section 363 of the Bankruptcy Code, comprising a significant majority of Auto Plus’ total assets (the “363 Sales”). AEP PLC was the buyer for one of the 363 Sales, pursuant to a credit bid of $10 million for a portion of its </w:t>
      </w:r>
      <w:r>
        <w:rPr>
          <w:rFonts w:ascii="TimesNewRomanPSMT" w:hAnsi="TimesNewRomanPSMT"/>
          <w:sz w:val="20"/>
        </w:rPr>
        <w:t xml:space="preserve">senior secured debtor-in-possession loan to Auto Plus. The last of the 363 Sales closed on June 12, 2023. The proceeds of the 363 Sales have been and will continue to be used to satisfy obligations to Auto Plus’ creditors. On June 16, 2023, the Bankruptcy Court entered an order approving Auto Plus’ Third Amended Combined Disclosure Statement and Joint Plan of Liquidation (the “Bankruptcy Plan”).  The effective date of the Bankruptcy Plan occurred on October 6, 2023. The Bankruptcy Plan provides for the orderly liquidation of Auto Plus and distribution of its assets.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result of the filing of the Chapter 11 Cases, the Company determined that it no longer controls Auto Plus under the criteria set out in FASB ASC Topic 810, “Consolidation” and deconsolidated its investment effective January 31, 2023. In order to deconsolidate Auto Plus, we removed the carrying values of the assets and liabilities of Auto Plus as of January 31, 2023 and recorded our investment in Auto Plus at $0 resulting in a non-cash charge of $246 million during the year ended December 31,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and 2022, the total fair market value of investments in the Investment Funds made by Mr. Icahn and his affiliates (excluding us and Brett Icahn) was approximately $2.1 billion and $4.9 billion, respectively, representing approximately 39% and 54% of the Investment Funds’ assets under management as of each respective date. Mr. Icahn and his affiliates (excluding us and Brett Icahn) redeemed $2.0 billion and $0 from the Investment Funds for the years ended December 31, 2023 and 2022, respectively. In addition, in December 2023, the Investment Funds issued a pro-rata distribution, including $158 million to Mr. Icahn and his affiliates (excluding us and Brett Icahn).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2023, 2022 and 2021, $18 million, $18 million and $15 million, respectively, was allocated to the Investment Funds based on this expense-sharing arrangement.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Auto Plus and AEP PLC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For the eleven months from the date of deconsolidation of January 31, 2023 through December 31, 2023, the total lease revenues of entities within the Automotive segment from leases with Auto Plus was $3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Total inventory purchases of entities within the Automotive segment from Auto Plus were $4</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eleven months from the date of deconsolidation of January 31, 2023 through December 31, 2023, the total lease revenues of entities within the Real Estate segment from Auto Plus were $3 million.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Note Receivable from Auto Plus</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February 6, 2023, we loaned $17 million in cash pursuant to the DIP Credit Facility. On May 2, 2023, we converted and rolled up our related party note receivable with our existing loans under the DIP Credit Facility. We collected cash for the repayment of the note receivable of $48 million as of December 31, 2023. We estimated our cash to be collected for the repayment of the note receivable to be $11 million at December 31, 2023, resulting in a write-off of $127 million during the year ended December 31, 2023. </w:t>
      </w:r>
    </w:p>
    <w:p>
      <w:pPr>
        <w:pStyle w:val="TextBody"/>
        <w:bidi w:val="0"/>
        <w:spacing w:before="0" w:after="0"/>
        <w:ind w:left="0" w:right="0" w:firstLine="36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AEP PLC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Auto Plus auction, AEP PLC acquired $10 million of assets mostly comprised of Aftermarket Parts inventory during the year ended December 31, 2023. The transaction was considered an asset acquisition, as the group of assets acquired by AEP PLC does not meet the definition of a business defined in FASB ASC Topic 805. The results of AEP PLC are consolidated within our Automotive segment at December 31, 2023 and were not material.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Related Party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$17 million and $14 million in the years ended December 31, 2023 and 2022, respectively. As of December 31, 2023 and 2022, Brett Icahn had investments in the Investment Funds with a total fair market value of $28 million and $50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and securities sold, not yet purchased consist of equities, bonds, bank debt and other corporate obligations, all of which are reported at fair value in our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bidi w:val="0"/>
        <w:spacing w:before="0" w:after="0"/>
        <w:jc w:val="left"/>
        <w:rPr>
          <w:sz w:val="4"/>
          <w:szCs w:val="4"/>
        </w:rPr>
      </w:pPr>
      <w:r>
        <w:rPr>
          <w:sz w:val="4"/>
          <w:szCs w:val="4"/>
        </w:rPr>
      </w:r>
      <w:bookmarkStart w:id="670" w:name="Tc_fJo5Qpib70efT1rOoW0b_g_36_5"/>
      <w:bookmarkStart w:id="671" w:name="Tc_HOwCkMKdwEWXx7H0gK8jJg_36_2"/>
      <w:bookmarkStart w:id="672" w:name="Tc_0u7SCtHDuUajfec74H9J9w_34_0"/>
      <w:bookmarkStart w:id="673" w:name="Tc_h6DFhncHIUqdtJ-TpJGVXg_33_0"/>
      <w:bookmarkStart w:id="674" w:name="Tc_42Y8P9Co8kuxgr-SSWMd0A_31_0"/>
      <w:bookmarkStart w:id="675" w:name="Tc_I6NZQpx1mUCUoRZDfnStDA_30_0"/>
      <w:bookmarkStart w:id="676" w:name="Tc_wYykXrvR7kW8zlF9bgijNQ_29_3"/>
      <w:bookmarkStart w:id="677" w:name="Tc_mvktmXQ33kOjpB6Hw0in5A_29_0"/>
      <w:bookmarkStart w:id="678" w:name="Tc_dMDjp03r-EiHtsa567j-5Q_28_0"/>
      <w:bookmarkStart w:id="679" w:name="Tc_0Ssco_15V0CRpvMZWAZsWw_27_0"/>
      <w:bookmarkStart w:id="680" w:name="Tc_3_9rQsKtFUiTzpp3xYeuyg_26_0"/>
      <w:bookmarkStart w:id="681" w:name="Tc_PjcH4byeS06rfzQk3p3i2Q_25_5"/>
      <w:bookmarkStart w:id="682" w:name="Tc_jmGmqUm6bEWmcyvJWgr8-g_25_2"/>
      <w:bookmarkStart w:id="683" w:name="Tc_FvMyrjlZD06-nWLn60Ov3A_25_0"/>
      <w:bookmarkStart w:id="684" w:name="Tc_cBGC0FQtkk6YNsHrkQQSKw_24_0"/>
      <w:bookmarkStart w:id="685" w:name="Tc_3HWRXaKzn0--FX5TvPN4xw_23_0"/>
      <w:bookmarkStart w:id="686" w:name="Tc_d_qI7U9AwUClA5mrYv0f8A_22_0"/>
      <w:bookmarkStart w:id="687" w:name="Tc_6tHjjhKC_EOZq4G_6qNwFQ_21_5"/>
      <w:bookmarkStart w:id="688" w:name="Tc_FkVcIfSmm0qE8rCfHoONLg_21_2"/>
      <w:bookmarkStart w:id="689" w:name="Tc_62iVwI-3_US7sUVsnqTivg_19_0"/>
      <w:bookmarkStart w:id="690" w:name="Tc_ZJyIUDa2B0GeCl2Wpiz7Ww_18_0"/>
      <w:bookmarkStart w:id="691" w:name="Tc_HbCi2cUiQ02wJixur5D4mw_17_0"/>
      <w:bookmarkStart w:id="692" w:name="Tc_-VMHvJSHMU-17zkjkt3xZg_16_0"/>
      <w:bookmarkStart w:id="693" w:name="Tc_QoQrsUJS5E-oMLhhiUvyJQ_14_3"/>
      <w:bookmarkStart w:id="694" w:name="Tc_Qas25sOy8E6axWw9I0FpjQ_14_0"/>
      <w:bookmarkStart w:id="695" w:name="Tc_ExVbsp7I4EG4xMPW611UAg_13_0"/>
      <w:bookmarkStart w:id="696" w:name="Tc_HAKWd7NAdUGgfFji-4mleA_12_0"/>
      <w:bookmarkStart w:id="697" w:name="Tc_HY830WOTtEy37J4mibIIsA_11_0"/>
      <w:bookmarkStart w:id="698" w:name="Tc_nze7tyCzFkOMLnlFc6H7Yg_10_0"/>
      <w:bookmarkStart w:id="699" w:name="Tc_rIz8xSqV9EO9vAqCTw26iw_9_0"/>
      <w:bookmarkStart w:id="700" w:name="Tc_1cdlWkXcXE-pzb8hNHoqeA_8_0"/>
      <w:bookmarkStart w:id="701" w:name="Tc_88qx6BE1l0Gde55D2PuLGw_7_5"/>
      <w:bookmarkStart w:id="702" w:name="Tc_8RpLZc7q502wXiXFVw2WVQ_7_3"/>
      <w:bookmarkStart w:id="703" w:name="Tc_kQjrxW-juUK-9upyRTde5A_7_2"/>
      <w:bookmarkStart w:id="704" w:name="Tc_Cvluk90gqUCpdClSnptkAg_7_0"/>
      <w:bookmarkStart w:id="705" w:name="Tc_-mhdLdgHMUGjs2GFbZptKQ_6_0"/>
      <w:bookmarkStart w:id="706" w:name="Tc_SPZHnWuU1UazcHoVBcp5GQ_5_0"/>
      <w:bookmarkStart w:id="707" w:name="Tc_p7LOM0i4y0GiUpkMYXDeHw_4_0"/>
      <w:bookmarkStart w:id="708" w:name="Tc_Wj_utKlNDkq3ntbjtXa5CA_3_2"/>
      <w:bookmarkStart w:id="709" w:name="Tc__On8mB3G1kyn9roVOP_zdQ_2_5"/>
      <w:bookmarkStart w:id="710" w:name="Tc_K5tfNUj1IUuT5hR5-VHxqA_2_2"/>
      <w:bookmarkStart w:id="711" w:name="Tc_g2lwDf0nLkmwN9qhCKTNxg_1_2"/>
      <w:bookmarkStart w:id="712" w:name="Tc_fJo5Qpib70efT1rOoW0b_g_36_5"/>
      <w:bookmarkStart w:id="713" w:name="Tc_HOwCkMKdwEWXx7H0gK8jJg_36_2"/>
      <w:bookmarkStart w:id="714" w:name="Tc_0u7SCtHDuUajfec74H9J9w_34_0"/>
      <w:bookmarkStart w:id="715" w:name="Tc_h6DFhncHIUqdtJ-TpJGVXg_33_0"/>
      <w:bookmarkStart w:id="716" w:name="Tc_42Y8P9Co8kuxgr-SSWMd0A_31_0"/>
      <w:bookmarkStart w:id="717" w:name="Tc_I6NZQpx1mUCUoRZDfnStDA_30_0"/>
      <w:bookmarkStart w:id="718" w:name="Tc_wYykXrvR7kW8zlF9bgijNQ_29_3"/>
      <w:bookmarkStart w:id="719" w:name="Tc_mvktmXQ33kOjpB6Hw0in5A_29_0"/>
      <w:bookmarkStart w:id="720" w:name="Tc_dMDjp03r-EiHtsa567j-5Q_28_0"/>
      <w:bookmarkStart w:id="721" w:name="Tc_0Ssco_15V0CRpvMZWAZsWw_27_0"/>
      <w:bookmarkStart w:id="722" w:name="Tc_3_9rQsKtFUiTzpp3xYeuyg_26_0"/>
      <w:bookmarkStart w:id="723" w:name="Tc_PjcH4byeS06rfzQk3p3i2Q_25_5"/>
      <w:bookmarkStart w:id="724" w:name="Tc_jmGmqUm6bEWmcyvJWgr8-g_25_2"/>
      <w:bookmarkStart w:id="725" w:name="Tc_FvMyrjlZD06-nWLn60Ov3A_25_0"/>
      <w:bookmarkStart w:id="726" w:name="Tc_cBGC0FQtkk6YNsHrkQQSKw_24_0"/>
      <w:bookmarkStart w:id="727" w:name="Tc_3HWRXaKzn0--FX5TvPN4xw_23_0"/>
      <w:bookmarkStart w:id="728" w:name="Tc_d_qI7U9AwUClA5mrYv0f8A_22_0"/>
      <w:bookmarkStart w:id="729" w:name="Tc_6tHjjhKC_EOZq4G_6qNwFQ_21_5"/>
      <w:bookmarkStart w:id="730" w:name="Tc_FkVcIfSmm0qE8rCfHoONLg_21_2"/>
      <w:bookmarkStart w:id="731" w:name="Tc_62iVwI-3_US7sUVsnqTivg_19_0"/>
      <w:bookmarkStart w:id="732" w:name="Tc_ZJyIUDa2B0GeCl2Wpiz7Ww_18_0"/>
      <w:bookmarkStart w:id="733" w:name="Tc_HbCi2cUiQ02wJixur5D4mw_17_0"/>
      <w:bookmarkStart w:id="734" w:name="Tc_-VMHvJSHMU-17zkjkt3xZg_16_0"/>
      <w:bookmarkStart w:id="735" w:name="Tc_QoQrsUJS5E-oMLhhiUvyJQ_14_3"/>
      <w:bookmarkStart w:id="736" w:name="Tc_Qas25sOy8E6axWw9I0FpjQ_14_0"/>
      <w:bookmarkStart w:id="737" w:name="Tc_ExVbsp7I4EG4xMPW611UAg_13_0"/>
      <w:bookmarkStart w:id="738" w:name="Tc_HAKWd7NAdUGgfFji-4mleA_12_0"/>
      <w:bookmarkStart w:id="739" w:name="Tc_HY830WOTtEy37J4mibIIsA_11_0"/>
      <w:bookmarkStart w:id="740" w:name="Tc_nze7tyCzFkOMLnlFc6H7Yg_10_0"/>
      <w:bookmarkStart w:id="741" w:name="Tc_rIz8xSqV9EO9vAqCTw26iw_9_0"/>
      <w:bookmarkStart w:id="742" w:name="Tc_1cdlWkXcXE-pzb8hNHoqeA_8_0"/>
      <w:bookmarkStart w:id="743" w:name="Tc_88qx6BE1l0Gde55D2PuLGw_7_5"/>
      <w:bookmarkStart w:id="744" w:name="Tc_8RpLZc7q502wXiXFVw2WVQ_7_3"/>
      <w:bookmarkStart w:id="745" w:name="Tc_kQjrxW-juUK-9upyRTde5A_7_2"/>
      <w:bookmarkStart w:id="746" w:name="Tc_Cvluk90gqUCpdClSnptkAg_7_0"/>
      <w:bookmarkStart w:id="747" w:name="Tc_-mhdLdgHMUGjs2GFbZptKQ_6_0"/>
      <w:bookmarkStart w:id="748" w:name="Tc_SPZHnWuU1UazcHoVBcp5GQ_5_0"/>
      <w:bookmarkStart w:id="749" w:name="Tc_p7LOM0i4y0GiUpkMYXDeHw_4_0"/>
      <w:bookmarkStart w:id="750" w:name="Tc_Wj_utKlNDkq3ntbjtXa5CA_3_2"/>
      <w:bookmarkStart w:id="751" w:name="Tc__On8mB3G1kyn9roVOP_zdQ_2_5"/>
      <w:bookmarkStart w:id="752" w:name="Tc_K5tfNUj1IUuT5hR5-VHxqA_2_2"/>
      <w:bookmarkStart w:id="753" w:name="Tc_g2lwDf0nLkmwN9qhCKTNxg_1_2"/>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tbl>
      <w:tblPr>
        <w:tblW w:w="6207" w:type="dxa"/>
        <w:jc w:val="left"/>
        <w:tblInd w:w="0" w:type="dxa"/>
        <w:tblLayout w:type="fixed"/>
        <w:tblCellMar>
          <w:top w:w="0" w:type="dxa"/>
          <w:left w:w="0" w:type="dxa"/>
          <w:bottom w:w="0" w:type="dxa"/>
          <w:right w:w="0" w:type="dxa"/>
        </w:tblCellMar>
      </w:tblPr>
      <w:tblGrid>
        <w:gridCol w:w="3946"/>
        <w:gridCol w:w="326"/>
        <w:gridCol w:w="211"/>
        <w:gridCol w:w="571"/>
        <w:gridCol w:w="326"/>
        <w:gridCol w:w="211"/>
        <w:gridCol w:w="61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505710" cy="175260"/>
                      <wp:effectExtent l="0" t="0" r="0" b="0"/>
                      <wp:wrapNone/>
                      <wp:docPr id="203" name="Frame203"/>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62585" cy="175260"/>
                      <wp:effectExtent l="0" t="0" r="0" b="0"/>
                      <wp:wrapNone/>
                      <wp:docPr id="206" name="Frame2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91160" cy="175260"/>
                      <wp:effectExtent l="0" t="0" r="0" b="0"/>
                      <wp:wrapNone/>
                      <wp:docPr id="209" name="Frame20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20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3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9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r>
      <w:tr>
        <w:trPr/>
        <w:tc>
          <w:tcPr>
            <w:tcW w:w="39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non-cyclical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6,495</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portion of unrealized (losses) and gains that relates to securities still held by our Investment segment, primarily equity securities, was $(302) million, $(1,544) million and $1,153 million for the years ended December 31, 2023, 2022 and 2021,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 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754" w:name="Tc_Az3PF33Hl0un6P4KBBNDbA_8_0"/>
      <w:bookmarkStart w:id="755" w:name="Tc_RGdwJurD-U6EYZJZoae-6w_7_0"/>
      <w:bookmarkStart w:id="756" w:name="Tc_BiPJ9gboY0W6lJ6-Iw3ccA_6_0"/>
      <w:bookmarkStart w:id="757" w:name="Tc_xMnA0hio_kmGuF-PgO7q7Q_5_1"/>
      <w:bookmarkStart w:id="758" w:name="Tc_cAk8YhiQvkGV0MmKhLJTcg_5_0"/>
      <w:bookmarkStart w:id="759" w:name="Tc_JFESHsJd9k2Q7HWYDwojOQ_4_1"/>
      <w:bookmarkStart w:id="760" w:name="Tc_ANbMEPdEIUqoR2P8QbmF7w_3_1"/>
      <w:bookmarkStart w:id="761" w:name="Tc_x2cvScsZbk6NlH3bEszTfg_2_1"/>
      <w:bookmarkStart w:id="762" w:name="Tc_1Q8_C8Ey102vWacVDFC5hw_1_1"/>
      <w:bookmarkStart w:id="763" w:name="Tc_FipkWVbhyUqGJaOvD_s-VA_8_0"/>
      <w:bookmarkStart w:id="764" w:name="Tc_C9gWicDAuUaXWGuCP7Yumw_7_0"/>
      <w:bookmarkStart w:id="765" w:name="Tc_bM_5MGEnRkeazlN9oSGaVA_6_0"/>
      <w:bookmarkStart w:id="766" w:name="Tc_YHHNVAeo6EKtY6BWmdh6ng_5_2"/>
      <w:bookmarkStart w:id="767" w:name="Tc_DnHlu8h-6EuL5_7x3SVrGQ_5_0"/>
      <w:bookmarkStart w:id="768" w:name="Tc_BdNZ7l-s5kSMhSS8MDRi6w_4_3"/>
      <w:bookmarkStart w:id="769" w:name="Tc_C20BLs_i3Ean_euxe34Ggg_3_2"/>
      <w:bookmarkStart w:id="770" w:name="Tc_vPCpBqOlPUGCVcegrGolzA_2_3"/>
      <w:bookmarkStart w:id="771" w:name="Tc_lI7dJcFr4EOcZ3Oyuu7arg_1_3"/>
      <w:bookmarkStart w:id="772" w:name="Tc_lYVu-P-pvkqsjSQGa5gsWQ_7_17"/>
      <w:bookmarkStart w:id="773" w:name="Tc_BD8TmQfBQky6Fq0J53Gq7Q_7_16"/>
      <w:bookmarkStart w:id="774" w:name="Tc_1l88ykHID0KJjAqiXCqB4A_7_13"/>
      <w:bookmarkStart w:id="775" w:name="Tc_U8rhikHXkEiRUcGrIad1lg_7_10"/>
      <w:bookmarkStart w:id="776" w:name="Tc_VUaZdMHKG0-ctHVC3467Yw_7_7"/>
      <w:bookmarkStart w:id="777" w:name="Tc_UqDpT5Ckx0qyV35lLex8QQ_7_5"/>
      <w:bookmarkStart w:id="778" w:name="Tc_nw3l8PWeXkux10NkxxxiYw_7_4"/>
      <w:bookmarkStart w:id="779" w:name="Tc_aA2AxT5dIEWleVy8UhgrLA_6_17"/>
      <w:bookmarkStart w:id="780" w:name="Tc_jic9OFGDtEOZDxCZ7WHdzw_6_16"/>
      <w:bookmarkStart w:id="781" w:name="Tc_l67ykKaQQkeOdVuEqLc1QA_6_13"/>
      <w:bookmarkStart w:id="782" w:name="Tc_8b9nbTRwnEOFU65O8HyXNg_6_10"/>
      <w:bookmarkStart w:id="783" w:name="Tc_p2tWydYDWUals6EOXmmsHw_6_7"/>
      <w:bookmarkStart w:id="784" w:name="Tc_vpDNsI014km9WLtTkMBbbg_6_5"/>
      <w:bookmarkStart w:id="785" w:name="Tc_wBRnHH_C3kaWWzS4RCY3Bw_6_4"/>
      <w:bookmarkStart w:id="786" w:name="Tc_6VDIU8Aw8kewmZmf_-f57Q_6_0"/>
      <w:bookmarkStart w:id="787" w:name="Tc_9lRMGB5kzEqee_lJ-4qN5w_5_4"/>
      <w:bookmarkStart w:id="788" w:name="Tc_s7NYwhy8_US67hRv0s7KSg_4_16"/>
      <w:bookmarkStart w:id="789" w:name="Tc_xoXDioGhk0G2em22UCLZKA_4_13"/>
      <w:bookmarkStart w:id="790" w:name="Tc_az_C5aB6jUGK7X3OvlXwYA_4_10"/>
      <w:bookmarkStart w:id="791" w:name="Tc_B_E_FaMw90G78jp6rqiRlw_4_7"/>
      <w:bookmarkStart w:id="792" w:name="Tc_jtUaD44c4EmakTP0UMiTxQ_4_4"/>
      <w:bookmarkStart w:id="793" w:name="Tc_I92ImbmHzkG_hW6PcpOaoA_4_2"/>
      <w:bookmarkStart w:id="794" w:name="Tc_G9HI3beXlkCQ-G1MFfjVqg_3_10"/>
      <w:bookmarkStart w:id="795" w:name="Tc_05QeiBp6IU-du4MX9hpuFw_3_4"/>
      <w:bookmarkStart w:id="796" w:name="Tc_inwuNDVoEU-PWvw-I9pxGw_3_2"/>
      <w:bookmarkStart w:id="797" w:name="Tc_b4q9NX04KUyI5ebNGi84Qg_2_10"/>
      <w:bookmarkStart w:id="798" w:name="Tc_WvFRXH8xSE2-h9uLLa-Z9g_2_4"/>
      <w:bookmarkStart w:id="799" w:name="Tc_bFE9v-X1yEG9IivscggwXA_2_2"/>
      <w:bookmarkStart w:id="800" w:name="Tc_WGd2u3OoUUywrTgFWj6Fvw_1_10"/>
      <w:bookmarkStart w:id="801" w:name="Tc_dc71GL13u0upOsLG9dqXjg_1_4"/>
      <w:bookmarkStart w:id="802" w:name="Tc_K0cbXHvDRUSGhh_Ekw7rpg_1_2"/>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sz w:val="20"/>
        </w:rPr>
        <w:t>such presumption may be overcome based on specific facts and circumstances that demonstrate that the ability to exercise significant influence is present, such as when we have representation on the board of directors of such investee.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After considering specific facts and circumstances, including the collective ownership in entities by the Investment Funds and affiliates of Mr. Icahn, as well as their collective representation on each of the boards of directors, we have determined that we had the ability to exercise significant influence over the operating and financial policies of certain investees of our Investment segment. </w:t>
      </w:r>
    </w:p>
    <w:p>
      <w:pPr>
        <w:pStyle w:val="TextBody"/>
        <w:bidi w:val="0"/>
        <w:spacing w:before="0" w:after="0"/>
        <w:ind w:left="0" w:right="0" w:hanging="0"/>
        <w:jc w:val="left"/>
        <w:rPr/>
      </w:pPr>
      <w:r>
        <w:rPr/>
        <w:t>​</w:t>
      </w:r>
    </w:p>
    <w:tbl>
      <w:tblPr>
        <w:tblW w:w="8329" w:type="dxa"/>
        <w:jc w:val="left"/>
        <w:tblInd w:w="0" w:type="dxa"/>
        <w:tblLayout w:type="fixed"/>
        <w:tblCellMar>
          <w:top w:w="0" w:type="dxa"/>
          <w:left w:w="0" w:type="dxa"/>
          <w:bottom w:w="0" w:type="dxa"/>
          <w:right w:w="0" w:type="dxa"/>
        </w:tblCellMar>
      </w:tblPr>
      <w:tblGrid>
        <w:gridCol w:w="2371"/>
        <w:gridCol w:w="326"/>
        <w:gridCol w:w="1306"/>
        <w:gridCol w:w="109"/>
        <w:gridCol w:w="211"/>
        <w:gridCol w:w="346"/>
        <w:gridCol w:w="326"/>
        <w:gridCol w:w="211"/>
        <w:gridCol w:w="421"/>
        <w:gridCol w:w="109"/>
        <w:gridCol w:w="211"/>
        <w:gridCol w:w="316"/>
        <w:gridCol w:w="326"/>
        <w:gridCol w:w="211"/>
        <w:gridCol w:w="541"/>
        <w:gridCol w:w="326"/>
        <w:gridCol w:w="211"/>
        <w:gridCol w:w="45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05585" cy="175260"/>
                      <wp:effectExtent l="0" t="0" r="0" b="0"/>
                      <wp:wrapNone/>
                      <wp:docPr id="210" name="Frame210"/>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29310" cy="175260"/>
                      <wp:effectExtent l="0" t="0" r="0" b="0"/>
                      <wp:wrapNone/>
                      <wp:docPr id="212" name="Frame21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67335" cy="175260"/>
                      <wp:effectExtent l="0" t="0" r="0" b="0"/>
                      <wp:wrapNone/>
                      <wp:docPr id="218" name="Frame21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0660" cy="175260"/>
                      <wp:effectExtent l="0" t="0" r="0" b="0"/>
                      <wp:wrapNone/>
                      <wp:docPr id="221" name="Frame22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43535" cy="175260"/>
                      <wp:effectExtent l="0" t="0" r="0" b="0"/>
                      <wp:wrapNone/>
                      <wp:docPr id="224" name="Frame22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86385" cy="175260"/>
                      <wp:effectExtent l="0" t="0" r="0" b="0"/>
                      <wp:wrapNone/>
                      <wp:docPr id="227" name="Frame22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Voting </w:t>
            </w:r>
          </w:p>
        </w:tc>
        <w:tc>
          <w:tcPr>
            <w:tcW w:w="109" w:type="dxa"/>
            <w:tcBorders/>
            <w:vAlign w:val="center"/>
          </w:tcPr>
          <w:p>
            <w:pPr>
              <w:pStyle w:val="TableContents"/>
              <w:bidi w:val="0"/>
              <w:spacing w:before="0" w:after="1"/>
              <w:ind w:left="0" w:right="0" w:hanging="0"/>
              <w:jc w:val="left"/>
              <w:rPr/>
            </w:pPr>
            <w:r>
              <w:rPr/>
              <w:t>​</w:t>
            </w:r>
          </w:p>
        </w:tc>
        <w:tc>
          <w:tcPr>
            <w:tcW w:w="15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Fair Value of </w:t>
            </w:r>
          </w:p>
        </w:tc>
        <w:tc>
          <w:tcPr>
            <w:tcW w:w="109" w:type="dxa"/>
            <w:tcBorders/>
            <w:vAlign w:val="center"/>
          </w:tcPr>
          <w:p>
            <w:pPr>
              <w:pStyle w:val="TableContents"/>
              <w:bidi w:val="0"/>
              <w:spacing w:before="0" w:after="1"/>
              <w:ind w:left="0" w:right="0" w:hanging="0"/>
              <w:jc w:val="center"/>
              <w:rPr/>
            </w:pPr>
            <w:r>
              <w:rPr/>
              <w:t>​</w:t>
            </w:r>
          </w:p>
        </w:tc>
        <w:tc>
          <w:tcPr>
            <w:tcW w:w="259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Gains (Losses) </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109" w:type="dxa"/>
            <w:tcBorders/>
            <w:vAlign w:val="center"/>
          </w:tcPr>
          <w:p>
            <w:pPr>
              <w:pStyle w:val="TableContents"/>
              <w:bidi w:val="0"/>
              <w:spacing w:before="0" w:after="1"/>
              <w:ind w:left="0" w:right="0" w:hanging="0"/>
              <w:jc w:val="left"/>
              <w:rPr/>
            </w:pPr>
            <w:r>
              <w:rPr/>
              <w:t>​</w:t>
            </w:r>
          </w:p>
        </w:tc>
        <w:tc>
          <w:tcPr>
            <w:tcW w:w="15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Investment</w:t>
            </w:r>
          </w:p>
        </w:tc>
        <w:tc>
          <w:tcPr>
            <w:tcW w:w="109" w:type="dxa"/>
            <w:tcBorders/>
            <w:vAlign w:val="center"/>
          </w:tcPr>
          <w:p>
            <w:pPr>
              <w:pStyle w:val="TableContents"/>
              <w:bidi w:val="0"/>
              <w:spacing w:before="0" w:after="1"/>
              <w:ind w:left="0" w:right="0" w:hanging="0"/>
              <w:jc w:val="center"/>
              <w:rPr/>
            </w:pPr>
            <w:r>
              <w:rPr/>
              <w:t>​</w:t>
            </w:r>
          </w:p>
        </w:tc>
        <w:tc>
          <w:tcPr>
            <w:tcW w:w="25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Recognized in Other loss, net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5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25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1"/>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8329"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17" w:type="dxa"/>
            <w:gridSpan w:val="1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Xerox Holding Corporation</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third quarter of 2023, the Investment Funds sold their entire investment in Xerox. Prior to the sale of its investment in Xerox, the Investment Funds owned approximately 22.0% of the outstanding common stock of Xerox. </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Due to the nature of our Investment segment’s operations, the sale of Xerox is deemed to be in the ordinary course of business.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contain summarized financial information with respect to our investment in Xerox during the period (or partial periods) in which we possessed the ability to exercise significant influence over the operating and financial policies of the investee.</w:t>
      </w:r>
    </w:p>
    <w:p>
      <w:pPr>
        <w:pStyle w:val="TextBody"/>
        <w:bidi w:val="0"/>
        <w:spacing w:before="0" w:after="240"/>
        <w:ind w:left="0" w:right="0" w:firstLine="360"/>
        <w:jc w:val="left"/>
        <w:rPr/>
      </w:pPr>
      <w:r>
        <w:rPr/>
        <w:t>​</w:t>
      </w:r>
    </w:p>
    <w:tbl>
      <w:tblPr>
        <w:tblW w:w="5549" w:type="dxa"/>
        <w:jc w:val="left"/>
        <w:tblInd w:w="0" w:type="dxa"/>
        <w:tblLayout w:type="fixed"/>
        <w:tblCellMar>
          <w:top w:w="0" w:type="dxa"/>
          <w:left w:w="0" w:type="dxa"/>
          <w:bottom w:w="0" w:type="dxa"/>
          <w:right w:w="0" w:type="dxa"/>
        </w:tblCellMar>
      </w:tblPr>
      <w:tblGrid>
        <w:gridCol w:w="3661"/>
        <w:gridCol w:w="326"/>
        <w:gridCol w:w="211"/>
        <w:gridCol w:w="135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324735" cy="175260"/>
                      <wp:effectExtent l="0" t="0" r="0" b="0"/>
                      <wp:wrapNone/>
                      <wp:docPr id="228" name="Frame228"/>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57885" cy="175260"/>
                      <wp:effectExtent l="0" t="0" r="0" b="0"/>
                      <wp:wrapNone/>
                      <wp:docPr id="231" name="Frame23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Xerox</w: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11,543</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7,966</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investee shareholders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3,343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majority of total assets in the table above consists of receivables, goodwill and inventories. The majority of total liabilities in the table above consists of debt.</w:t>
      </w:r>
    </w:p>
    <w:p>
      <w:pPr>
        <w:pStyle w:val="TextBody"/>
        <w:bidi w:val="0"/>
        <w:spacing w:before="0" w:after="0"/>
        <w:ind w:left="0" w:right="0" w:hanging="0"/>
        <w:jc w:val="left"/>
        <w:rPr/>
      </w:pPr>
      <w:r>
        <w:rPr/>
        <w:t>​</w:t>
      </w:r>
    </w:p>
    <w:tbl>
      <w:tblPr>
        <w:tblW w:w="6601" w:type="dxa"/>
        <w:jc w:val="left"/>
        <w:tblInd w:w="0" w:type="dxa"/>
        <w:tblLayout w:type="fixed"/>
        <w:tblCellMar>
          <w:top w:w="0" w:type="dxa"/>
          <w:left w:w="0" w:type="dxa"/>
          <w:bottom w:w="0" w:type="dxa"/>
          <w:right w:w="0" w:type="dxa"/>
        </w:tblCellMar>
      </w:tblPr>
      <w:tblGrid>
        <w:gridCol w:w="4246"/>
        <w:gridCol w:w="529"/>
        <w:gridCol w:w="1435"/>
        <w:gridCol w:w="391"/>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696210" cy="175260"/>
                      <wp:effectExtent l="0" t="0" r="0" b="0"/>
                      <wp:wrapNone/>
                      <wp:docPr id="232" name="Frame232"/>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35915" cy="175260"/>
                      <wp:effectExtent l="0" t="0" r="0" b="0"/>
                      <wp:wrapNone/>
                      <wp:docPr id="233" name="Frame233"/>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11225" cy="175260"/>
                      <wp:effectExtent l="0" t="0" r="0" b="0"/>
                      <wp:wrapNone/>
                      <wp:docPr id="234" name="Frame234"/>
                      <a:graphic xmlns:a="http://schemas.openxmlformats.org/drawingml/2006/main">
                        <a:graphicData uri="http://schemas.microsoft.com/office/word/2010/wordprocessingShape">
                          <wps:wsp>
                            <wps:cNvSpPr txBox="1"/>
                            <wps:spPr>
                              <a:xfrm>
                                <a:off x="0" y="0"/>
                                <a:ext cx="911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48285" cy="175260"/>
                      <wp:effectExtent l="0" t="0" r="0" b="0"/>
                      <wp:wrapNone/>
                      <wp:docPr id="235" name="Frame23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23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4246" w:type="dxa"/>
            <w:tcBorders/>
            <w:vAlign w:val="center"/>
          </w:tcPr>
          <w:p>
            <w:pPr>
              <w:pStyle w:val="TableContents"/>
              <w:bidi w:val="0"/>
              <w:spacing w:before="0" w:after="0"/>
              <w:ind w:left="0" w:right="0" w:hanging="0"/>
              <w:jc w:val="left"/>
              <w:rPr/>
            </w:pPr>
            <w:r>
              <w:rPr/>
              <w:t>​</w:t>
            </w:r>
          </w:p>
        </w:tc>
        <w:tc>
          <w:tcPr>
            <w:tcW w:w="23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246" w:type="dxa"/>
            <w:tcBorders/>
            <w:vAlign w:val="center"/>
          </w:tcPr>
          <w:p>
            <w:pPr>
              <w:pStyle w:val="TableContents"/>
              <w:bidi w:val="0"/>
              <w:spacing w:before="0" w:after="0"/>
              <w:ind w:left="0" w:right="0" w:hanging="0"/>
              <w:jc w:val="left"/>
              <w:rPr/>
            </w:pPr>
            <w:r>
              <w:rPr/>
              <w:t>​</w:t>
            </w:r>
          </w:p>
        </w:tc>
        <w:tc>
          <w:tcPr>
            <w:tcW w:w="23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Xerox</w:t>
            </w:r>
          </w:p>
        </w:tc>
      </w:tr>
      <w:tr>
        <w:trPr/>
        <w:tc>
          <w:tcPr>
            <w:tcW w:w="4246" w:type="dxa"/>
            <w:tcBorders/>
            <w:vAlign w:val="center"/>
          </w:tcPr>
          <w:p>
            <w:pPr>
              <w:pStyle w:val="TableContents"/>
              <w:bidi w:val="0"/>
              <w:spacing w:before="0" w:after="0"/>
              <w:ind w:left="0" w:right="0" w:hanging="0"/>
              <w:jc w:val="left"/>
              <w:rPr/>
            </w:pPr>
            <w:r>
              <w:rPr/>
              <w:t>​</w:t>
            </w:r>
          </w:p>
        </w:tc>
        <w:tc>
          <w:tcPr>
            <w:tcW w:w="2355" w:type="dxa"/>
            <w:gridSpan w:val="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sales/Other revenue from operations</w:t>
            </w:r>
          </w:p>
        </w:tc>
        <w:tc>
          <w:tcPr>
            <w:tcW w:w="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sold/Other expenses from operations</w:t>
            </w:r>
          </w:p>
        </w:tc>
        <w:tc>
          <w:tcPr>
            <w:tcW w:w="529"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7,435</w:t>
            </w:r>
          </w:p>
        </w:tc>
        <w:tc>
          <w:tcPr>
            <w:tcW w:w="391"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529"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investee shareholders</w:t>
            </w:r>
          </w:p>
        </w:tc>
        <w:tc>
          <w:tcPr>
            <w:tcW w:w="529" w:type="dxa"/>
            <w:tcBorders/>
            <w:vAlign w:val="center"/>
          </w:tcPr>
          <w:p>
            <w:pPr>
              <w:pStyle w:val="TableContents"/>
              <w:bidi w:val="0"/>
              <w:spacing w:before="0" w:after="0"/>
              <w:ind w:left="0" w:right="0" w:hanging="0"/>
              <w:jc w:val="left"/>
              <w:rPr/>
            </w:pPr>
            <w:r>
              <w:rPr/>
              <w:t> </w:t>
            </w:r>
          </w:p>
        </w:tc>
        <w:tc>
          <w:tcPr>
            <w:tcW w:w="14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bookmarkStart w:id="803" w:name="Tc_gySpq_chy0WwRrvcF6TTqw_7_5"/>
      <w:bookmarkStart w:id="804" w:name="Tc_YwEdGjmUy0Gd51vTbCvSww_7_2"/>
      <w:bookmarkStart w:id="805" w:name="Tc_AmOLOWHPy0KOo2e_n5HFHw_6_0"/>
      <w:bookmarkStart w:id="806" w:name="Tc_fEM43SlrPU2j5udR96e6pA_5_0"/>
      <w:bookmarkStart w:id="807" w:name="Tc_7xZ5PIK0vk-8jBpIE7iZRw_4_5"/>
      <w:bookmarkStart w:id="808" w:name="Tc_k6XzPBiZcUiaxE_jf31BGQ_4_2"/>
      <w:bookmarkStart w:id="809" w:name="Tc_UVQ4YAGe10StLyctPezZwQ_4_0"/>
      <w:bookmarkStart w:id="810" w:name="Tc_5alzbwnbtUG9_j5BzgSW6w_3_2"/>
      <w:bookmarkStart w:id="811" w:name="Tc_U1e-vx7Uz0i4-PZu6yYjng_2_5"/>
      <w:bookmarkStart w:id="812" w:name="Tc_6uL4zu2AB0yeH4I2sjp3QQ_2_2"/>
      <w:bookmarkStart w:id="813" w:name="Tc_tLwnZhBXeUqWveWsm4LUAw_1_2"/>
      <w:bookmarkEnd w:id="803"/>
      <w:bookmarkEnd w:id="804"/>
      <w:bookmarkEnd w:id="805"/>
      <w:bookmarkEnd w:id="806"/>
      <w:bookmarkEnd w:id="807"/>
      <w:bookmarkEnd w:id="808"/>
      <w:bookmarkEnd w:id="809"/>
      <w:bookmarkEnd w:id="810"/>
      <w:bookmarkEnd w:id="811"/>
      <w:bookmarkEnd w:id="812"/>
      <w:bookmarkEnd w:id="813"/>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pStyle w:val="TextBody"/>
        <w:bidi w:val="0"/>
        <w:spacing w:before="0" w:after="0"/>
        <w:ind w:left="0" w:right="0" w:hanging="0"/>
        <w:jc w:val="left"/>
        <w:rPr/>
      </w:pPr>
      <w:r>
        <w:rPr/>
        <w:t>​</w:t>
      </w:r>
    </w:p>
    <w:tbl>
      <w:tblPr>
        <w:tblW w:w="7032" w:type="dxa"/>
        <w:jc w:val="left"/>
        <w:tblInd w:w="0" w:type="dxa"/>
        <w:tblLayout w:type="fixed"/>
        <w:tblCellMar>
          <w:top w:w="0" w:type="dxa"/>
          <w:left w:w="0" w:type="dxa"/>
          <w:bottom w:w="0" w:type="dxa"/>
          <w:right w:w="0" w:type="dxa"/>
        </w:tblCellMar>
      </w:tblPr>
      <w:tblGrid>
        <w:gridCol w:w="5116"/>
        <w:gridCol w:w="326"/>
        <w:gridCol w:w="211"/>
        <w:gridCol w:w="421"/>
        <w:gridCol w:w="326"/>
        <w:gridCol w:w="211"/>
        <w:gridCol w:w="42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248660" cy="175260"/>
                      <wp:effectExtent l="0" t="0" r="0" b="0"/>
                      <wp:wrapNone/>
                      <wp:docPr id="236" name="Frame236"/>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67335" cy="175260"/>
                      <wp:effectExtent l="0" t="0" r="0" b="0"/>
                      <wp:wrapNone/>
                      <wp:docPr id="239" name="Frame23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67335" cy="175260"/>
                      <wp:effectExtent l="0" t="0" r="0" b="0"/>
                      <wp:wrapNone/>
                      <wp:docPr id="242" name="Frame24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0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0"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 to maturity debt investments measured at amortized cost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investments measured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portion of unrealized losses that relates to equity securities still held by our other segments and our Holding Company was $0 million, $61 million and $61 million for the years ended December 31, 2023, 2022 and 2021,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Assets and liabilities measured and reported at fair value are classified and disclosed in one of the following categories: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1 - Quoted prices are available in active markets for identical assets and liabilities as of the reporting date.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bookmarkStart w:id="814" w:name="Tc_8IXaJp3ydkmtjCOxvxfKfw_12_23"/>
      <w:bookmarkStart w:id="815" w:name="Tc_dLx5Se9p0ESupLqQolKV2Q_12_21"/>
      <w:bookmarkStart w:id="816" w:name="Tc_kJBYNcHk5UKulM5giyujhw_12_20"/>
      <w:bookmarkStart w:id="817" w:name="Tc_4QC8jQX19E2RBuIJdG-9Cg_12_17"/>
      <w:bookmarkStart w:id="818" w:name="Tc__v0flaD8YUW3MWDLzQqpVw_12_14"/>
      <w:bookmarkStart w:id="819" w:name="Tc_05r3Z-iM9UOhyzcJ0FxihQ_12_11"/>
      <w:bookmarkStart w:id="820" w:name="Tc_KZNu1ksywkC77AotIgiBVg_12_9"/>
      <w:bookmarkStart w:id="821" w:name="Tc_Dnl19WrWSk-UO5hPSeiGgg_12_8"/>
      <w:bookmarkStart w:id="822" w:name="Tc_TDYMMKWv7ECLuM4cB8kBOA_12_5"/>
      <w:bookmarkStart w:id="823" w:name="Tc_pEywreoql0yby_8j9Mf8Bg_12_2"/>
      <w:bookmarkStart w:id="824" w:name="Tc_1Z3ABAQsKUCHVPyHa70Uxw_11_21"/>
      <w:bookmarkStart w:id="825" w:name="Tc_ZyxM7lmhdEuOKDzAVda1rg_11_15"/>
      <w:bookmarkStart w:id="826" w:name="Tc_-BFeEUq-RU2fsxBIb1PnUg_11_9"/>
      <w:bookmarkStart w:id="827" w:name="Tc_-yeh1m8Qm0iTjBu7RQGZdw_11_3"/>
      <w:bookmarkStart w:id="828" w:name="Tc_4Lw1R5cyJkenMp5DQBQzTg_11_0"/>
      <w:bookmarkStart w:id="829" w:name="Tc_neOzQ1wrYkO8n6dKHzoj1A_10_21"/>
      <w:bookmarkStart w:id="830" w:name="Tc_5Y1AklUIUUWN1pS9bWMp9g_10_15"/>
      <w:bookmarkStart w:id="831" w:name="Tc_8swq7igbOEerMiQvMzdLAg_10_9"/>
      <w:bookmarkStart w:id="832" w:name="Tc_ohHYkfmqhkCX2oCWoH5TmA_10_3"/>
      <w:bookmarkStart w:id="833" w:name="Tc_ZZuH9h8Vz0OAIrkggUobQA_10_0"/>
      <w:bookmarkStart w:id="834" w:name="Tc_BFFt5eFqd0SVa8_t2n24Jw_9_23"/>
      <w:bookmarkStart w:id="835" w:name="Tc_9PQtn9MjlEe00WRu5eGKZg_9_21"/>
      <w:bookmarkStart w:id="836" w:name="Tc_IW3pewoCiEC2A42dSaEYVA_9_20"/>
      <w:bookmarkStart w:id="837" w:name="Tc_o45qPGDJAE6h8gy_erJEgA_9_17"/>
      <w:bookmarkStart w:id="838" w:name="Tc_xzW5b26TpEWhWTSzqwLOmg_9_14"/>
      <w:bookmarkStart w:id="839" w:name="Tc_4pK3SRmq4EObri6bSCB93w_9_11"/>
      <w:bookmarkStart w:id="840" w:name="Tc_R8rFnMh6hE25gUHaNQJ8sw_9_9"/>
      <w:bookmarkStart w:id="841" w:name="Tc_iccsPSqLCEWOtqDEOukDxg_9_8"/>
      <w:bookmarkStart w:id="842" w:name="Tc_TzevGqzPukyvUjmjZDvbUA_9_5"/>
      <w:bookmarkStart w:id="843" w:name="Tc_3lA-j0505kWRg77tPbL7IA_9_2"/>
      <w:bookmarkStart w:id="844" w:name="Tc_uG_414X1b0ivc-RWKe7FDA_9_0"/>
      <w:bookmarkStart w:id="845" w:name="Tc_3amMz09HvkuWLpUSOtyM5g_8_0"/>
      <w:bookmarkStart w:id="846" w:name="Tc_H_yK9CUs3ECVGq5xnse2Kw_7_23"/>
      <w:bookmarkStart w:id="847" w:name="Tc_WMCGiSifMUCWnrq0mMmfBQ_7_20"/>
      <w:bookmarkStart w:id="848" w:name="Tc_wAyC61ZK0U6uUx-ZDrEDXA_7_17"/>
      <w:bookmarkStart w:id="849" w:name="Tc_t7VmSsshokSKKrM3TpQqEA_7_14"/>
      <w:bookmarkStart w:id="850" w:name="Tc_1z_Iv1j-fEedjH9a8JLr9A_7_11"/>
      <w:bookmarkStart w:id="851" w:name="Tc_HMBujIFeVUqaYTBYoZcF4g_7_8"/>
      <w:bookmarkStart w:id="852" w:name="Tc_tuKKHCB28ECTOFgg-2VVNQ_7_5"/>
      <w:bookmarkStart w:id="853" w:name="Tc_x3FmoE4y6kqpfcuk_dbigQ_7_2"/>
      <w:bookmarkStart w:id="854" w:name="Tc_jv-YsXHuxEWtL8ZNmquebg_6_21"/>
      <w:bookmarkStart w:id="855" w:name="Tc_mb36Vp_PiE6KREgmTLRPEA_6_15"/>
      <w:bookmarkStart w:id="856" w:name="Tc_EHGrNXKZ7k66TLLLsm99TA_6_9"/>
      <w:bookmarkStart w:id="857" w:name="Tc_aa-x_6n6NEaW4OXYMAe5eQ_6_3"/>
      <w:bookmarkStart w:id="858" w:name="Tc_IdQ6Ux5u8kWyC8fV65WMYw_6_0"/>
      <w:bookmarkStart w:id="859" w:name="Tc_7nLWk88BcUCkROuf8g6e4g_5_23"/>
      <w:bookmarkStart w:id="860" w:name="Tc_7gX3WozpvECPXwVLhDsE-Q_5_20"/>
      <w:bookmarkStart w:id="861" w:name="Tc_vPoAOuV0lkmlBXrqm-Vksg_5_17"/>
      <w:bookmarkStart w:id="862" w:name="Tc_dPTpCYgX-0W6hcJGdsmFlQ_5_14"/>
      <w:bookmarkStart w:id="863" w:name="Tc__47OCUdgQ0mxiY1zWAdLhw_5_11"/>
      <w:bookmarkStart w:id="864" w:name="Tc_DVsHWIa1Bk2v0N4lbYuCbg_5_8"/>
      <w:bookmarkStart w:id="865" w:name="Tc_BKPlUmQsG0uI_yScZmdXJA_5_5"/>
      <w:bookmarkStart w:id="866" w:name="Tc_mbX2-XLTi0mMffTTL2Vkww_5_2"/>
      <w:bookmarkStart w:id="867" w:name="Tc_hKRe1wknzUK7v3qr48J8wA_5_0"/>
      <w:bookmarkStart w:id="868" w:name="Tc_QmC_uhAqnUSkWRluy5x9aA_4_0"/>
      <w:bookmarkStart w:id="869" w:name="Tc_ApUiTgwzKEuR_E8FrMd3Hw_3_2"/>
      <w:bookmarkStart w:id="870" w:name="Tc_O9Y3s0nyeEijXL4sHr4bsA_2_23"/>
      <w:bookmarkStart w:id="871" w:name="Tc__EzioN_NbECREBIatEMVpw_2_20"/>
      <w:bookmarkStart w:id="872" w:name="Tc_rPQDvpORN0GLp80CaRrhbg_2_17"/>
      <w:bookmarkStart w:id="873" w:name="Tc_sCh_qdI660Ogso7WjuzPRg_2_14"/>
      <w:bookmarkStart w:id="874" w:name="Tc_pfbr6UYyPUOzq2eOBkjZaQ_2_11"/>
      <w:bookmarkStart w:id="875" w:name="Tc_vLlgo6d5SkCJP1Zo8reZtA_2_8"/>
      <w:bookmarkStart w:id="876" w:name="Tc_xa9JTQzEBE6j2hQIxKi1Qw_2_5"/>
      <w:bookmarkStart w:id="877" w:name="Tc_lMGBMLrkmUCrq5XIPBPGOg_2_2"/>
      <w:bookmarkStart w:id="878" w:name="Tc_bsBlR8Qss0CaeGZojxT4Gg_1_14"/>
      <w:bookmarkStart w:id="879" w:name="Tc_84LwxdHPbUivu4bBrgjLMw_1_2"/>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Times New Roman;Times;serif" w:hAnsi="Times New Roman;Times;serif"/>
          <w:b/>
          <w:i/>
          <w:sz w:val="20"/>
        </w:rPr>
        <w:t>Assets and Liabilities Measured at Fair Value on a 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valuation of our assets and liabilities by the above fair value hierarchy levels measured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0"/>
        <w:gridCol w:w="326"/>
        <w:gridCol w:w="211"/>
        <w:gridCol w:w="571"/>
        <w:gridCol w:w="326"/>
        <w:gridCol w:w="211"/>
        <w:gridCol w:w="571"/>
        <w:gridCol w:w="326"/>
        <w:gridCol w:w="231"/>
        <w:gridCol w:w="383"/>
        <w:gridCol w:w="326"/>
        <w:gridCol w:w="211"/>
        <w:gridCol w:w="571"/>
        <w:gridCol w:w="326"/>
        <w:gridCol w:w="211"/>
        <w:gridCol w:w="571"/>
        <w:gridCol w:w="326"/>
        <w:gridCol w:w="211"/>
        <w:gridCol w:w="571"/>
        <w:gridCol w:w="326"/>
        <w:gridCol w:w="231"/>
        <w:gridCol w:w="383"/>
        <w:gridCol w:w="326"/>
        <w:gridCol w:w="211"/>
        <w:gridCol w:w="678"/>
      </w:tblGrid>
      <w:tr>
        <w:trPr/>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96950" cy="175260"/>
                      <wp:effectExtent l="0" t="0" r="0" b="0"/>
                      <wp:wrapNone/>
                      <wp:docPr id="243" name="Frame243"/>
                      <a:graphic xmlns:a="http://schemas.openxmlformats.org/drawingml/2006/main">
                        <a:graphicData uri="http://schemas.microsoft.com/office/word/2010/wordprocessingShape">
                          <wps:wsp>
                            <wps:cNvSpPr txBox="1"/>
                            <wps:spPr>
                              <a:xfrm>
                                <a:off x="0" y="0"/>
                                <a:ext cx="996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2585" cy="175260"/>
                      <wp:effectExtent l="0" t="0" r="0" b="0"/>
                      <wp:wrapNone/>
                      <wp:docPr id="246" name="Frame2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62585" cy="175260"/>
                      <wp:effectExtent l="0" t="0" r="0" b="0"/>
                      <wp:wrapNone/>
                      <wp:docPr id="249" name="Frame2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6685" cy="175260"/>
                      <wp:effectExtent l="0" t="0" r="0" b="0"/>
                      <wp:wrapNone/>
                      <wp:docPr id="251" name="Frame25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43205" cy="175260"/>
                      <wp:effectExtent l="0" t="0" r="0" b="0"/>
                      <wp:wrapNone/>
                      <wp:docPr id="252" name="Frame252"/>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2585" cy="175260"/>
                      <wp:effectExtent l="0" t="0" r="0" b="0"/>
                      <wp:wrapNone/>
                      <wp:docPr id="255"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2585" cy="175260"/>
                      <wp:effectExtent l="0" t="0" r="0" b="0"/>
                      <wp:wrapNone/>
                      <wp:docPr id="258" name="Frame2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62585" cy="175260"/>
                      <wp:effectExtent l="0" t="0" r="0" b="0"/>
                      <wp:wrapNone/>
                      <wp:docPr id="261" name="Frame2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6685" cy="175260"/>
                      <wp:effectExtent l="0" t="0" r="0" b="0"/>
                      <wp:wrapNone/>
                      <wp:docPr id="263" name="Frame26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3205" cy="175260"/>
                      <wp:effectExtent l="0" t="0" r="0" b="0"/>
                      <wp:wrapNone/>
                      <wp:docPr id="264" name="Frame26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0530" cy="175260"/>
                      <wp:effectExtent l="0" t="0" r="0" b="0"/>
                      <wp:wrapNone/>
                      <wp:docPr id="267" name="Frame267"/>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3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404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1"/>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1"/>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1"/>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309" w:type="dxa"/>
            <w:gridSpan w:val="23"/>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70"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38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38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8" w:type="dxa"/>
            <w:tcBorders/>
            <w:vAlign w:val="center"/>
          </w:tcPr>
          <w:p>
            <w:pPr>
              <w:pStyle w:val="TableContents"/>
              <w:bidi w:val="0"/>
              <w:spacing w:before="0" w:after="1"/>
              <w:ind w:left="0" w:right="0" w:hanging="0"/>
              <w:jc w:val="center"/>
              <w:rPr/>
            </w:pPr>
            <w:r>
              <w:rPr/>
              <w:t>​</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(Note 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6,722</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 net (Note 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r>
      <w:tr>
        <w:trPr/>
        <w:tc>
          <w:tcPr>
            <w:tcW w:w="15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7,527</w:t>
            </w:r>
          </w:p>
        </w:tc>
      </w:tr>
      <w:tr>
        <w:trPr/>
        <w:tc>
          <w:tcPr>
            <w:tcW w:w="1570"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(Note 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6,495</w:t>
            </w:r>
          </w:p>
        </w:tc>
      </w:tr>
      <w:tr>
        <w:trPr/>
        <w:tc>
          <w:tcPr>
            <w:tcW w:w="15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 net (Note 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3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3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r>
      <w:tr>
        <w:trPr/>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7,878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20, “Pension and Other Post-Retirement Benefit Plans,” for our Food Packaging segment’s defined benefit plan assets measured at fair value on a recurring basis as of December 31, 2023 and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changes in investments measured at fair value on a recurring basis for which we use Level 3 inputs during the years ended December 31, 2023 and 2022.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Assets Measured at Fair Value on a Non-Recurring Basis for Which We Use Level 3 Inputs to Determine Fair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Partners performed a non-recurring fair value measurement of the equity interest received as part of the 45Q Transaction. </w:t>
      </w:r>
      <w:r>
        <w:rPr>
          <w:rFonts w:ascii="TimesNewRoman" w:hAnsi="TimesNewRoman"/>
          <w:sz w:val="20"/>
        </w:rPr>
        <w:t>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w:t>
      </w:r>
      <w:r>
        <w:rPr>
          <w:rFonts w:ascii="Times New Roman;Times;serif" w:hAnsi="Times New Roman;Times;serif"/>
          <w:sz w:val="20"/>
        </w:rPr>
        <w:t xml:space="preserve"> </w:t>
      </w:r>
      <w:r>
        <w:rPr>
          <w:rFonts w:ascii="TimesNewRoman" w:hAnsi="TimesNewRoman"/>
          <w:sz w:val="20"/>
        </w:rPr>
        <w:t>million at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NewRoman" w:hAnsi="TimesNewRoman"/>
          <w:i/>
          <w:sz w:val="20"/>
        </w:rPr>
      </w:pPr>
      <w:r>
        <w:rPr>
          <w:rFonts w:ascii="TimesNewRoman" w:hAnsi="TimesNewRoman"/>
          <w:i/>
          <w:sz w:val="20"/>
        </w:rPr>
        <w:t>Holding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estimated fair value of the Company’s note receivable from Auto Plus was measured at January 31, 2023 using the income approach with Level 3 inputs by discounting the forecasted cash inflows associated with the note using an estimated market discount rate. The Company measured the fair value of the related party note using the practical expedient for a collateral-dependent loan in accordance with ASC Topic 326 to determine the allowance based on the fair value of collateral less costs to sell. The collateral for the note primarily consists of cash and accounts receivable. The Company estimated the fair value of the accounts receivable by using an average from a range of expected cash collection projections. We determined the estimated fair value to be $11 million at December 31, 2023.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880" w:name="_728797ad_8b06_481d_b3e5_93eebcdb57aa"/>
      <w:bookmarkEnd w:id="880"/>
      <w:r>
        <w:rPr>
          <w:rFonts w:ascii="Times New Roman;Times;serif" w:hAnsi="Times New Roman;Times;serif"/>
          <w:b/>
          <w:sz w:val="20"/>
        </w:rPr>
        <w:t>7.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December 31, 2023 and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volume of our Investment segment’s derivative activities based on their notional exposure, categorized by primary underlying risk:</w:t>
      </w:r>
    </w:p>
    <w:p>
      <w:pPr>
        <w:pStyle w:val="TextBody"/>
        <w:bidi w:val="0"/>
        <w:spacing w:before="0" w:after="0"/>
        <w:ind w:left="0" w:right="0" w:hanging="0"/>
        <w:jc w:val="left"/>
        <w:rPr/>
      </w:pPr>
      <w:bookmarkStart w:id="881" w:name="Tc_MVbIUekYiUKomO2wF5SkZA_7_0"/>
      <w:bookmarkStart w:id="882" w:name="Tc_le9cn7R58Ui8MpL5h4tu0Q_6_0"/>
      <w:bookmarkStart w:id="883" w:name="Tc_4hIQWRbWcEKSUOy1St5nrQ_5_11"/>
      <w:bookmarkStart w:id="884" w:name="Tc_e4VzDQGy9UCuCPLfVHPBrw_5_8"/>
      <w:bookmarkStart w:id="885" w:name="Tc_e4AE4lwwVUWaODHmQix4nA_5_5"/>
      <w:bookmarkStart w:id="886" w:name="Tc_tE5Kc5YbEUeOu_3oN914CA_5_2"/>
      <w:bookmarkStart w:id="887" w:name="Tc_P0V5xztCBkeJOwl3HdLKdw_5_0"/>
      <w:bookmarkStart w:id="888" w:name="Tc_yb47Dm9CeU-lQZikdn2i9A_4_0"/>
      <w:bookmarkStart w:id="889" w:name="Tc_Ne5PxpuvyUSkPLp4I3fTYg_3_3"/>
      <w:bookmarkStart w:id="890" w:name="Tc_l_0uzh7YBkyWBoWgo6B0hg_2_11"/>
      <w:bookmarkStart w:id="891" w:name="Tc_fBoGUFNf_kmCzlQA3Sf1Gw_2_8"/>
      <w:bookmarkStart w:id="892" w:name="Tc_LH9sv9Ewq0ms7TS49DjNyg_2_5"/>
      <w:bookmarkStart w:id="893" w:name="Tc_pWYI0qtp_EuezuqUsOuY6g_2_2"/>
      <w:bookmarkStart w:id="894" w:name="Tc_PQgvWd2um0KddXNPsyZtFw_1_8"/>
      <w:bookmarkStart w:id="895" w:name="Tc_cW9NeqkvFk6E-bFpkyCyeA_1_2"/>
      <w:bookmarkStart w:id="896" w:name="_bb6ca49a_87e4_447e_a393_4a42a8266892"/>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r>
        <w:rPr/>
        <w:t>​</w:t>
      </w:r>
    </w:p>
    <w:tbl>
      <w:tblPr>
        <w:tblW w:w="10205" w:type="dxa"/>
        <w:jc w:val="left"/>
        <w:tblInd w:w="0" w:type="dxa"/>
        <w:tblLayout w:type="fixed"/>
        <w:tblCellMar>
          <w:top w:w="0" w:type="dxa"/>
          <w:left w:w="0" w:type="dxa"/>
          <w:bottom w:w="0" w:type="dxa"/>
          <w:right w:w="0" w:type="dxa"/>
        </w:tblCellMar>
      </w:tblPr>
      <w:tblGrid>
        <w:gridCol w:w="1767"/>
        <w:gridCol w:w="326"/>
        <w:gridCol w:w="476"/>
        <w:gridCol w:w="1290"/>
        <w:gridCol w:w="326"/>
        <w:gridCol w:w="478"/>
        <w:gridCol w:w="1298"/>
        <w:gridCol w:w="326"/>
        <w:gridCol w:w="476"/>
        <w:gridCol w:w="1290"/>
        <w:gridCol w:w="326"/>
        <w:gridCol w:w="464"/>
        <w:gridCol w:w="1362"/>
      </w:tblGrid>
      <w:tr>
        <w:trPr/>
        <w:tc>
          <w:tcPr>
            <w:tcW w:w="1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22045" cy="175260"/>
                      <wp:effectExtent l="0" t="0" r="0" b="0"/>
                      <wp:wrapNone/>
                      <wp:docPr id="268" name="Frame268"/>
                      <a:graphic xmlns:a="http://schemas.openxmlformats.org/drawingml/2006/main">
                        <a:graphicData uri="http://schemas.microsoft.com/office/word/2010/wordprocessingShape">
                          <wps:wsp>
                            <wps:cNvSpPr txBox="1"/>
                            <wps:spPr>
                              <a:xfrm>
                                <a:off x="0" y="0"/>
                                <a:ext cx="1122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02260" cy="175260"/>
                      <wp:effectExtent l="0" t="0" r="0" b="0"/>
                      <wp:wrapNone/>
                      <wp:docPr id="270" name="Frame270"/>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19150" cy="175260"/>
                      <wp:effectExtent l="0" t="0" r="0" b="0"/>
                      <wp:wrapNone/>
                      <wp:docPr id="271" name="Frame271"/>
                      <a:graphic xmlns:a="http://schemas.openxmlformats.org/drawingml/2006/main">
                        <a:graphicData uri="http://schemas.microsoft.com/office/word/2010/wordprocessingShape">
                          <wps:wsp>
                            <wps:cNvSpPr txBox="1"/>
                            <wps:spPr>
                              <a:xfrm>
                                <a:off x="0" y="0"/>
                                <a:ext cx="819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3530" cy="175260"/>
                      <wp:effectExtent l="0" t="0" r="0" b="0"/>
                      <wp:wrapNone/>
                      <wp:docPr id="273" name="Frame273"/>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24230" cy="175260"/>
                      <wp:effectExtent l="0" t="0" r="0" b="0"/>
                      <wp:wrapNone/>
                      <wp:docPr id="274" name="Frame274"/>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02260" cy="175260"/>
                      <wp:effectExtent l="0" t="0" r="0" b="0"/>
                      <wp:wrapNone/>
                      <wp:docPr id="276" name="Frame276"/>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19150" cy="175260"/>
                      <wp:effectExtent l="0" t="0" r="0" b="0"/>
                      <wp:wrapNone/>
                      <wp:docPr id="277" name="Frame277"/>
                      <a:graphic xmlns:a="http://schemas.openxmlformats.org/drawingml/2006/main">
                        <a:graphicData uri="http://schemas.microsoft.com/office/word/2010/wordprocessingShape">
                          <wps:wsp>
                            <wps:cNvSpPr txBox="1"/>
                            <wps:spPr>
                              <a:xfrm>
                                <a:off x="0" y="0"/>
                                <a:ext cx="819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94640" cy="175260"/>
                      <wp:effectExtent l="0" t="0" r="0" b="0"/>
                      <wp:wrapNone/>
                      <wp:docPr id="279" name="Frame279"/>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864870" cy="175260"/>
                      <wp:effectExtent l="0" t="0" r="0" b="0"/>
                      <wp:wrapNone/>
                      <wp:docPr id="280" name="Frame280"/>
                      <a:graphic xmlns:a="http://schemas.openxmlformats.org/drawingml/2006/main">
                        <a:graphicData uri="http://schemas.microsoft.com/office/word/2010/wordprocessingShape">
                          <wps:wsp>
                            <wps:cNvSpPr txBox="1"/>
                            <wps:spPr>
                              <a:xfrm>
                                <a:off x="0" y="0"/>
                                <a:ext cx="864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39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7636"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Primary underlying risk:</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8" w:type="dxa"/>
            <w:tcBorders/>
            <w:vAlign w:val="center"/>
          </w:tcPr>
          <w:p>
            <w:pPr>
              <w:pStyle w:val="TableContents"/>
              <w:bidi w:val="0"/>
              <w:spacing w:before="0" w:after="1"/>
              <w:ind w:left="0" w:right="0" w:hanging="0"/>
              <w:jc w:val="center"/>
              <w:rPr/>
            </w:pPr>
            <w:r>
              <w:rPr/>
              <w:t>​</w:t>
            </w:r>
          </w:p>
        </w:tc>
        <w:tc>
          <w:tcPr>
            <w:tcW w:w="12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1362" w:type="dxa"/>
            <w:tcBorders/>
            <w:vAlign w:val="center"/>
          </w:tcPr>
          <w:p>
            <w:pPr>
              <w:pStyle w:val="TableContents"/>
              <w:bidi w:val="0"/>
              <w:spacing w:before="0" w:after="1"/>
              <w:ind w:left="0" w:right="0" w:hanging="0"/>
              <w:jc w:val="center"/>
              <w:rPr/>
            </w:pPr>
            <w:r>
              <w:rPr/>
              <w:t>​</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center"/>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w:t>
            </w:r>
          </w:p>
        </w:tc>
        <w:tc>
          <w:tcPr>
            <w:tcW w:w="326"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5,354</w:t>
            </w:r>
          </w:p>
        </w:tc>
      </w:tr>
      <w:tr>
        <w:trPr/>
        <w:tc>
          <w:tcPr>
            <w:tcW w:w="176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78" w:type="dxa"/>
            <w:tcBorders/>
            <w:vAlign w:val="center"/>
          </w:tcPr>
          <w:p>
            <w:pPr>
              <w:pStyle w:val="TableContents"/>
              <w:bidi w:val="0"/>
              <w:spacing w:before="0" w:after="1"/>
              <w:ind w:left="0" w:right="0" w:hanging="0"/>
              <w:jc w:val="right"/>
              <w:rPr/>
            </w:pPr>
            <w:r>
              <w:rPr/>
              <w:t>​</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before="0" w:after="1"/>
              <w:ind w:left="0" w:right="0" w:hanging="0"/>
              <w:jc w:val="right"/>
              <w:rPr/>
            </w:pPr>
            <w:r>
              <w:rPr/>
              <w:t>​</w:t>
            </w:r>
          </w:p>
        </w:tc>
        <w:tc>
          <w:tcPr>
            <w:tcW w:w="476" w:type="dxa"/>
            <w:tcBorders/>
            <w:vAlign w:val="center"/>
          </w:tcPr>
          <w:p>
            <w:pPr>
              <w:pStyle w:val="TableContents"/>
              <w:bidi w:val="0"/>
              <w:spacing w:before="0" w:after="1"/>
              <w:ind w:left="0" w:right="0" w:hanging="0"/>
              <w:jc w:val="right"/>
              <w:rPr/>
            </w:pPr>
            <w:r>
              <w:rPr/>
              <w:t>​</w:t>
            </w:r>
          </w:p>
        </w:tc>
        <w:tc>
          <w:tcPr>
            <w:tcW w:w="12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64" w:type="dxa"/>
            <w:tcBorders/>
            <w:vAlign w:val="center"/>
          </w:tcPr>
          <w:p>
            <w:pPr>
              <w:pStyle w:val="TableContents"/>
              <w:bidi w:val="0"/>
              <w:spacing w:before="0" w:after="1"/>
              <w:ind w:left="0" w:right="0" w:hanging="0"/>
              <w:jc w:val="right"/>
              <w:rPr/>
            </w:pPr>
            <w:r>
              <w:rPr/>
              <w:t>​</w:t>
            </w:r>
          </w:p>
        </w:tc>
        <w:tc>
          <w:tcPr>
            <w:tcW w:w="13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lef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right"/>
              <w:rPr/>
            </w:pPr>
            <w:r>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464" w:type="dxa"/>
            <w:tcBorders/>
            <w:shd w:fill="CCEEFF" w:val="clear"/>
            <w:vAlign w:val="center"/>
          </w:tcPr>
          <w:p>
            <w:pPr>
              <w:pStyle w:val="TableContents"/>
              <w:bidi w:val="0"/>
              <w:spacing w:before="0" w:after="1"/>
              <w:ind w:left="0" w:right="0" w:hanging="0"/>
              <w:jc w:val="right"/>
              <w:rPr/>
            </w:pPr>
            <w:r>
              <w:rPr/>
              <w:t>​</w:t>
            </w:r>
          </w:p>
        </w:tc>
        <w:tc>
          <w:tcPr>
            <w:tcW w:w="136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short notional amount on our credit default swap positions was approximately $2.5</w:t>
            </w:r>
            <w:r>
              <w:rPr>
                <w:caps w:val="false"/>
                <w:smallCaps w:val="false"/>
              </w:rPr>
              <w:t xml:space="preserve"> </w:t>
            </w:r>
            <w:r>
              <w:rPr>
                <w:rFonts w:ascii="Times New Roman;Times;serif" w:hAnsi="Times New Roman;Times;serif"/>
                <w:b w:val="false"/>
                <w:i w:val="false"/>
                <w:caps w:val="false"/>
                <w:smallCaps w:val="false"/>
                <w:sz w:val="16"/>
              </w:rPr>
              <w:t>billion at December 31, 2023. However, because credit spreads cannot compress below zero, our downside short notional exposure to loss is approximately $0.4</w:t>
            </w:r>
            <w:r>
              <w:rPr>
                <w:caps w:val="false"/>
                <w:smallCaps w:val="false"/>
              </w:rPr>
              <w:t xml:space="preserve"> </w:t>
            </w:r>
            <w:r>
              <w:rPr>
                <w:rFonts w:ascii="Times New Roman;Times;serif" w:hAnsi="Times New Roman;Times;serif"/>
                <w:b w:val="false"/>
                <w:i w:val="false"/>
                <w:caps w:val="false"/>
                <w:smallCaps w:val="false"/>
                <w:sz w:val="16"/>
              </w:rPr>
              <w:t>billion as of December 31, 2023. The short notional amount on our credit default swap positions was approximately $3.5</w:t>
            </w:r>
            <w:r>
              <w:rPr>
                <w:caps w:val="false"/>
                <w:smallCaps w:val="false"/>
              </w:rPr>
              <w:t xml:space="preserve"> </w:t>
            </w:r>
            <w:r>
              <w:rPr>
                <w:rFonts w:ascii="Times New Roman;Times;serif" w:hAnsi="Times New Roman;Times;serif"/>
                <w:b w:val="false"/>
                <w:i w:val="false"/>
                <w:caps w:val="false"/>
                <w:smallCaps w:val="false"/>
                <w:sz w:val="16"/>
              </w:rPr>
              <w:t>billion as of December 31, 2022. However, because credit spreads cannot compress below zero, our downside short notional exposure to loss is $0.9</w:t>
            </w:r>
            <w:r>
              <w:rPr>
                <w:caps w:val="false"/>
                <w:smallCaps w:val="false"/>
              </w:rPr>
              <w:t xml:space="preserve"> </w:t>
            </w:r>
            <w:r>
              <w:rPr>
                <w:rFonts w:ascii="Times New Roman;Times;serif" w:hAnsi="Times New Roman;Times;serif"/>
                <w:b w:val="false"/>
                <w:i w:val="false"/>
                <w:caps w:val="false"/>
                <w:smallCaps w:val="false"/>
                <w:sz w:val="16"/>
              </w:rPr>
              <w:t>billion as of December 31, 2022.</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fair values of our Investment segment’s derivatives that are not designated as hedging instruments in accordance with U.S. GAAP:</w:t>
      </w:r>
    </w:p>
    <w:p>
      <w:pPr>
        <w:pStyle w:val="TextBody"/>
        <w:bidi w:val="0"/>
        <w:spacing w:before="0" w:after="0"/>
        <w:ind w:left="0" w:right="0" w:hanging="0"/>
        <w:jc w:val="left"/>
        <w:rPr/>
      </w:pPr>
      <w:bookmarkStart w:id="897" w:name="Tc_yhp5P0guNE-Cz-mB7EigrA_9_0"/>
      <w:bookmarkStart w:id="898" w:name="Tc_pseTHx-XxU6mu5XBDMUgkw_8_0"/>
      <w:bookmarkStart w:id="899" w:name="Tc_gCZ57ZFX4k-odC1gU4j36w_7_0"/>
      <w:bookmarkStart w:id="900" w:name="Tc_uOl3shpIJEibYMGF7wZq_g_6_6"/>
      <w:bookmarkStart w:id="901" w:name="Tc_c9FARn6xEUabs2wRIVUnmw_6_0"/>
      <w:bookmarkStart w:id="902" w:name="Tc_ys8zICM33kCGdnIqflDkjA_5_0"/>
      <w:bookmarkStart w:id="903" w:name="Tc_8q5QhpM5P0Kb1p7HFg7H8g_4_11"/>
      <w:bookmarkStart w:id="904" w:name="Tc_1AaYeBuP-kadvitwyps94w_4_8"/>
      <w:bookmarkStart w:id="905" w:name="Tc_y8hRi7cvjUCnBxhsyw_33g_4_5"/>
      <w:bookmarkStart w:id="906" w:name="Tc_bENX-9JyIEqUzmwyQva26A_4_2"/>
      <w:bookmarkStart w:id="907" w:name="Tc_hWJbdgm9P0WRKQ-Tr6hRdw_4_0"/>
      <w:bookmarkStart w:id="908" w:name="Tc_vdu30jxHn0aGLYpNX84Jew_3_3"/>
      <w:bookmarkStart w:id="909" w:name="Tc_DTkH1Y3Vi0u5KQa4rhrSiA_2_11"/>
      <w:bookmarkStart w:id="910" w:name="Tc_klwLAzjvbkyaX6G5Vo_zbQ_2_8"/>
      <w:bookmarkStart w:id="911" w:name="Tc_iAYG6E74yU2Ml2jnwIe8_Q_2_5"/>
      <w:bookmarkStart w:id="912" w:name="Tc_KyniBGmZdUOWeLXjJsp2SQ_2_2"/>
      <w:bookmarkStart w:id="913" w:name="Tc_aykz4s3ZL0qf7tfJmx3KzQ_1_8"/>
      <w:bookmarkStart w:id="914" w:name="Tc_rmQdosNPkEGiwwefyZFUmw_1_2"/>
      <w:bookmarkStart w:id="915" w:name="_8f4cdf52_0f02_4a5e_b51a_8fb2aa0835cc"/>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t>​</w:t>
      </w:r>
    </w:p>
    <w:tbl>
      <w:tblPr>
        <w:tblW w:w="10205" w:type="dxa"/>
        <w:jc w:val="left"/>
        <w:tblInd w:w="0" w:type="dxa"/>
        <w:tblLayout w:type="fixed"/>
        <w:tblCellMar>
          <w:top w:w="0" w:type="dxa"/>
          <w:left w:w="0" w:type="dxa"/>
          <w:bottom w:w="0" w:type="dxa"/>
          <w:right w:w="0" w:type="dxa"/>
        </w:tblCellMar>
      </w:tblPr>
      <w:tblGrid>
        <w:gridCol w:w="1940"/>
        <w:gridCol w:w="326"/>
        <w:gridCol w:w="620"/>
        <w:gridCol w:w="1106"/>
        <w:gridCol w:w="326"/>
        <w:gridCol w:w="576"/>
        <w:gridCol w:w="1150"/>
        <w:gridCol w:w="326"/>
        <w:gridCol w:w="465"/>
        <w:gridCol w:w="1261"/>
        <w:gridCol w:w="337"/>
        <w:gridCol w:w="507"/>
        <w:gridCol w:w="1265"/>
      </w:tblGrid>
      <w:tr>
        <w:trPr/>
        <w:tc>
          <w:tcPr>
            <w:tcW w:w="1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31900" cy="175260"/>
                      <wp:effectExtent l="0" t="0" r="0" b="0"/>
                      <wp:wrapNone/>
                      <wp:docPr id="281" name="Frame281"/>
                      <a:graphic xmlns:a="http://schemas.openxmlformats.org/drawingml/2006/main">
                        <a:graphicData uri="http://schemas.microsoft.com/office/word/2010/wordprocessingShape">
                          <wps:wsp>
                            <wps:cNvSpPr txBox="1"/>
                            <wps:spPr>
                              <a:xfrm>
                                <a:off x="0" y="0"/>
                                <a:ext cx="1231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93700" cy="175260"/>
                      <wp:effectExtent l="0" t="0" r="0" b="0"/>
                      <wp:wrapNone/>
                      <wp:docPr id="283" name="Frame283"/>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02310" cy="175260"/>
                      <wp:effectExtent l="0" t="0" r="0" b="0"/>
                      <wp:wrapNone/>
                      <wp:docPr id="284" name="Frame284"/>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5760" cy="175260"/>
                      <wp:effectExtent l="0" t="0" r="0" b="0"/>
                      <wp:wrapNone/>
                      <wp:docPr id="286" name="Frame286"/>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30250" cy="175260"/>
                      <wp:effectExtent l="0" t="0" r="0" b="0"/>
                      <wp:wrapNone/>
                      <wp:docPr id="287" name="Frame287"/>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95275" cy="175260"/>
                      <wp:effectExtent l="0" t="0" r="0" b="0"/>
                      <wp:wrapNone/>
                      <wp:docPr id="289" name="Frame289"/>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00735" cy="175260"/>
                      <wp:effectExtent l="0" t="0" r="0" b="0"/>
                      <wp:wrapNone/>
                      <wp:docPr id="290" name="Frame29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3995" cy="175260"/>
                      <wp:effectExtent l="0" t="0" r="0" b="0"/>
                      <wp:wrapNone/>
                      <wp:docPr id="291" name="Frame29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21945" cy="175260"/>
                      <wp:effectExtent l="0" t="0" r="0" b="0"/>
                      <wp:wrapNone/>
                      <wp:docPr id="292" name="Frame292"/>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03275" cy="175260"/>
                      <wp:effectExtent l="0" t="0" r="0" b="0"/>
                      <wp:wrapNone/>
                      <wp:docPr id="293" name="Frame293"/>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1"/>
              <w:ind w:left="0" w:right="0" w:hanging="0"/>
              <w:jc w:val="center"/>
              <w:rPr/>
            </w:pPr>
            <w:r>
              <w:rPr/>
              <w:t>​</w:t>
            </w:r>
          </w:p>
        </w:tc>
        <w:tc>
          <w:tcPr>
            <w:tcW w:w="38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1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1"/>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37" w:type="dxa"/>
            <w:tcBorders/>
            <w:vAlign w:val="center"/>
          </w:tcPr>
          <w:p>
            <w:pPr>
              <w:pStyle w:val="TableContents"/>
              <w:bidi w:val="0"/>
              <w:spacing w:before="0" w:after="1"/>
              <w:ind w:left="0" w:right="0" w:hanging="0"/>
              <w:jc w:val="left"/>
              <w:rPr/>
            </w:pPr>
            <w:r>
              <w:rPr/>
              <w:t>    </w:t>
            </w:r>
          </w:p>
        </w:tc>
        <w:tc>
          <w:tcPr>
            <w:tcW w:w="17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20" w:type="dxa"/>
            <w:tcBorders/>
            <w:vAlign w:val="center"/>
          </w:tcPr>
          <w:p>
            <w:pPr>
              <w:pStyle w:val="TableContents"/>
              <w:bidi w:val="0"/>
              <w:spacing w:before="0" w:after="1"/>
              <w:ind w:left="0" w:right="0" w:hanging="0"/>
              <w:jc w:val="center"/>
              <w:rPr/>
            </w:pPr>
            <w:r>
              <w:rPr/>
              <w:t>​</w:t>
            </w:r>
          </w:p>
        </w:tc>
        <w:tc>
          <w:tcPr>
            <w:tcW w:w="7319"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37"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19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 </w:t>
            </w:r>
          </w:p>
        </w:tc>
        <w:tc>
          <w:tcPr>
            <w:tcW w:w="11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37"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9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37"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9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 </w:t>
            </w:r>
          </w:p>
        </w:tc>
        <w:tc>
          <w:tcPr>
            <w:tcW w:w="11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337"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r>
      <w:tr>
        <w:trPr/>
        <w:tc>
          <w:tcPr>
            <w:tcW w:w="19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37"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94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6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5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1"/>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37" w:type="dxa"/>
            <w:tcBorders/>
            <w:vAlign w:val="center"/>
          </w:tcPr>
          <w:p>
            <w:pPr>
              <w:pStyle w:val="TableContents"/>
              <w:bidi w:val="0"/>
              <w:spacing w:before="0" w:after="1"/>
              <w:ind w:left="0" w:right="0" w:hanging="0"/>
              <w:jc w:val="left"/>
              <w:rPr/>
            </w:pPr>
            <w:r>
              <w:rPr/>
              <w:t>​</w:t>
            </w:r>
          </w:p>
        </w:tc>
        <w:tc>
          <w:tcPr>
            <w:tcW w:w="5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687</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cash collateral received and posted. The total collateral posted at December 31, 2023 and 2022 was $1,731</w:t>
            </w:r>
            <w:r>
              <w:rPr>
                <w:caps w:val="false"/>
                <w:smallCaps w:val="false"/>
              </w:rPr>
              <w:t xml:space="preserve"> </w:t>
            </w:r>
            <w:r>
              <w:rPr>
                <w:rFonts w:ascii="Times New Roman;Times;serif" w:hAnsi="Times New Roman;Times;serif"/>
                <w:b w:val="false"/>
                <w:i w:val="false"/>
                <w:caps w:val="false"/>
                <w:smallCaps w:val="false"/>
                <w:sz w:val="16"/>
              </w:rPr>
              <w:t>million and $1,436</w:t>
            </w:r>
            <w:r>
              <w:rPr>
                <w:caps w:val="false"/>
                <w:smallCaps w:val="false"/>
              </w:rPr>
              <w:t xml:space="preserve"> </w:t>
            </w:r>
            <w:r>
              <w:rPr>
                <w:rFonts w:ascii="Times New Roman;Times;serif" w:hAnsi="Times New Roman;Times;serif"/>
                <w:b w:val="false"/>
                <w:i w:val="false"/>
                <w:caps w:val="false"/>
                <w:smallCaps w:val="false"/>
                <w:sz w:val="16"/>
              </w:rPr>
              <w:t>million, respectively, across all counterparties, which are included in cash held at consolidated affiliated partnerships and restricted cash in the consolidated balance sheets</w:t>
            </w:r>
            <w:r>
              <w:rPr>
                <w:rFonts w:ascii="Times New Roman;Times;serif" w:hAnsi="Times New Roman;Times;serif"/>
                <w:b w:val="false"/>
                <w:i w:val="false"/>
                <w:caps w:val="false"/>
                <w:smallCaps w:val="false"/>
                <w:sz w:val="20"/>
              </w:rPr>
              <w: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amount of gain (loss) recognized in the consolidated statements of operations for our Investment segment’s derivatives not designated as hedging instruments:</w:t>
      </w:r>
    </w:p>
    <w:p>
      <w:pPr>
        <w:pStyle w:val="TextBody"/>
        <w:bidi w:val="0"/>
        <w:spacing w:before="0" w:after="0"/>
        <w:ind w:left="0" w:right="0" w:hanging="0"/>
        <w:jc w:val="left"/>
        <w:rPr/>
      </w:pPr>
      <w:bookmarkStart w:id="916" w:name="Tc_M-5LKyjAgkin-6ojzR-1AQ_8_7"/>
      <w:bookmarkStart w:id="917" w:name="Tc_WoO9ApEe4kaD24cxUrz08Q_8_4"/>
      <w:bookmarkStart w:id="918" w:name="Tc_v3uSE39veUKs3kbNuJqtbg_8_1"/>
      <w:bookmarkStart w:id="919" w:name="Tc_JnGCu-8pm0eq4LPhqjtJSQ_7_8"/>
      <w:bookmarkStart w:id="920" w:name="Tc_dxd2m-sOOki6kR6o06fXeQ_7_0"/>
      <w:bookmarkStart w:id="921" w:name="Tc_JGRL2yF7rUSiKCX2OjUB3g_6_0"/>
      <w:bookmarkStart w:id="922" w:name="Tc_1ybgCqoS1EK6blYaRhh5dA_5_7"/>
      <w:bookmarkStart w:id="923" w:name="Tc_YSCbNWHf2UGIlaSRQ0DUWw_5_4"/>
      <w:bookmarkStart w:id="924" w:name="Tc_vWGu5lAnnkePxPP-B7B4SQ_5_1"/>
      <w:bookmarkStart w:id="925" w:name="Tc_33sFBemWs0SMO_ntc3sYHg_5_0"/>
      <w:bookmarkStart w:id="926" w:name="Tc_DqqnLjrXwki2dCuK-4gY6A_3_7"/>
      <w:bookmarkStart w:id="927" w:name="Tc_uoKpuwXUpUGhgxia1wKI_w_3_4"/>
      <w:bookmarkStart w:id="928" w:name="Tc_Nk8zxg_dP0K8gXgPZLiqZA_3_1"/>
      <w:bookmarkStart w:id="929" w:name="Tc_8kpwc9BIV0CYopCHxwHylg_2_1"/>
      <w:bookmarkStart w:id="930" w:name="Tc_ruZ6D8gv-EWtgJSKfm84rw_1_1"/>
      <w:bookmarkStart w:id="931" w:name="_d61d92f2_602b_48cf_b5b6_53742b857f34"/>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t>​</w:t>
      </w:r>
    </w:p>
    <w:tbl>
      <w:tblPr>
        <w:tblW w:w="5129" w:type="dxa"/>
        <w:jc w:val="left"/>
        <w:tblInd w:w="0" w:type="dxa"/>
        <w:tblLayout w:type="fixed"/>
        <w:tblCellMar>
          <w:top w:w="0" w:type="dxa"/>
          <w:left w:w="0" w:type="dxa"/>
          <w:bottom w:w="0" w:type="dxa"/>
          <w:right w:w="0" w:type="dxa"/>
        </w:tblCellMar>
      </w:tblPr>
      <w:tblGrid>
        <w:gridCol w:w="1876"/>
        <w:gridCol w:w="211"/>
        <w:gridCol w:w="691"/>
        <w:gridCol w:w="326"/>
        <w:gridCol w:w="211"/>
        <w:gridCol w:w="541"/>
        <w:gridCol w:w="326"/>
        <w:gridCol w:w="211"/>
        <w:gridCol w:w="73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191260" cy="175260"/>
                      <wp:effectExtent l="0" t="0" r="0" b="0"/>
                      <wp:wrapNone/>
                      <wp:docPr id="294" name="Frame294"/>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785" cy="175260"/>
                      <wp:effectExtent l="0" t="0" r="0" b="0"/>
                      <wp:wrapNone/>
                      <wp:docPr id="296" name="Frame2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43535" cy="175260"/>
                      <wp:effectExtent l="0" t="0" r="0" b="0"/>
                      <wp:wrapNone/>
                      <wp:docPr id="299" name="Frame29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67360" cy="175260"/>
                      <wp:effectExtent l="0" t="0" r="0" b="0"/>
                      <wp:wrapNone/>
                      <wp:docPr id="302" name="Frame3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53"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Gain (Loss) Recognized in Income</w:t>
            </w:r>
            <w:r>
              <w:rPr>
                <w:rFonts w:ascii="Times New Roman;Times;serif" w:hAnsi="Times New Roman;Times;serif"/>
                <w:b/>
                <w:sz w:val="15"/>
              </w:rPr>
              <w:t>(1)</w:t>
            </w:r>
          </w:p>
        </w:tc>
      </w:tr>
      <w:tr>
        <w:trPr/>
        <w:tc>
          <w:tcPr>
            <w:tcW w:w="1876" w:type="dxa"/>
            <w:tcBorders/>
            <w:vAlign w:val="center"/>
          </w:tcPr>
          <w:p>
            <w:pPr>
              <w:pStyle w:val="TableContents"/>
              <w:bidi w:val="0"/>
              <w:spacing w:before="0" w:after="1"/>
              <w:ind w:left="0" w:right="0" w:hanging="0"/>
              <w:jc w:val="left"/>
              <w:rPr/>
            </w:pPr>
            <w:r>
              <w:rPr/>
              <w:t>​</w:t>
            </w:r>
          </w:p>
        </w:tc>
        <w:tc>
          <w:tcPr>
            <w:tcW w:w="32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87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187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pPr>
            <w:r>
              <w:rPr/>
              <w:t>​</w:t>
            </w:r>
          </w:p>
        </w:tc>
        <w:tc>
          <w:tcPr>
            <w:tcW w:w="1273" w:type="dxa"/>
            <w:gridSpan w:val="3"/>
            <w:tcBorders/>
            <w:vAlign w:val="center"/>
          </w:tcPr>
          <w:p>
            <w:pPr>
              <w:pStyle w:val="TableContents"/>
              <w:bidi w:val="0"/>
              <w:spacing w:before="0" w:after="1"/>
              <w:ind w:left="0" w:right="0" w:hanging="0"/>
              <w:jc w:val="center"/>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87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(losses) recognized on derivatives are classified in net (loss) gain from investment activities in our consolidated statements of operations for our Investment segment.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CVR Energy had swap positions for crack spreads of 11 million barrels of refined products, and none outstanding as of December 31, 2022. As of December 31, 2023, CVR Energy had no future contracts, and future contracts of less than 1 million barrels at December 31, 2022. As of December 31, 2023 and 2022, CVR Energy had forward contracts of less than 1 million barrels at each period. As of December 31, 2023 and 2022, CVR Energy had open fixed-price commitments to sell a net 11 million and purchase a net 34 million RINs,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the fair value of our Energy segment’s derivatives and the effect of the collateral netting: </w:t>
      </w:r>
    </w:p>
    <w:p>
      <w:pPr>
        <w:pStyle w:val="TextBody"/>
        <w:bidi w:val="0"/>
        <w:spacing w:before="0" w:after="0"/>
        <w:ind w:left="0" w:right="0" w:hanging="0"/>
        <w:jc w:val="left"/>
        <w:rPr/>
      </w:pPr>
      <w:bookmarkStart w:id="932" w:name="Tc_dqI1cghRz0aUz_q-Kiw3Ig_6_11"/>
      <w:bookmarkStart w:id="933" w:name="Tc_M_zGF7ZqIEqC1k5wFCv_Dw_6_9"/>
      <w:bookmarkStart w:id="934" w:name="Tc_pqgpmho_qUGjy43NMm4SRA_6_8"/>
      <w:bookmarkStart w:id="935" w:name="Tc_RFNzn6ZhRkGL0JmkHqNNpw_6_6"/>
      <w:bookmarkStart w:id="936" w:name="Tc_SU6jmb4IfE644aO6r8RCvA_6_5"/>
      <w:bookmarkStart w:id="937" w:name="Tc_uslXOO47uUe8iLW5fKZF8w_6_2"/>
      <w:bookmarkStart w:id="938" w:name="Tc_5PjTh_T-oESb6_1w3tKqkw_6_0"/>
      <w:bookmarkStart w:id="939" w:name="Tc_wyGwJVSoI0yUrgiSBrW6gg_5_6"/>
      <w:bookmarkStart w:id="940" w:name="Tc_zVL4esdYeEuoUoBhDnT5EA_5_0"/>
      <w:bookmarkStart w:id="941" w:name="Tc_9NI0BPpoy0eKnq810isEPg_4_11"/>
      <w:bookmarkStart w:id="942" w:name="Tc_vtwAu67IhEOyxMFiG3d7FA_4_8"/>
      <w:bookmarkStart w:id="943" w:name="Tc_ppU4_XVDvkutpe2beGJxEg_4_6"/>
      <w:bookmarkStart w:id="944" w:name="Tc_G-171Rxe5Ui6Ur--qW7Vyw_4_5"/>
      <w:bookmarkStart w:id="945" w:name="Tc_5GGkcMb47kGPZeyOs_4hMg_4_2"/>
      <w:bookmarkStart w:id="946" w:name="Tc_pD1t1UsAlkeJ8ItHnZS3rg_4_0"/>
      <w:bookmarkStart w:id="947" w:name="Tc_YO0PrTLdEkiqRgGsZWwR9w_3_3"/>
      <w:bookmarkStart w:id="948" w:name="Tc_IeWjvQfluU6olol-dmxvqw_2_11"/>
      <w:bookmarkStart w:id="949" w:name="Tc_GYzIFwm8BUmTlSeuUV2auA_2_8"/>
      <w:bookmarkStart w:id="950" w:name="Tc_P8GxXl4tN0KDxciOkh2baw_2_5"/>
      <w:bookmarkStart w:id="951" w:name="Tc_TIwXJGdOjkurRi03W7sVNQ_2_2"/>
      <w:bookmarkStart w:id="952" w:name="Tc_wb3wjoAObUC4VeK-j1Km4w_1_8"/>
      <w:bookmarkStart w:id="953" w:name="Tc_bu-aN7e9dUChfXiH410Cxg_1_2"/>
      <w:bookmarkStart w:id="954" w:name="_9b0b04cd_3a9f_4386_90b4_720fc71ed034"/>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Pr/>
        <w:t>​</w:t>
      </w:r>
    </w:p>
    <w:tbl>
      <w:tblPr>
        <w:tblW w:w="10205" w:type="dxa"/>
        <w:jc w:val="left"/>
        <w:tblInd w:w="0" w:type="dxa"/>
        <w:tblLayout w:type="fixed"/>
        <w:tblCellMar>
          <w:top w:w="0" w:type="dxa"/>
          <w:left w:w="0" w:type="dxa"/>
          <w:bottom w:w="0" w:type="dxa"/>
          <w:right w:w="0" w:type="dxa"/>
        </w:tblCellMar>
      </w:tblPr>
      <w:tblGrid>
        <w:gridCol w:w="1880"/>
        <w:gridCol w:w="326"/>
        <w:gridCol w:w="691"/>
        <w:gridCol w:w="1035"/>
        <w:gridCol w:w="341"/>
        <w:gridCol w:w="653"/>
        <w:gridCol w:w="1073"/>
        <w:gridCol w:w="326"/>
        <w:gridCol w:w="653"/>
        <w:gridCol w:w="1073"/>
        <w:gridCol w:w="381"/>
        <w:gridCol w:w="709"/>
        <w:gridCol w:w="1064"/>
      </w:tblGrid>
      <w:tr>
        <w:trPr/>
        <w:tc>
          <w:tcPr>
            <w:tcW w:w="1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193800" cy="175260"/>
                      <wp:effectExtent l="0" t="0" r="0" b="0"/>
                      <wp:wrapNone/>
                      <wp:docPr id="303" name="Frame303"/>
                      <a:graphic xmlns:a="http://schemas.openxmlformats.org/drawingml/2006/main">
                        <a:graphicData uri="http://schemas.microsoft.com/office/word/2010/wordprocessingShape">
                          <wps:wsp>
                            <wps:cNvSpPr txBox="1"/>
                            <wps:spPr>
                              <a:xfrm>
                                <a:off x="0" y="0"/>
                                <a:ext cx="1193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38785" cy="175260"/>
                      <wp:effectExtent l="0" t="0" r="0" b="0"/>
                      <wp:wrapNone/>
                      <wp:docPr id="305" name="Frame3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57225" cy="175260"/>
                      <wp:effectExtent l="0" t="0" r="0" b="0"/>
                      <wp:wrapNone/>
                      <wp:docPr id="306" name="Frame306"/>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6535" cy="175260"/>
                      <wp:effectExtent l="0" t="0" r="0" b="0"/>
                      <wp:wrapNone/>
                      <wp:docPr id="307" name="Frame307"/>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14655" cy="175260"/>
                      <wp:effectExtent l="0" t="0" r="0" b="0"/>
                      <wp:wrapNone/>
                      <wp:docPr id="308" name="Frame308"/>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81355" cy="175260"/>
                      <wp:effectExtent l="0" t="0" r="0" b="0"/>
                      <wp:wrapNone/>
                      <wp:docPr id="309" name="Frame309"/>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14655" cy="175260"/>
                      <wp:effectExtent l="0" t="0" r="0" b="0"/>
                      <wp:wrapNone/>
                      <wp:docPr id="311" name="Frame311"/>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81355" cy="175260"/>
                      <wp:effectExtent l="0" t="0" r="0" b="0"/>
                      <wp:wrapNone/>
                      <wp:docPr id="312" name="Frame312"/>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41935" cy="175260"/>
                      <wp:effectExtent l="0" t="0" r="0" b="0"/>
                      <wp:wrapNone/>
                      <wp:docPr id="313" name="Frame313"/>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50215" cy="175260"/>
                      <wp:effectExtent l="0" t="0" r="0" b="0"/>
                      <wp:wrapNone/>
                      <wp:docPr id="314" name="Frame314"/>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75640" cy="175260"/>
                      <wp:effectExtent l="0" t="0" r="0" b="0"/>
                      <wp:wrapNone/>
                      <wp:docPr id="315" name="Frame315"/>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0"/>
              <w:ind w:left="0" w:right="0" w:hanging="0"/>
              <w:jc w:val="center"/>
              <w:rPr/>
            </w:pPr>
            <w:r>
              <w:rPr/>
              <w:t>​</w:t>
            </w:r>
          </w:p>
        </w:tc>
        <w:tc>
          <w:tcPr>
            <w:tcW w:w="3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41"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81" w:type="dxa"/>
            <w:tcBorders/>
            <w:vAlign w:val="center"/>
          </w:tcPr>
          <w:p>
            <w:pPr>
              <w:pStyle w:val="TableContents"/>
              <w:bidi w:val="0"/>
              <w:spacing w:before="0" w:after="0"/>
              <w:ind w:left="0" w:right="0" w:hanging="0"/>
              <w:jc w:val="left"/>
              <w:rPr/>
            </w:pPr>
            <w:r>
              <w:rPr/>
              <w:t>    </w:t>
            </w:r>
          </w:p>
        </w:tc>
        <w:tc>
          <w:tcPr>
            <w:tcW w:w="17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7308"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1"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88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1" w:type="dxa"/>
            <w:tcBorders/>
            <w:vAlign w:val="center"/>
          </w:tcPr>
          <w:p>
            <w:pPr>
              <w:pStyle w:val="TableContents"/>
              <w:bidi w:val="0"/>
              <w:spacing w:before="0" w:after="0"/>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1" w:type="dxa"/>
            <w:tcBorders/>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8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1" w:type="dxa"/>
            <w:tcBorders/>
            <w:shd w:fill="CCEEFF" w:val="clear"/>
            <w:vAlign w:val="center"/>
          </w:tcPr>
          <w:p>
            <w:pPr>
              <w:pStyle w:val="TableContents"/>
              <w:bidi w:val="0"/>
              <w:spacing w:before="0" w:after="0"/>
              <w:ind w:left="0" w:right="0" w:hanging="0"/>
              <w:jc w:val="left"/>
              <w:rPr/>
            </w:pPr>
            <w:r>
              <w:rPr/>
              <w:t>​</w:t>
            </w:r>
          </w:p>
        </w:tc>
        <w:tc>
          <w:tcPr>
            <w:tcW w:w="6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w:t>
            </w:r>
          </w:p>
        </w:tc>
      </w:tr>
    </w:tbl>
    <w:tbl>
      <w:tblPr>
        <w:tblW w:w="10205" w:type="dxa"/>
        <w:jc w:val="left"/>
        <w:tblInd w:w="0" w:type="dxa"/>
        <w:tblLayout w:type="fixed"/>
        <w:tblCellMar>
          <w:top w:w="28" w:type="dxa"/>
          <w:left w:w="28" w:type="dxa"/>
          <w:bottom w:w="28" w:type="dxa"/>
          <w:right w:w="28"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9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derivatives primarily related to initial margin requirements of $13</w:t>
            </w:r>
            <w:r>
              <w:rPr>
                <w:caps w:val="false"/>
                <w:smallCaps w:val="false"/>
              </w:rPr>
              <w:t xml:space="preserve"> </w:t>
            </w:r>
            <w:r>
              <w:rPr>
                <w:rFonts w:ascii="Times New Roman;Times;serif" w:hAnsi="Times New Roman;Times;serif"/>
                <w:b w:val="false"/>
                <w:i w:val="false"/>
                <w:caps w:val="false"/>
                <w:smallCaps w:val="false"/>
                <w:sz w:val="16"/>
              </w:rPr>
              <w:t>million and $7</w:t>
            </w:r>
            <w:r>
              <w:rPr>
                <w:caps w:val="false"/>
                <w:smallCaps w:val="false"/>
              </w:rPr>
              <w:t xml:space="preserve"> </w:t>
            </w:r>
            <w:r>
              <w:rPr>
                <w:rFonts w:ascii="Times New Roman;Times;serif" w:hAnsi="Times New Roman;Times;serif"/>
                <w:b w:val="false"/>
                <w:i w:val="false"/>
                <w:caps w:val="false"/>
                <w:smallCaps w:val="false"/>
                <w:sz w:val="16"/>
              </w:rPr>
              <w:t>million at December 31, 2023 and 2022, respectively, which was not offset against derivatives liabilities, net in the consolidated balance sheets.</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There were no derivative liabilities in our Energy segments’ derivative instruments with credit-risk-related contingent features as of December 31, 2023 and 2022, and no collateral has been posted.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Gains and (losses) recognized on derivatives for our Energy segment were $5 million, $(55) million and $(44) million for the years ended December 31, 2023, 2022 and 2021, respectively. Gains and (losses) recognized on derivatives for our Energy segment are included in cost of goods sold on the consolidated statements of operations.</w:t>
      </w:r>
    </w:p>
    <w:p>
      <w:pPr>
        <w:pStyle w:val="TextBody"/>
        <w:bidi w:val="0"/>
        <w:spacing w:before="0" w:after="240"/>
        <w:ind w:left="0" w:right="0" w:hanging="0"/>
        <w:jc w:val="left"/>
        <w:rPr>
          <w:rFonts w:ascii="Times New Roman;Times;serif" w:hAnsi="Times New Roman;Times;serif"/>
          <w:b/>
          <w:sz w:val="20"/>
        </w:rPr>
      </w:pPr>
      <w:bookmarkStart w:id="955" w:name="_32fc0619_d4b7_4b3e_b4d5_70549345316b"/>
      <w:bookmarkEnd w:id="955"/>
      <w:r>
        <w:rPr>
          <w:rFonts w:ascii="Times New Roman;Times;serif" w:hAnsi="Times New Roman;Times;serif"/>
          <w:b/>
          <w:sz w:val="20"/>
        </w:rPr>
        <w:t>8. Related Party Notes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Related party notes receivable and its related allowance for expected credit losses consists of the following:</w:t>
      </w:r>
    </w:p>
    <w:p>
      <w:pPr>
        <w:pStyle w:val="TextBody"/>
        <w:bidi w:val="0"/>
        <w:spacing w:before="0" w:after="0"/>
        <w:ind w:left="0" w:right="0" w:hanging="0"/>
        <w:jc w:val="left"/>
        <w:rPr/>
      </w:pPr>
      <w:bookmarkStart w:id="956" w:name="Tc_hg-nvQNFWUGx23_vaRCVcg_11_2"/>
      <w:bookmarkStart w:id="957" w:name="Tc_KaomRF1Th0CTEq2fDgyULw_11_0"/>
      <w:bookmarkStart w:id="958" w:name="Tc_rfUbzLX5qUSnypDoo_1fWw_10_0"/>
      <w:bookmarkStart w:id="959" w:name="Tc_DbpO1-JKV0uP2Ut7zwSRmg_9_0"/>
      <w:bookmarkStart w:id="960" w:name="Tc_QT_eE5qec0S_OVYHgx-0XQ_8_3"/>
      <w:bookmarkStart w:id="961" w:name="Tc_n4K8eESk4UmT9oxeZ_f44w_8_2"/>
      <w:bookmarkStart w:id="962" w:name="Tc_yr8WLWcf4ku1QtbSI6ZF4w_8_0"/>
      <w:bookmarkStart w:id="963" w:name="Tc_4fr-u1LIj0ybj2bmdz0Wdw_7_0"/>
      <w:bookmarkStart w:id="964" w:name="Tc_vs2GSoGRTUK8q8mxuCmxUQ_5_2"/>
      <w:bookmarkStart w:id="965" w:name="Tc_ccG38Mfn20ijg4TdOGggag_5_0"/>
      <w:bookmarkStart w:id="966" w:name="Tc_FuS1fPZdtUelAm7nuwdGxA_4_0"/>
      <w:bookmarkStart w:id="967" w:name="Tc_Y1HLDaQOVkK6gF1-kWwn7g_3_2"/>
      <w:bookmarkStart w:id="968" w:name="Tc_yCAf0Re6fkKglwAuyXGCLg_3_0"/>
      <w:bookmarkStart w:id="969" w:name="Tc_20VUXPSUyE6wafoQqV3iUA_1_2"/>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t>​</w:t>
      </w:r>
    </w:p>
    <w:tbl>
      <w:tblPr>
        <w:tblW w:w="5420" w:type="dxa"/>
        <w:jc w:val="left"/>
        <w:tblInd w:w="0" w:type="dxa"/>
        <w:tblLayout w:type="fixed"/>
        <w:tblCellMar>
          <w:top w:w="0" w:type="dxa"/>
          <w:left w:w="0" w:type="dxa"/>
          <w:bottom w:w="0" w:type="dxa"/>
          <w:right w:w="0" w:type="dxa"/>
        </w:tblCellMar>
      </w:tblPr>
      <w:tblGrid>
        <w:gridCol w:w="3541"/>
        <w:gridCol w:w="109"/>
        <w:gridCol w:w="507"/>
        <w:gridCol w:w="1263"/>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248535" cy="175260"/>
                      <wp:effectExtent l="0" t="0" r="0" b="0"/>
                      <wp:wrapNone/>
                      <wp:docPr id="316" name="Frame316"/>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21945" cy="175260"/>
                      <wp:effectExtent l="0" t="0" r="0" b="0"/>
                      <wp:wrapNone/>
                      <wp:docPr id="318" name="Frame318"/>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02005" cy="175260"/>
                      <wp:effectExtent l="0" t="0" r="0" b="0"/>
                      <wp:wrapNone/>
                      <wp:docPr id="319" name="Frame319"/>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07" w:type="dxa"/>
            <w:tcBorders/>
            <w:vAlign w:val="center"/>
          </w:tcPr>
          <w:p>
            <w:pPr>
              <w:pStyle w:val="TableContents"/>
              <w:bidi w:val="0"/>
              <w:spacing w:before="0" w:after="1"/>
              <w:ind w:left="0" w:right="0" w:hanging="0"/>
              <w:jc w:val="center"/>
              <w:rPr/>
            </w:pPr>
            <w:r>
              <w:rPr/>
              <w:t>​</w:t>
            </w:r>
          </w:p>
        </w:tc>
        <w:tc>
          <w:tcPr>
            <w:tcW w:w="1263" w:type="dxa"/>
            <w:tcBorders/>
            <w:vAlign w:val="center"/>
          </w:tcPr>
          <w:p>
            <w:pPr>
              <w:pStyle w:val="TableContents"/>
              <w:bidi w:val="0"/>
              <w:spacing w:before="0" w:after="1"/>
              <w:ind w:left="0" w:right="0" w:hanging="0"/>
              <w:jc w:val="center"/>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Related party notes receivable, gross </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109" w:type="dxa"/>
            <w:tcBorders/>
            <w:vAlign w:val="center"/>
          </w:tcPr>
          <w:p>
            <w:pPr>
              <w:pStyle w:val="TableContents"/>
              <w:bidi w:val="0"/>
              <w:spacing w:before="0" w:after="1"/>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1263" w:type="dxa"/>
            <w:tcBorders/>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pPr>
            <w:r>
              <w:rPr/>
              <w:t>​</w:t>
            </w:r>
          </w:p>
        </w:tc>
        <w:tc>
          <w:tcPr>
            <w:tcW w:w="1263" w:type="dxa"/>
            <w:tcBorders/>
            <w:shd w:fill="CCEEFF" w:val="cle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loss 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pPr>
            <w:r>
              <w:rPr/>
              <w:t>​</w:t>
            </w:r>
          </w:p>
        </w:tc>
        <w:tc>
          <w:tcPr>
            <w:tcW w:w="12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vAlign w:val="center"/>
          </w:tcPr>
          <w:p>
            <w:pPr>
              <w:pStyle w:val="TableContents"/>
              <w:bidi w:val="0"/>
              <w:spacing w:before="0" w:after="1"/>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5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Write-offs associated with related party notes receivable were $127 million for the year ended December 31, 2023. See Note 8, “Related Party Notes Receivable, Net” for additional information related to the fair value of the related party notes receivable. </w:t>
      </w:r>
    </w:p>
    <w:p>
      <w:pPr>
        <w:pStyle w:val="TextBody"/>
        <w:bidi w:val="0"/>
        <w:spacing w:before="0" w:after="240"/>
        <w:ind w:left="0" w:right="0" w:hanging="0"/>
        <w:jc w:val="left"/>
        <w:rPr>
          <w:rFonts w:ascii="Times New Roman;Times;serif" w:hAnsi="Times New Roman;Times;serif"/>
          <w:b/>
          <w:sz w:val="20"/>
        </w:rPr>
      </w:pPr>
      <w:bookmarkStart w:id="970" w:name="Tc_HkaiFSCYsEWi9BOUvm9iHw_7_5"/>
      <w:bookmarkStart w:id="971" w:name="Tc_3LbtfYPooEWMgMc7TfVLPA_7_2"/>
      <w:bookmarkStart w:id="972" w:name="Tc_n-J_aFdqLEGJrN3Tqv9VMg_6_0"/>
      <w:bookmarkStart w:id="973" w:name="Tc_PdWcT3prYkm85hN7QZ1jmA_5_0"/>
      <w:bookmarkStart w:id="974" w:name="Tc_BFsjTj-BIEOi9MMpeurwYg_4_5"/>
      <w:bookmarkStart w:id="975" w:name="Tc_1vwoV0yt00y7SrZl_I1lHw_4_2"/>
      <w:bookmarkStart w:id="976" w:name="Tc_Dv8vbGgje0qQ8hIgAMkuBA_4_0"/>
      <w:bookmarkStart w:id="977" w:name="Tc_PdYWm9Elp0CaZ2GjvGvsPA_3_2"/>
      <w:bookmarkStart w:id="978" w:name="Tc_k0U4P9HINUSh2DldjCdUGQ_2_5"/>
      <w:bookmarkStart w:id="979" w:name="Tc_0awDvJ-pqU-rARSZinOqgQ_2_2"/>
      <w:bookmarkStart w:id="980" w:name="Tc_JcvAMdpoqUqQVf8bM0Tmhw_1_2"/>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sz w:val="20"/>
        </w:rPr>
        <w:t>9.  Inventories,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0"/>
        <w:ind w:left="0" w:right="0" w:hanging="0"/>
        <w:jc w:val="left"/>
        <w:rPr/>
      </w:pPr>
      <w:r>
        <w:rPr/>
        <w:t>​</w:t>
      </w:r>
    </w:p>
    <w:tbl>
      <w:tblPr>
        <w:tblW w:w="3747" w:type="dxa"/>
        <w:jc w:val="left"/>
        <w:tblInd w:w="0" w:type="dxa"/>
        <w:tblLayout w:type="fixed"/>
        <w:tblCellMar>
          <w:top w:w="0" w:type="dxa"/>
          <w:left w:w="0" w:type="dxa"/>
          <w:bottom w:w="0" w:type="dxa"/>
          <w:right w:w="0" w:type="dxa"/>
        </w:tblCellMar>
      </w:tblPr>
      <w:tblGrid>
        <w:gridCol w:w="1426"/>
        <w:gridCol w:w="326"/>
        <w:gridCol w:w="211"/>
        <w:gridCol w:w="571"/>
        <w:gridCol w:w="326"/>
        <w:gridCol w:w="211"/>
        <w:gridCol w:w="67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05510" cy="175260"/>
                      <wp:effectExtent l="0" t="0" r="0" b="0"/>
                      <wp:wrapNone/>
                      <wp:docPr id="320" name="Frame32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62585" cy="175260"/>
                      <wp:effectExtent l="0" t="0" r="0" b="0"/>
                      <wp:wrapNone/>
                      <wp:docPr id="323" name="Frame3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9260" cy="175260"/>
                      <wp:effectExtent l="0" t="0" r="0" b="0"/>
                      <wp:wrapNone/>
                      <wp:docPr id="326"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7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Due to the deconsolidation of Auto Plus, inventories decreased $440 million from December 31, 2022.</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981" w:name="Tc_UJdBjrLfLkaeum3XGEcxdA_12_8"/>
      <w:bookmarkStart w:id="982" w:name="Tc_3bwo0AgNpU6CF-0JGjHhgg_12_5"/>
      <w:bookmarkStart w:id="983" w:name="Tc_ygQn7bea-UiKYilK8WIdLA_12_0"/>
      <w:bookmarkStart w:id="984" w:name="Tc_JNJ58ZYcj0unHMPWUoxjvQ_11_0"/>
      <w:bookmarkStart w:id="985" w:name="Tc_ohHsbJXW1U6VjmrteJlEig_9_0"/>
      <w:bookmarkStart w:id="986" w:name="Tc_lZkAZDdd6E2ovnZKHf3n6g_8_3"/>
      <w:bookmarkStart w:id="987" w:name="Tc_uITBKP43z0OTGahTthI0Pw_8_0"/>
      <w:bookmarkStart w:id="988" w:name="Tc_mV2jcIuxZkWwD3EPC2KEig_7_3"/>
      <w:bookmarkStart w:id="989" w:name="Tc_XSdXBCS7jUW_jclrPmhXmA_7_0"/>
      <w:bookmarkStart w:id="990" w:name="Tc_PSYdSVs4Ok6gt9byAYRfsQ_6_3"/>
      <w:bookmarkStart w:id="991" w:name="Tc_I_7gVJdDfEeGbta6C2e85w_6_0"/>
      <w:bookmarkStart w:id="992" w:name="Tc_x-mKK39Svkuc4yOqypHv4A_5_3"/>
      <w:bookmarkStart w:id="993" w:name="Tc_0lLU2Nl_hkugfvFkD3jduA_5_0"/>
      <w:bookmarkStart w:id="994" w:name="Tc_7y5wJ_O5T0-bkBEq22lGeA_4_8"/>
      <w:bookmarkStart w:id="995" w:name="Tc_1extEPkrFE6NLnDJV0ylkg_4_5"/>
      <w:bookmarkStart w:id="996" w:name="Tc_CQky5AabbEShJBwTJwlAWA_4_0"/>
      <w:bookmarkStart w:id="997" w:name="Tc_eDW_3dOBOEKsyRROI1d7gg_3_6"/>
      <w:bookmarkStart w:id="998" w:name="Tc_F7z2w3zYLEq0_LR5PxJzVg_3_2"/>
      <w:bookmarkStart w:id="999" w:name="Tc_CE4bBY8ELk6uAA-x00nI8Q_2_8"/>
      <w:bookmarkStart w:id="1000" w:name="Tc_az0n7XbfPkemcFd1LG7MEw_2_5"/>
      <w:bookmarkStart w:id="1001" w:name="Tc_ZilILKsFlkukEZj6LkT_Zw_2_2"/>
      <w:bookmarkStart w:id="1002" w:name="Tc_kgCMAolwukSS279C5e1dCg_1_5"/>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r>
        <w:rPr>
          <w:rFonts w:ascii="Times New Roman;Times;serif" w:hAnsi="Times New Roman;Times;serif"/>
          <w:b/>
          <w:sz w:val="20"/>
        </w:rPr>
        <w:t>10.  Property, Plant and Equipment,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Property, plant and equipment, net consists of the following:</w:t>
      </w:r>
    </w:p>
    <w:p>
      <w:pPr>
        <w:pStyle w:val="TextBody"/>
        <w:bidi w:val="0"/>
        <w:spacing w:before="0" w:after="0"/>
        <w:ind w:left="0" w:right="0" w:hanging="0"/>
        <w:jc w:val="left"/>
        <w:rPr/>
      </w:pPr>
      <w:r>
        <w:rPr/>
        <w:t>​</w:t>
      </w:r>
    </w:p>
    <w:tbl>
      <w:tblPr>
        <w:tblW w:w="8003" w:type="dxa"/>
        <w:jc w:val="left"/>
        <w:tblInd w:w="0" w:type="dxa"/>
        <w:tblLayout w:type="fixed"/>
        <w:tblCellMar>
          <w:top w:w="0" w:type="dxa"/>
          <w:left w:w="0" w:type="dxa"/>
          <w:bottom w:w="0" w:type="dxa"/>
          <w:right w:w="0" w:type="dxa"/>
        </w:tblCellMar>
      </w:tblPr>
      <w:tblGrid>
        <w:gridCol w:w="4156"/>
        <w:gridCol w:w="326"/>
        <w:gridCol w:w="184"/>
        <w:gridCol w:w="836"/>
        <w:gridCol w:w="326"/>
        <w:gridCol w:w="211"/>
        <w:gridCol w:w="691"/>
        <w:gridCol w:w="326"/>
        <w:gridCol w:w="211"/>
        <w:gridCol w:w="7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639060" cy="175260"/>
                      <wp:effectExtent l="0" t="0" r="0" b="0"/>
                      <wp:wrapNone/>
                      <wp:docPr id="327" name="Frame327"/>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16840" cy="175260"/>
                      <wp:effectExtent l="0" t="0" r="0" b="0"/>
                      <wp:wrapNone/>
                      <wp:docPr id="329" name="Frame329"/>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30860" cy="175260"/>
                      <wp:effectExtent l="0" t="0" r="0" b="0"/>
                      <wp:wrapNone/>
                      <wp:docPr id="330" name="Frame33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38785" cy="175260"/>
                      <wp:effectExtent l="0" t="0" r="0" b="0"/>
                      <wp:wrapNone/>
                      <wp:docPr id="333" name="Frame3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67360" cy="175260"/>
                      <wp:effectExtent l="0" t="0" r="0" b="0"/>
                      <wp:wrapNone/>
                      <wp:docPr id="336" name="Frame33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4"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Useful Life</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00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years)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964"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 xml:space="preserve"> – </w:t>
            </w: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equipment and furniture</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 xml:space="preserve"> – </w:t>
            </w: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6,034</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leased to others</w: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 xml:space="preserve"> – </w:t>
            </w: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4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(3,928)</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4,038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expense related to property, plant and equipment for the years ended December 31, 2023, 2022 and 2021 was $384 million, $384 million and $383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1003" w:name="Tc_bS5YZkDgj0Go1O5rj6xxMA_13_17"/>
      <w:bookmarkStart w:id="1004" w:name="Tc_YiMGiGC2jEyHNiNFw3V-vA_13_8"/>
      <w:bookmarkStart w:id="1005" w:name="Tc_BnWduci4zUiDlPNpm8rntw_13_0"/>
      <w:bookmarkStart w:id="1006" w:name="Tc_6Ejure_dhkigl7E-b8Q_BQ_12_17"/>
      <w:bookmarkStart w:id="1007" w:name="Tc_Nd3cNzK0vkGzxnM8qmX7Hg_12_8"/>
      <w:bookmarkStart w:id="1008" w:name="Tc_kzjkhzSJdESH8SJSmGRy1g_12_0"/>
      <w:bookmarkStart w:id="1009" w:name="Tc_Ka9gxcUGa02FNGQkdIe4Cw_10_17"/>
      <w:bookmarkStart w:id="1010" w:name="Tc_7zOTFbbQqEaklc20y_SHgA_10_14"/>
      <w:bookmarkStart w:id="1011" w:name="Tc_xnUJZgZle0izFL1Isg-RNw_10_11"/>
      <w:bookmarkStart w:id="1012" w:name="Tc_miEEj4txgEqEIiUBNiyZtQ_10_8"/>
      <w:bookmarkStart w:id="1013" w:name="Tc_BqVoToSKVE2RKKnJgszlcA_10_5"/>
      <w:bookmarkStart w:id="1014" w:name="Tc_1-ikxO7AEUudXFA-tzmHBg_10_2"/>
      <w:bookmarkStart w:id="1015" w:name="Tc_oHMA1IUtRkOku8l2jJ57Vw_9_0"/>
      <w:bookmarkStart w:id="1016" w:name="Tc_bxd6MLljnE2BGFNRL4qblw_8_0"/>
      <w:bookmarkStart w:id="1017" w:name="Tc_L3I2Vu8_AUWinqmxkpOl8w_7_17"/>
      <w:bookmarkStart w:id="1018" w:name="Tc_VUbH9K_qsEiyzzdBj64WMw_7_14"/>
      <w:bookmarkStart w:id="1019" w:name="Tc_-JvffVUFkUi1Z07brAcoVQ_7_11"/>
      <w:bookmarkStart w:id="1020" w:name="Tc_kwPzzJG6CUK0C1IYX7MXiA_7_8"/>
      <w:bookmarkStart w:id="1021" w:name="Tc_CnNzVwgoj0SnZYBTuQo0HA_7_5"/>
      <w:bookmarkStart w:id="1022" w:name="Tc_voftACg6g02ScsJaoZnZRw_7_2"/>
      <w:bookmarkStart w:id="1023" w:name="Tc_4lfck83skEaw29bmhAM9EA_7_0"/>
      <w:bookmarkStart w:id="1024" w:name="Tc_Xw84GfWQS0erSyeNdoKhIA_6_0"/>
      <w:bookmarkStart w:id="1025" w:name="Tc_e1VH2Z371UGGXqfJ_dny1Q_5_2"/>
      <w:bookmarkStart w:id="1026" w:name="Tc_hKJIjcCYW0u5hBCnbUD22w_4_17"/>
      <w:bookmarkStart w:id="1027" w:name="Tc_1hykpfcOekG-uyVB3QilBQ_4_14"/>
      <w:bookmarkStart w:id="1028" w:name="Tc_o-t4IX1w3kyGy2t-wWC0DQ_4_11"/>
      <w:bookmarkStart w:id="1029" w:name="Tc_lcdw-YAa2kaAcXeTqfdPZw_4_8"/>
      <w:bookmarkStart w:id="1030" w:name="Tc_JuQ-0PLqTkWhNGbtKjcBtg_4_5"/>
      <w:bookmarkStart w:id="1031" w:name="Tc_ZHLCWdkRt0qf0_1WFxZUEA_4_2"/>
      <w:bookmarkStart w:id="1032" w:name="Tc_HbQEQ8vKOEiCBwwTb6eVPQ_3_17"/>
      <w:bookmarkStart w:id="1033" w:name="Tc_4BYgIHonGUqqYLsd57PIyg_3_14"/>
      <w:bookmarkStart w:id="1034" w:name="Tc_YQ_SrTKNSkai0_UjLNTQjw_3_11"/>
      <w:bookmarkStart w:id="1035" w:name="Tc_jJepiz5Mj06gsNbmDwffJw_3_8"/>
      <w:bookmarkStart w:id="1036" w:name="Tc_iErU9wLA9kiDpZ9fL4_ONg_3_5"/>
      <w:bookmarkStart w:id="1037" w:name="Tc_hcEkHinVe0W-pZ5PhqgF2A_3_2"/>
      <w:bookmarkStart w:id="1038" w:name="Tc_QJHkW6JUk0yrzs7aNJa3Cw_2_17"/>
      <w:bookmarkStart w:id="1039" w:name="Tc_PSfxpW1p2EGw1ehC1Wr-bA_2_11"/>
      <w:bookmarkStart w:id="1040" w:name="Tc_oi-eNiZtN0eAuxPtMYCOow_2_8"/>
      <w:bookmarkStart w:id="1041" w:name="Tc_3SyLvWgNB0KXMNBCe9uHEw_2_2"/>
      <w:bookmarkStart w:id="1042" w:name="Tc__6J05uEbC0K44KjddBIpGw_1_11"/>
      <w:bookmarkStart w:id="1043" w:name="Tc_8PP6vdVRMUOVaLp0UZO74w_1_2"/>
      <w:bookmarkStart w:id="1044" w:name="Tc_L_0_LT-YoUyKu5RqSxieUA_12_14"/>
      <w:bookmarkStart w:id="1045" w:name="Tc_U7_7BQ19K0SJR_FAv2-5EQ_12_11"/>
      <w:bookmarkStart w:id="1046" w:name="Tc_9IzBcFo7okOVF_4rclmiOQ_12_8"/>
      <w:bookmarkStart w:id="1047" w:name="Tc_mMzcHGT15USbzxYmRA3HnQ_12_5"/>
      <w:bookmarkStart w:id="1048" w:name="Tc_6Bv3CDrElUSo8-wVBoySxA_12_2"/>
      <w:bookmarkStart w:id="1049" w:name="Tc_-yuCArwKakaDyYfJHopYYQ_12_0"/>
      <w:bookmarkStart w:id="1050" w:name="Tc_39L8lkyDAk2K8RYUzwPrkA_10_12"/>
      <w:bookmarkStart w:id="1051" w:name="Tc_NQsgwfifr0OwEmOr_HXMBg_10_6"/>
      <w:bookmarkStart w:id="1052" w:name="Tc_i6jqFAUbo0CdbIoPDgTC0g_10_0"/>
      <w:bookmarkStart w:id="1053" w:name="Tc_lgbnwWpdVUGZOvYbkm5SaQ_9_15"/>
      <w:bookmarkStart w:id="1054" w:name="Tc_x4V37B-OPE2JDR7LLwBqkw_9_12"/>
      <w:bookmarkStart w:id="1055" w:name="Tc_ziGJlyHhtUuzspNMzliutw_9_9"/>
      <w:bookmarkStart w:id="1056" w:name="Tc__xvPpk_xcUK7pLl69RStiA_9_6"/>
      <w:bookmarkStart w:id="1057" w:name="Tc_6vUtwkST6UC7v6hKyHMV3Q_9_3"/>
      <w:bookmarkStart w:id="1058" w:name="Tc_j2vlA6lIuk6n-ZZ-gvmkTA_9_0"/>
      <w:bookmarkStart w:id="1059" w:name="Tc_Pump7OIKh0ij2_3hhUyWIA_8_12"/>
      <w:bookmarkStart w:id="1060" w:name="Tc_CdHWqfgcQ0-M7bupdkG3_g_8_6"/>
      <w:bookmarkStart w:id="1061" w:name="Tc_YtI7N-hM402wKRuG-GFOow_8_0"/>
      <w:bookmarkStart w:id="1062" w:name="Tc_dNK6m8z_sEGGGhMxI47a8A_6_0"/>
      <w:bookmarkStart w:id="1063" w:name="Tc_JPyxQVPL_0ywoxUxycODzA_5_12"/>
      <w:bookmarkStart w:id="1064" w:name="Tc_A5MDDVzWj0qxGn2lsm7zXw_5_6"/>
      <w:bookmarkStart w:id="1065" w:name="Tc_TKDGqJuX5UenG76vl7FvLA_5_3"/>
      <w:bookmarkStart w:id="1066" w:name="Tc_fdeyA0GPOEmqEqxWWP_O0Q_5_0"/>
      <w:bookmarkStart w:id="1067" w:name="Tc_c1ygri6NaUeRARWm-OvpqA_4_14"/>
      <w:bookmarkStart w:id="1068" w:name="Tc_uckAP2x5QUOMAGHalnuwDw_4_11"/>
      <w:bookmarkStart w:id="1069" w:name="Tc_8_CchTOzbEq9ciJTppQnNA_4_8"/>
      <w:bookmarkStart w:id="1070" w:name="Tc_jBnpSD5eRUeJmPv2VJVYSA_4_5"/>
      <w:bookmarkStart w:id="1071" w:name="Tc_6nY9Mg3d1E6oYiW1xswpxw_4_2"/>
      <w:bookmarkStart w:id="1072" w:name="Tc_olHZW1FbD0egG_FS2ZYKcQ_4_0"/>
      <w:bookmarkStart w:id="1073" w:name="Tc_VQTSK60nA0GZVO1xdfvXOQ_3_2"/>
      <w:bookmarkStart w:id="1074" w:name="Tc__UuIWP79ZE6Nd-6G3SS1-A_2_14"/>
      <w:bookmarkStart w:id="1075" w:name="Tc_TxhF2khGwk6ekXxo1ldMFQ_2_11"/>
      <w:bookmarkStart w:id="1076" w:name="Tc_r30xB26VdESglisjc5TENg_2_8"/>
      <w:bookmarkStart w:id="1077" w:name="Tc_2KEnnJOMIkGC7RWn0eEGVw_2_5"/>
      <w:bookmarkStart w:id="1078" w:name="Tc_VXx1zYUBFUO9GaTX-0ET0w_2_2"/>
      <w:bookmarkStart w:id="1079" w:name="Tc_jpzJMuatqEiPpi14lUUUeQ_1_2"/>
      <w:bookmarkStart w:id="1080" w:name="_4c0a6b6e_0016_48f1_869e_6dd008b50307"/>
      <w:bookmarkStart w:id="1081" w:name="Tc_V7mNoC_ZAESx5JWLAIgxcw_12_14"/>
      <w:bookmarkStart w:id="1082" w:name="Tc_j8EDOGd_G0qzQVOWebE46w_12_11"/>
      <w:bookmarkStart w:id="1083" w:name="Tc_nzgGSoAWG02gr2-XX1DUow_12_8"/>
      <w:bookmarkStart w:id="1084" w:name="Tc_ZSaYWadKd0OAGeSN0PFaYQ_12_5"/>
      <w:bookmarkStart w:id="1085" w:name="Tc_uOuTx1mBM064OZvhCwL__w_12_2"/>
      <w:bookmarkStart w:id="1086" w:name="Tc_M5xmOYtS1kyd3fbkXEB4UA_12_0"/>
      <w:bookmarkStart w:id="1087" w:name="Tc_97MF_RWCuEKQ1btD3SsxMw_10_12"/>
      <w:bookmarkStart w:id="1088" w:name="Tc_NZyDE9p8mkixQlDetPDC6A_10_6"/>
      <w:bookmarkStart w:id="1089" w:name="Tc_axe03fKh9ESYo7EtEXsvQQ_10_0"/>
      <w:bookmarkStart w:id="1090" w:name="Tc_9fkLXGdf9ESnNWSPedhR3A_9_15"/>
      <w:bookmarkStart w:id="1091" w:name="Tc_jZCMJaj2DkmoYDa2e8yLzA_9_12"/>
      <w:bookmarkStart w:id="1092" w:name="Tc_jPKLa9sufEm7PhNogCIHnA_9_9"/>
      <w:bookmarkStart w:id="1093" w:name="Tc_TJiuX45BBUCOwyZ-ldpNVg_9_6"/>
      <w:bookmarkStart w:id="1094" w:name="Tc_S2sDmEqVGUuqJucPASLjzQ_9_3"/>
      <w:bookmarkStart w:id="1095" w:name="Tc_5lZM7j2-WECGF0OUXUL31Q_9_0"/>
      <w:bookmarkStart w:id="1096" w:name="Tc_t6j3SxtjqkSfTuvZiCksew_8_12"/>
      <w:bookmarkStart w:id="1097" w:name="Tc_etard8mEqEmhM7CFVQHwgA_8_6"/>
      <w:bookmarkStart w:id="1098" w:name="Tc_tgpX_VrOU0WbcpnsQEJwlA_8_0"/>
      <w:bookmarkStart w:id="1099" w:name="Tc_zSxUjudEAUGcfuk5YD7EoQ_6_0"/>
      <w:bookmarkStart w:id="1100" w:name="Tc_ZyH4Q7sqWUGi79Atw5WSyg_5_15"/>
      <w:bookmarkStart w:id="1101" w:name="Tc_BSBMYBZFUEa33l1UZaZmcg_5_12"/>
      <w:bookmarkStart w:id="1102" w:name="Tc_62dEAQwUiUuOcMGlq3VOsA_5_9"/>
      <w:bookmarkStart w:id="1103" w:name="Tc_dDZQsmZQy0eiOY10_8XSsA_5_6"/>
      <w:bookmarkStart w:id="1104" w:name="Tc_Xu7XETmvo0WAq29xKOojAQ_5_3"/>
      <w:bookmarkStart w:id="1105" w:name="Tc_rTCg9NK2AEuUt8bDbJXZfw_5_0"/>
      <w:bookmarkStart w:id="1106" w:name="Tc_E5G-SIubTUe0J4-3mRptRg_4_14"/>
      <w:bookmarkStart w:id="1107" w:name="Tc_44fiVn-m9Ui78h4PxyFDpA_4_11"/>
      <w:bookmarkStart w:id="1108" w:name="Tc_NOh7PLq5KEWHlrMu-pbUcQ_4_8"/>
      <w:bookmarkStart w:id="1109" w:name="Tc_DzePvFFEyEOcUW9_JTcbbg_4_5"/>
      <w:bookmarkStart w:id="1110" w:name="Tc_HqDDD-xuXUq3-pmIX4tOZA_4_2"/>
      <w:bookmarkStart w:id="1111" w:name="Tc_E06tXNdPN0O8MtBDxoa1vQ_4_0"/>
      <w:bookmarkStart w:id="1112" w:name="Tc_vygudgham0OKWzVLJ_djyA_3_2"/>
      <w:bookmarkStart w:id="1113" w:name="Tc_rUsAtNr5TkeirnwVeUsS5g_2_14"/>
      <w:bookmarkStart w:id="1114" w:name="Tc_EmM7GFaZR0uNTQ2fYENlRA_2_11"/>
      <w:bookmarkStart w:id="1115" w:name="Tc_RN5Xlyvj6U6nPcz0qeYR3A_2_8"/>
      <w:bookmarkStart w:id="1116" w:name="Tc_2G4K1v1kDkGWT4ei2kT8-A_2_5"/>
      <w:bookmarkStart w:id="1117" w:name="Tc_75Mh1tPWKkOewhPeVB5PVA_2_2"/>
      <w:bookmarkStart w:id="1118" w:name="Tc_zMi2RyLqlUm-7LZp5yIeUQ_1_2"/>
      <w:bookmarkStart w:id="1119" w:name="_fd7d43b4_08f2_4ac3_b6aa_45b6e3d44f80"/>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Times New Roman;Times;serif" w:hAnsi="Times New Roman;Times;serif"/>
          <w:b/>
          <w:sz w:val="20"/>
        </w:rPr>
        <w:t>11.  Goodwill and Intangible Assets,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92"/>
        <w:gridCol w:w="326"/>
        <w:gridCol w:w="365"/>
        <w:gridCol w:w="731"/>
        <w:gridCol w:w="326"/>
        <w:gridCol w:w="546"/>
        <w:gridCol w:w="896"/>
        <w:gridCol w:w="326"/>
        <w:gridCol w:w="485"/>
        <w:gridCol w:w="800"/>
        <w:gridCol w:w="326"/>
        <w:gridCol w:w="301"/>
        <w:gridCol w:w="495"/>
        <w:gridCol w:w="326"/>
        <w:gridCol w:w="361"/>
        <w:gridCol w:w="903"/>
      </w:tblGrid>
      <w:tr>
        <w:trPr/>
        <w:tc>
          <w:tcPr>
            <w:tcW w:w="2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709420" cy="175260"/>
                      <wp:effectExtent l="0" t="0" r="0" b="0"/>
                      <wp:wrapNone/>
                      <wp:docPr id="337" name="Frame337"/>
                      <a:graphic xmlns:a="http://schemas.openxmlformats.org/drawingml/2006/main">
                        <a:graphicData uri="http://schemas.microsoft.com/office/word/2010/wordprocessingShape">
                          <wps:wsp>
                            <wps:cNvSpPr txBox="1"/>
                            <wps:spPr>
                              <a:xfrm>
                                <a:off x="0" y="0"/>
                                <a:ext cx="170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31775" cy="175260"/>
                      <wp:effectExtent l="0" t="0" r="0" b="0"/>
                      <wp:wrapNone/>
                      <wp:docPr id="339" name="Frame33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64185" cy="175260"/>
                      <wp:effectExtent l="0" t="0" r="0" b="0"/>
                      <wp:wrapNone/>
                      <wp:docPr id="340" name="Frame34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46710" cy="175260"/>
                      <wp:effectExtent l="0" t="0" r="0" b="0"/>
                      <wp:wrapNone/>
                      <wp:docPr id="342" name="Frame342"/>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68960" cy="175260"/>
                      <wp:effectExtent l="0" t="0" r="0" b="0"/>
                      <wp:wrapNone/>
                      <wp:docPr id="343" name="Frame34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07975" cy="175260"/>
                      <wp:effectExtent l="0" t="0" r="0" b="0"/>
                      <wp:wrapNone/>
                      <wp:docPr id="345" name="Frame345"/>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08000" cy="175260"/>
                      <wp:effectExtent l="0" t="0" r="0" b="0"/>
                      <wp:wrapNone/>
                      <wp:docPr id="346" name="Frame346"/>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91135" cy="175260"/>
                      <wp:effectExtent l="0" t="0" r="0" b="0"/>
                      <wp:wrapNone/>
                      <wp:docPr id="348" name="Frame34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14325" cy="175260"/>
                      <wp:effectExtent l="0" t="0" r="0" b="0"/>
                      <wp:wrapNone/>
                      <wp:docPr id="349" name="Frame349"/>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29235" cy="175260"/>
                      <wp:effectExtent l="0" t="0" r="0" b="0"/>
                      <wp:wrapNone/>
                      <wp:docPr id="351" name="Frame3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73405" cy="175260"/>
                      <wp:effectExtent l="0" t="0" r="0" b="0"/>
                      <wp:wrapNone/>
                      <wp:docPr id="352" name="Frame35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8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Automotive</w:t>
            </w:r>
          </w:p>
        </w:tc>
        <w:tc>
          <w:tcPr>
            <w:tcW w:w="326" w:type="dxa"/>
            <w:tcBorders/>
            <w:vAlign w:val="center"/>
          </w:tcPr>
          <w:p>
            <w:pPr>
              <w:pStyle w:val="TableContents"/>
              <w:bidi w:val="0"/>
              <w:spacing w:before="0" w:after="1"/>
              <w:ind w:left="0" w:right="0" w:hanging="0"/>
              <w:jc w:val="left"/>
              <w:rPr/>
            </w:pPr>
            <w:r>
              <w:rPr/>
              <w:t>    </w:t>
            </w:r>
          </w:p>
        </w:tc>
        <w:tc>
          <w:tcPr>
            <w:tcW w:w="14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Food Packaging</w:t>
            </w:r>
          </w:p>
        </w:tc>
        <w:tc>
          <w:tcPr>
            <w:tcW w:w="326" w:type="dxa"/>
            <w:tcBorders/>
            <w:vAlign w:val="center"/>
          </w:tcPr>
          <w:p>
            <w:pPr>
              <w:pStyle w:val="TableContents"/>
              <w:bidi w:val="0"/>
              <w:spacing w:before="0" w:after="1"/>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Home Fashion</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Pharma</w:t>
            </w:r>
          </w:p>
        </w:tc>
        <w:tc>
          <w:tcPr>
            <w:tcW w:w="326" w:type="dxa"/>
            <w:tcBorders/>
            <w:vAlign w:val="center"/>
          </w:tcPr>
          <w:p>
            <w:pPr>
              <w:pStyle w:val="TableContents"/>
              <w:bidi w:val="0"/>
              <w:spacing w:before="0" w:after="1"/>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Consolidated</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87" w:type="dxa"/>
            <w:gridSpan w:val="1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Jan 1</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6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2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Dec 31</w:t>
            </w:r>
          </w:p>
        </w:tc>
        <w:tc>
          <w:tcPr>
            <w:tcW w:w="32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Jan 1</w:t>
            </w:r>
          </w:p>
        </w:tc>
        <w:tc>
          <w:tcPr>
            <w:tcW w:w="32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4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Dec 31</w:t>
            </w:r>
          </w:p>
        </w:tc>
        <w:tc>
          <w:tcPr>
            <w:tcW w:w="32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value, Dec 31</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5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288</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92"/>
        <w:gridCol w:w="326"/>
        <w:gridCol w:w="365"/>
        <w:gridCol w:w="731"/>
        <w:gridCol w:w="326"/>
        <w:gridCol w:w="546"/>
        <w:gridCol w:w="896"/>
        <w:gridCol w:w="326"/>
        <w:gridCol w:w="485"/>
        <w:gridCol w:w="800"/>
        <w:gridCol w:w="326"/>
        <w:gridCol w:w="301"/>
        <w:gridCol w:w="495"/>
        <w:gridCol w:w="326"/>
        <w:gridCol w:w="361"/>
        <w:gridCol w:w="903"/>
      </w:tblGrid>
      <w:tr>
        <w:trPr/>
        <w:tc>
          <w:tcPr>
            <w:tcW w:w="2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709420" cy="175260"/>
                      <wp:effectExtent l="0" t="0" r="0" b="0"/>
                      <wp:wrapNone/>
                      <wp:docPr id="353" name="Frame353"/>
                      <a:graphic xmlns:a="http://schemas.openxmlformats.org/drawingml/2006/main">
                        <a:graphicData uri="http://schemas.microsoft.com/office/word/2010/wordprocessingShape">
                          <wps:wsp>
                            <wps:cNvSpPr txBox="1"/>
                            <wps:spPr>
                              <a:xfrm>
                                <a:off x="0" y="0"/>
                                <a:ext cx="170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31775" cy="175260"/>
                      <wp:effectExtent l="0" t="0" r="0" b="0"/>
                      <wp:wrapNone/>
                      <wp:docPr id="355" name="Frame35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64185" cy="175260"/>
                      <wp:effectExtent l="0" t="0" r="0" b="0"/>
                      <wp:wrapNone/>
                      <wp:docPr id="356" name="Frame356"/>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46710" cy="175260"/>
                      <wp:effectExtent l="0" t="0" r="0" b="0"/>
                      <wp:wrapNone/>
                      <wp:docPr id="358" name="Frame358"/>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68960" cy="175260"/>
                      <wp:effectExtent l="0" t="0" r="0" b="0"/>
                      <wp:wrapNone/>
                      <wp:docPr id="359" name="Frame35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07975" cy="175260"/>
                      <wp:effectExtent l="0" t="0" r="0" b="0"/>
                      <wp:wrapNone/>
                      <wp:docPr id="361" name="Frame361"/>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08000" cy="175260"/>
                      <wp:effectExtent l="0" t="0" r="0" b="0"/>
                      <wp:wrapNone/>
                      <wp:docPr id="362" name="Frame362"/>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91135" cy="175260"/>
                      <wp:effectExtent l="0" t="0" r="0" b="0"/>
                      <wp:wrapNone/>
                      <wp:docPr id="364" name="Frame36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14325" cy="175260"/>
                      <wp:effectExtent l="0" t="0" r="0" b="0"/>
                      <wp:wrapNone/>
                      <wp:docPr id="365" name="Frame36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29235" cy="175260"/>
                      <wp:effectExtent l="0" t="0" r="0" b="0"/>
                      <wp:wrapNone/>
                      <wp:docPr id="367" name="Frame3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73405" cy="175260"/>
                      <wp:effectExtent l="0" t="0" r="0" b="0"/>
                      <wp:wrapNone/>
                      <wp:docPr id="368" name="Frame368"/>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8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Automotive</w:t>
            </w:r>
          </w:p>
        </w:tc>
        <w:tc>
          <w:tcPr>
            <w:tcW w:w="326" w:type="dxa"/>
            <w:tcBorders/>
            <w:vAlign w:val="center"/>
          </w:tcPr>
          <w:p>
            <w:pPr>
              <w:pStyle w:val="TableContents"/>
              <w:bidi w:val="0"/>
              <w:spacing w:before="0" w:after="1"/>
              <w:ind w:left="0" w:right="0" w:hanging="0"/>
              <w:jc w:val="left"/>
              <w:rPr/>
            </w:pPr>
            <w:r>
              <w:rPr/>
              <w:t>    </w:t>
            </w:r>
          </w:p>
        </w:tc>
        <w:tc>
          <w:tcPr>
            <w:tcW w:w="14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Food Packaging</w:t>
            </w:r>
          </w:p>
        </w:tc>
        <w:tc>
          <w:tcPr>
            <w:tcW w:w="326" w:type="dxa"/>
            <w:tcBorders/>
            <w:vAlign w:val="center"/>
          </w:tcPr>
          <w:p>
            <w:pPr>
              <w:pStyle w:val="TableContents"/>
              <w:bidi w:val="0"/>
              <w:spacing w:before="0" w:after="1"/>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Home Fashion</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Pharma</w:t>
            </w:r>
          </w:p>
        </w:tc>
        <w:tc>
          <w:tcPr>
            <w:tcW w:w="326" w:type="dxa"/>
            <w:tcBorders/>
            <w:vAlign w:val="center"/>
          </w:tcPr>
          <w:p>
            <w:pPr>
              <w:pStyle w:val="TableContents"/>
              <w:bidi w:val="0"/>
              <w:spacing w:before="0" w:after="1"/>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Consolidated</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87" w:type="dxa"/>
            <w:gridSpan w:val="1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Jan 1</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26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2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Dec 31</w:t>
            </w:r>
          </w:p>
        </w:tc>
        <w:tc>
          <w:tcPr>
            <w:tcW w:w="32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Jan 1</w:t>
            </w:r>
          </w:p>
        </w:tc>
        <w:tc>
          <w:tcPr>
            <w:tcW w:w="32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4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Dec 31</w:t>
            </w:r>
          </w:p>
        </w:tc>
        <w:tc>
          <w:tcPr>
            <w:tcW w:w="32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value, Dec 31</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5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6"/>
        <w:gridCol w:w="326"/>
        <w:gridCol w:w="306"/>
        <w:gridCol w:w="615"/>
        <w:gridCol w:w="326"/>
        <w:gridCol w:w="379"/>
        <w:gridCol w:w="867"/>
        <w:gridCol w:w="326"/>
        <w:gridCol w:w="300"/>
        <w:gridCol w:w="601"/>
        <w:gridCol w:w="326"/>
        <w:gridCol w:w="300"/>
        <w:gridCol w:w="601"/>
        <w:gridCol w:w="326"/>
        <w:gridCol w:w="379"/>
        <w:gridCol w:w="867"/>
        <w:gridCol w:w="326"/>
        <w:gridCol w:w="270"/>
        <w:gridCol w:w="67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24610" cy="175260"/>
                      <wp:effectExtent l="0" t="0" r="0" b="0"/>
                      <wp:wrapNone/>
                      <wp:docPr id="369" name="Frame369"/>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94310" cy="175260"/>
                      <wp:effectExtent l="0" t="0" r="0" b="0"/>
                      <wp:wrapNone/>
                      <wp:docPr id="371" name="Frame371"/>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90525" cy="175260"/>
                      <wp:effectExtent l="0" t="0" r="0" b="0"/>
                      <wp:wrapNone/>
                      <wp:docPr id="372" name="Frame37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40665" cy="175260"/>
                      <wp:effectExtent l="0" t="0" r="0" b="0"/>
                      <wp:wrapNone/>
                      <wp:docPr id="374" name="Frame37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50545" cy="175260"/>
                      <wp:effectExtent l="0" t="0" r="0" b="0"/>
                      <wp:wrapNone/>
                      <wp:docPr id="375" name="Frame375"/>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90500" cy="175260"/>
                      <wp:effectExtent l="0" t="0" r="0" b="0"/>
                      <wp:wrapNone/>
                      <wp:docPr id="377" name="Frame37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81635" cy="175260"/>
                      <wp:effectExtent l="0" t="0" r="0" b="0"/>
                      <wp:wrapNone/>
                      <wp:docPr id="378" name="Frame37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90500" cy="175260"/>
                      <wp:effectExtent l="0" t="0" r="0" b="0"/>
                      <wp:wrapNone/>
                      <wp:docPr id="380" name="Frame38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81635" cy="175260"/>
                      <wp:effectExtent l="0" t="0" r="0" b="0"/>
                      <wp:wrapNone/>
                      <wp:docPr id="381" name="Frame38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40665" cy="175260"/>
                      <wp:effectExtent l="0" t="0" r="0" b="0"/>
                      <wp:wrapNone/>
                      <wp:docPr id="383" name="Frame38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50545" cy="175260"/>
                      <wp:effectExtent l="0" t="0" r="0" b="0"/>
                      <wp:wrapNone/>
                      <wp:docPr id="384" name="Frame38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71450" cy="175260"/>
                      <wp:effectExtent l="0" t="0" r="0" b="0"/>
                      <wp:wrapNone/>
                      <wp:docPr id="386" name="Frame38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30530" cy="175260"/>
                      <wp:effectExtent l="0" t="0" r="0" b="0"/>
                      <wp:wrapNone/>
                      <wp:docPr id="387" name="Frame387"/>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374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1"/>
              <w:ind w:left="0" w:right="0" w:hanging="0"/>
              <w:jc w:val="left"/>
              <w:rPr/>
            </w:pPr>
            <w:r>
              <w:rPr/>
              <w:t>    </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left"/>
              <w:rPr/>
            </w:pPr>
            <w:r>
              <w:rPr/>
              <w:t>    </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4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left"/>
              <w:rPr/>
            </w:pPr>
            <w:r>
              <w:rPr/>
              <w:t>​</w:t>
            </w:r>
          </w:p>
        </w:tc>
        <w:tc>
          <w:tcPr>
            <w:tcW w:w="94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left"/>
              <w:rPr/>
            </w:pPr>
            <w:r>
              <w:rPr/>
              <w:t>​</w:t>
            </w:r>
          </w:p>
        </w:tc>
        <w:tc>
          <w:tcPr>
            <w:tcW w:w="9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93" w:type="dxa"/>
            <w:gridSpan w:val="17"/>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Definite-lived intangible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30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70"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  </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1"/>
              <w:ind w:left="0" w:right="0" w:hanging="0"/>
              <w:jc w:val="left"/>
              <w:rPr/>
            </w:pPr>
            <w:r>
              <w:rPr/>
              <w:t>    </w:t>
            </w:r>
          </w:p>
        </w:tc>
        <w:tc>
          <w:tcPr>
            <w:tcW w:w="270"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61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61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533</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1120" w:name="Tc_WnQh1kyId0OM2mrYIDpg_w_9_2"/>
      <w:bookmarkStart w:id="1121" w:name="Tc_4z14LQpUXUKOZzbc6K4qIA_8_0"/>
      <w:bookmarkStart w:id="1122" w:name="Tc_bgKyxBke3EyjdCLkDYOdMA_7_0"/>
      <w:bookmarkStart w:id="1123" w:name="Tc_xEkA5sOkjUq-IBjM92yX0g_6_0"/>
      <w:bookmarkStart w:id="1124" w:name="Tc_3-2_d04xOkGk6u01hnG4hg_5_0"/>
      <w:bookmarkStart w:id="1125" w:name="Tc_R5eFUvB6HEGsQ5YVlh4KzQ_4_0"/>
      <w:bookmarkStart w:id="1126" w:name="Tc_I6kmuQwFlk6rIHggyjZUuw_3_2"/>
      <w:bookmarkStart w:id="1127" w:name="Tc_pnx40OuM80qllHnPURMB9Q_3_0"/>
      <w:bookmarkStart w:id="1128" w:name="Tc_iyPQxQgMzU-gg-XpVQ_C2Q_2_2"/>
      <w:bookmarkStart w:id="1129" w:name="Tc_mYJML27lj0W6y49bH_J8iA_1_2"/>
      <w:bookmarkStart w:id="1130" w:name="Tc_ZtmOdy7Wqk-6JNBxvEeaDQ_1_0"/>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sz w:val="20"/>
        </w:rPr>
        <w:t xml:space="preserve">Amortization expense associated with definite-lived intangible assets for the years ended December 31, 2023, 2022 and 2021 was $58 million, $61 million and $62 million, respectively. We utilize the straight-line method of amortization, recognized over the estimated useful lives of the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future amortization expense for our definite-lived intangible assets is as follows:</w:t>
      </w:r>
    </w:p>
    <w:p>
      <w:pPr>
        <w:pStyle w:val="TextBody"/>
        <w:bidi w:val="0"/>
        <w:spacing w:before="0" w:after="0"/>
        <w:ind w:left="0" w:right="0" w:hanging="0"/>
        <w:jc w:val="left"/>
        <w:rPr/>
      </w:pPr>
      <w:r>
        <w:rPr/>
        <w:t>​</w:t>
      </w:r>
    </w:p>
    <w:tbl>
      <w:tblPr>
        <w:tblW w:w="2277" w:type="dxa"/>
        <w:jc w:val="left"/>
        <w:tblInd w:w="0" w:type="dxa"/>
        <w:tblLayout w:type="fixed"/>
        <w:tblCellMar>
          <w:top w:w="0" w:type="dxa"/>
          <w:left w:w="0" w:type="dxa"/>
          <w:bottom w:w="0" w:type="dxa"/>
          <w:right w:w="0" w:type="dxa"/>
        </w:tblCellMar>
      </w:tblPr>
      <w:tblGrid>
        <w:gridCol w:w="946"/>
        <w:gridCol w:w="326"/>
        <w:gridCol w:w="287"/>
        <w:gridCol w:w="71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00710" cy="175260"/>
                      <wp:effectExtent l="0" t="0" r="0" b="0"/>
                      <wp:wrapNone/>
                      <wp:docPr id="388" name="Frame38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82245" cy="175260"/>
                      <wp:effectExtent l="0" t="0" r="0" b="0"/>
                      <wp:wrapNone/>
                      <wp:docPr id="390" name="Frame39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55930" cy="175260"/>
                      <wp:effectExtent l="0" t="0" r="0" b="0"/>
                      <wp:wrapNone/>
                      <wp:docPr id="391" name="Frame391"/>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perform the annual goodwill impairment test for our Automotive segment as of October 1 of each year, or more frequently if impairment indicators exist.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2023, our Automotive segment performed a quantitative impairment analysis at its reporting unit and determined that the fair value was higher than the carrying value and therefore, no impairment was required.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2022, our Automotive segment considered qualitative factors to determine that goodwill at its reporting unit did not require further testing for impairment.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conjunction with our goodwill impairment test, we also performed a trademarks and brand names impairment analysis in accordance with FASB ASC 350, </w:t>
      </w:r>
      <w:r>
        <w:rPr>
          <w:rFonts w:ascii="Times New Roman;Times;serif" w:hAnsi="Times New Roman;Times;serif"/>
          <w:i/>
          <w:sz w:val="20"/>
        </w:rPr>
        <w:t>Intangibles-Goodwill and other</w:t>
      </w:r>
      <w:r>
        <w:rPr>
          <w:rFonts w:ascii="Times New Roman;Times;serif" w:hAnsi="Times New Roman;Times;serif"/>
          <w:sz w:val="20"/>
        </w:rPr>
        <w:t xml:space="preserve">, as of December 31, 2023. Our impairment analyses compare the fair values of these assets to the related carrying values, and impairment charges are recorded for any excess of carrying values over fair values. The fair values of these assets are based upon the prospective stream of hypothetical after-tax royalty cost savings discounted at rates that reflect the rates of return appropriate for these intangible assets. The inputs used to determine the fair values of tradenames and trademarks are (i) the projected revenue growth, (ii) the royalty rate, (iii) the discount rate, and (iv) the tax rate. Following this analysis, our Automotive segment recognized a $7 million impairment charge in the fourth quarter of 2023, resulting from a decrease in projected revenue growth.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1131" w:name="Tc_nGOL2ZhYtEe_WpkX4W4mQA_8_0"/>
      <w:bookmarkStart w:id="1132" w:name="Tc_XWxj9HuJWEyGgEVAjGN7Ng_5_5"/>
      <w:bookmarkStart w:id="1133" w:name="Tc_LNeXCwunb0K5aLOMAdV35g_5_2"/>
      <w:bookmarkStart w:id="1134" w:name="Tc_3KN3-xJgR0i88EqLBzni0w_4_0"/>
      <w:bookmarkStart w:id="1135" w:name="Tc_N4J3pFpkEEybAPft2tF2wA_3_2"/>
      <w:bookmarkStart w:id="1136" w:name="Tc_3GR42GvbJ0KgWOkxt_Ca0g_2_5"/>
      <w:bookmarkStart w:id="1137" w:name="Tc_7djyb43RLEK09zmLI_zpew_2_2"/>
      <w:bookmarkStart w:id="1138" w:name="Tc_vMacRqSEE0ySFecvDW6jEQ_1_2"/>
      <w:bookmarkEnd w:id="1131"/>
      <w:bookmarkEnd w:id="1132"/>
      <w:bookmarkEnd w:id="1133"/>
      <w:bookmarkEnd w:id="1134"/>
      <w:bookmarkEnd w:id="1135"/>
      <w:bookmarkEnd w:id="1136"/>
      <w:bookmarkEnd w:id="1137"/>
      <w:bookmarkEnd w:id="1138"/>
      <w:r>
        <w:rPr>
          <w:rFonts w:ascii="Times New Roman;Times;serif" w:hAnsi="Times New Roman;Times;serif"/>
          <w:b/>
          <w:sz w:val="20"/>
        </w:rPr>
        <w:t>12.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included in other assets and other liabilities, respectively, on the consolidated balance sheet for leases with an initial lease term in excess of twelve months and therefore, do not include any lease arrangements with initial lease terms of twelve months or less.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Right-of-use assets and lease liabilities are as follows:</w:t>
      </w:r>
    </w:p>
    <w:p>
      <w:pPr>
        <w:pStyle w:val="TextBody"/>
        <w:bidi w:val="0"/>
        <w:spacing w:before="0" w:after="0"/>
        <w:ind w:left="0" w:right="0" w:hanging="0"/>
        <w:jc w:val="left"/>
        <w:rPr/>
      </w:pPr>
      <w:r>
        <w:rPr/>
        <w:t>​</w:t>
      </w:r>
    </w:p>
    <w:tbl>
      <w:tblPr>
        <w:tblW w:w="6582" w:type="dxa"/>
        <w:jc w:val="left"/>
        <w:tblInd w:w="0" w:type="dxa"/>
        <w:tblLayout w:type="fixed"/>
        <w:tblCellMar>
          <w:top w:w="0" w:type="dxa"/>
          <w:left w:w="0" w:type="dxa"/>
          <w:bottom w:w="0" w:type="dxa"/>
          <w:right w:w="0" w:type="dxa"/>
        </w:tblCellMar>
      </w:tblPr>
      <w:tblGrid>
        <w:gridCol w:w="4621"/>
        <w:gridCol w:w="326"/>
        <w:gridCol w:w="211"/>
        <w:gridCol w:w="421"/>
        <w:gridCol w:w="326"/>
        <w:gridCol w:w="211"/>
        <w:gridCol w:w="466"/>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934335" cy="175260"/>
                      <wp:effectExtent l="0" t="0" r="0" b="0"/>
                      <wp:wrapNone/>
                      <wp:docPr id="392" name="Frame392"/>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67335" cy="175260"/>
                      <wp:effectExtent l="0" t="0" r="0" b="0"/>
                      <wp:wrapNone/>
                      <wp:docPr id="395" name="Frame39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95910" cy="175260"/>
                      <wp:effectExtent l="0" t="0" r="0" b="0"/>
                      <wp:wrapNone/>
                      <wp:docPr id="398" name="Frame39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58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3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center"/>
              <w:rPr/>
            </w:pPr>
            <w:r>
              <w:rPr/>
              <w:t>​</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(accrued expenses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4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(property, plant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1139" w:name="Tc_FlsQuw0wqUWBzxn6MDFfFA_12_5"/>
      <w:bookmarkStart w:id="1140" w:name="Tc_Pzt2Y8AsJkKbCWCeXG8DvQ_12_2"/>
      <w:bookmarkStart w:id="1141" w:name="Tc_gNYibV6wgk62yY-uXd0wdQ_11_0"/>
      <w:bookmarkStart w:id="1142" w:name="Tc_VUzXFz_eGE2F4yDQnws-pA_10_0"/>
      <w:bookmarkStart w:id="1143" w:name="Tc_jkc-Q49YzEa6HR3DxRcQUA_9_0"/>
      <w:bookmarkStart w:id="1144" w:name="Tc_wDIGFGvMn0ito-VGMx_nbQ_8_0"/>
      <w:bookmarkStart w:id="1145" w:name="Tc_ekRPmpMFQUWCOv8oUoS7wg_7_0"/>
      <w:bookmarkStart w:id="1146" w:name="Tc_9CJFZdUJHUG81ordF0x1AA_6_0"/>
      <w:bookmarkStart w:id="1147" w:name="Tc_T65gVaHqY0WjQK4Byo_SSw_5_0"/>
      <w:bookmarkStart w:id="1148" w:name="Tc_7tca4JplwUW4wG4uy9yxtg_4_5"/>
      <w:bookmarkStart w:id="1149" w:name="Tc_K95I_VDS0U63JgfmyvfQPQ_4_2"/>
      <w:bookmarkStart w:id="1150" w:name="Tc_DLow1GcwI0WXdtlOPngUOQ_4_0"/>
      <w:bookmarkStart w:id="1151" w:name="Tc_PhiYljLP2kiqyeyWQlGI8w_3_2"/>
      <w:bookmarkStart w:id="1152" w:name="Tc_EsDORsrt_E-hqJfndb_ngA_2_5"/>
      <w:bookmarkStart w:id="1153" w:name="Tc_avtkLD_BSUqrgoFvuKos_A_2_2"/>
      <w:bookmarkStart w:id="1154" w:name="Tc_eFI2of0d-0mHP_6ZCFOOAg_2_0"/>
      <w:bookmarkStart w:id="1155" w:name="Tc_3obL_S3DREK6DVFCxVn6vA_1_5"/>
      <w:bookmarkStart w:id="1156" w:name="Tc_ZJjHCIVH1ES2HNGPw42cZg_1_2"/>
      <w:bookmarkStart w:id="1157" w:name="Tc_aklZZO4xO06zPxvaFF1QmQ_8_5"/>
      <w:bookmarkStart w:id="1158" w:name="Tc_KqxubxPppEOZNAuLZCLrUQ_8_2"/>
      <w:bookmarkStart w:id="1159" w:name="Tc_TxHGIpD9P0uHT-ZqwhoPkA_7_0"/>
      <w:bookmarkStart w:id="1160" w:name="Tc_WLECZyvpAUqZq83F_9LoiA_6_8"/>
      <w:bookmarkStart w:id="1161" w:name="Tc_swpZOyZMsUqYFtRK6Z_Vwg_6_0"/>
      <w:bookmarkStart w:id="1162" w:name="Tc_OKJpBdFLNk24pI0pQf8j9g_5_8"/>
      <w:bookmarkStart w:id="1163" w:name="Tc_P5TkZ-kGM02UbMSUpUqXGQ_5_0"/>
      <w:bookmarkStart w:id="1164" w:name="Tc_2yiO8Z3HOEy4RTVBZu6gjw_4_8"/>
      <w:bookmarkStart w:id="1165" w:name="Tc_4dgurjX82UCEGWS3kXDFbA_4_5"/>
      <w:bookmarkStart w:id="1166" w:name="Tc_gckIeToND0C7PPGCle142g_4_2"/>
      <w:bookmarkStart w:id="1167" w:name="Tc_NBHAg8UCuEGKFhpdhnh7rw_4_0"/>
      <w:bookmarkStart w:id="1168" w:name="Tc_VPQvu3DfXU-lcm5p-TZtOg_3_2"/>
      <w:bookmarkStart w:id="1169" w:name="Tc_BmN3SU-ePUqzNbxJwsk5HA_2_10"/>
      <w:bookmarkStart w:id="1170" w:name="Tc_hq3Xy-rx60qiNe6TDz1TqA_2_8"/>
      <w:bookmarkStart w:id="1171" w:name="Tc__p2Jupc9mE-TqdjLsYerpA_2_5"/>
      <w:bookmarkStart w:id="1172" w:name="Tc_hzetfR0G6kua4gRt1qEmBw_2_2"/>
      <w:bookmarkStart w:id="1173" w:name="Tc_nCK3HM72kE-SADXn7A99Tg_2_0"/>
      <w:bookmarkStart w:id="1174" w:name="Tc_p1RejUPflkaWz8UTSAcSAg_1_10"/>
      <w:bookmarkStart w:id="1175" w:name="Tc_WnSKvOtqYEakJhF5n-Um8A_1_5"/>
      <w:bookmarkStart w:id="1176" w:name="Tc_8REzKvj6uEiBPPWFVOxbAQ_1_2"/>
      <w:bookmarkStart w:id="1177" w:name="_e6188973_1d78_4f48_b217_9d45538824e1"/>
      <w:bookmarkStart w:id="1178" w:name="Tc_DNZu-rfLY0-CjLSgxyj6VA_8_5"/>
      <w:bookmarkStart w:id="1179" w:name="Tc_nKgKXdoyB0SssC3JUkcRyw_8_2"/>
      <w:bookmarkStart w:id="1180" w:name="Tc_6rilnnCK_kagrUZb9wG-Sg_7_0"/>
      <w:bookmarkStart w:id="1181" w:name="Tc_c-63i4X46k6kWP_ArvxK5A_6_8"/>
      <w:bookmarkStart w:id="1182" w:name="Tc_NkVjsrUmaUuIfp4mbjaM3A_6_0"/>
      <w:bookmarkStart w:id="1183" w:name="Tc_PrFJsyL370G4RG6Y-QqfmQ_5_8"/>
      <w:bookmarkStart w:id="1184" w:name="Tc_Qwdky9ZbjECVP_un50_KRA_5_0"/>
      <w:bookmarkStart w:id="1185" w:name="Tc__BEF14uUVEqhRgwqlna4Fg_4_8"/>
      <w:bookmarkStart w:id="1186" w:name="Tc_ulUWptx070qprc5Fml7TDA_4_5"/>
      <w:bookmarkStart w:id="1187" w:name="Tc_7-N_EJ5ng06JC-2UiIqkqQ_4_2"/>
      <w:bookmarkStart w:id="1188" w:name="Tc_9JQwJx9K60STO8S4cqNRVQ_4_0"/>
      <w:bookmarkStart w:id="1189" w:name="Tc_oX6m5nhkskWjahehQfdTBQ_3_2"/>
      <w:bookmarkStart w:id="1190" w:name="Tc_Fwpi2EiHWkai9N_j1jdy-g_2_10"/>
      <w:bookmarkStart w:id="1191" w:name="Tc_ZUVcZwZfm0OMsV6DyrS_Sw_2_8"/>
      <w:bookmarkStart w:id="1192" w:name="Tc_92Ph0nA__k6SVAcgmTgQZw_2_5"/>
      <w:bookmarkStart w:id="1193" w:name="Tc_3P63oaBFCkWVGLB_-JwX2g_2_2"/>
      <w:bookmarkStart w:id="1194" w:name="Tc_V_7Dw22uIEKADu8tiTTYqQ_2_0"/>
      <w:bookmarkStart w:id="1195" w:name="Tc_UJWrcPrSWEamd1JNHfVDlg_1_10"/>
      <w:bookmarkStart w:id="1196" w:name="Tc_Jeqa_jnZR02cFBk-X6-Hyg_1_5"/>
      <w:bookmarkStart w:id="1197" w:name="Tc_fkOrlnjMf0i0LyoTUc0Cdg_1_2"/>
      <w:bookmarkStart w:id="1198" w:name="_ac88031b_8f37_432b_a0eb_fcdead02a1a1"/>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Pr>
          <w:rFonts w:ascii="Times New Roman;Times;serif" w:hAnsi="Times New Roman;Times;serif"/>
          <w:sz w:val="20"/>
        </w:rPr>
        <w:t>Additional information with respect to our operating leases as of December 31, 2023 and 2022 is presented below. The lease terms and discount rates for our Energy, Automotive and Food Packaging segments represent weighted averages based on their respective lease liability balances.</w:t>
      </w:r>
    </w:p>
    <w:p>
      <w:pPr>
        <w:pStyle w:val="TextBody"/>
        <w:bidi w:val="0"/>
        <w:spacing w:before="0" w:after="0"/>
        <w:ind w:left="0" w:right="0" w:hanging="0"/>
        <w:jc w:val="left"/>
        <w:rPr/>
      </w:pPr>
      <w:r>
        <w:rPr/>
        <w:t>​</w:t>
      </w:r>
    </w:p>
    <w:tbl>
      <w:tblPr>
        <w:tblW w:w="9434" w:type="dxa"/>
        <w:jc w:val="left"/>
        <w:tblInd w:w="0" w:type="dxa"/>
        <w:tblLayout w:type="fixed"/>
        <w:tblCellMar>
          <w:top w:w="0" w:type="dxa"/>
          <w:left w:w="0" w:type="dxa"/>
          <w:bottom w:w="0" w:type="dxa"/>
          <w:right w:w="0" w:type="dxa"/>
        </w:tblCellMar>
      </w:tblPr>
      <w:tblGrid>
        <w:gridCol w:w="3706"/>
        <w:gridCol w:w="326"/>
        <w:gridCol w:w="414"/>
        <w:gridCol w:w="831"/>
        <w:gridCol w:w="326"/>
        <w:gridCol w:w="325"/>
        <w:gridCol w:w="651"/>
        <w:gridCol w:w="326"/>
        <w:gridCol w:w="1126"/>
        <w:gridCol w:w="326"/>
        <w:gridCol w:w="886"/>
        <w:gridCol w:w="19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353310" cy="175260"/>
                      <wp:effectExtent l="0" t="0" r="0" b="0"/>
                      <wp:wrapNone/>
                      <wp:docPr id="399" name="Frame399"/>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62890" cy="175260"/>
                      <wp:effectExtent l="0" t="0" r="0" b="0"/>
                      <wp:wrapNone/>
                      <wp:docPr id="401" name="Frame401"/>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27685" cy="175260"/>
                      <wp:effectExtent l="0" t="0" r="0" b="0"/>
                      <wp:wrapNone/>
                      <wp:docPr id="402" name="Frame40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6375" cy="175260"/>
                      <wp:effectExtent l="0" t="0" r="0" b="0"/>
                      <wp:wrapNone/>
                      <wp:docPr id="404" name="Frame404"/>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13385" cy="175260"/>
                      <wp:effectExtent l="0" t="0" r="0" b="0"/>
                      <wp:wrapNone/>
                      <wp:docPr id="405" name="Frame405"/>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715010" cy="175260"/>
                      <wp:effectExtent l="0" t="0" r="0" b="0"/>
                      <wp:wrapNone/>
                      <wp:docPr id="407" name="Frame40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62610" cy="175260"/>
                      <wp:effectExtent l="0" t="0" r="0" b="0"/>
                      <wp:wrapNone/>
                      <wp:docPr id="409" name="Frame4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1285" cy="175260"/>
                      <wp:effectExtent l="0" t="0" r="0" b="0"/>
                      <wp:wrapNone/>
                      <wp:docPr id="410" name="Frame4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91" w:type="dxa"/>
            <w:tcBorders/>
            <w:vAlign w:val="center"/>
          </w:tcPr>
          <w:p>
            <w:pPr>
              <w:pStyle w:val="TableContents"/>
              <w:bidi w:val="0"/>
              <w:spacing w:before="0" w:after="1"/>
              <w:ind w:left="0" w:right="0" w:hanging="0"/>
              <w:jc w:val="center"/>
              <w:rPr/>
            </w:pPr>
            <w:r>
              <w:rPr/>
              <w:t> </w:t>
            </w:r>
          </w:p>
        </w:tc>
      </w:tr>
      <w:tr>
        <w:trPr/>
        <w:tc>
          <w:tcPr>
            <w:tcW w:w="37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2023</w:t>
            </w:r>
          </w:p>
        </w:tc>
        <w:tc>
          <w:tcPr>
            <w:tcW w:w="32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91" w:type="dxa"/>
            <w:tcBorders/>
            <w:vAlign w:val="center"/>
          </w:tcPr>
          <w:p>
            <w:pPr>
              <w:pStyle w:val="TableContents"/>
              <w:bidi w:val="0"/>
              <w:spacing w:before="0" w:after="1"/>
              <w:ind w:left="0" w:right="0" w:hanging="0"/>
              <w:jc w:val="center"/>
              <w:rPr/>
            </w:pPr>
            <w:r>
              <w:rPr/>
              <w:t> </w:t>
            </w:r>
          </w:p>
        </w:tc>
      </w:tr>
      <w:tr>
        <w:trPr/>
        <w:tc>
          <w:tcPr>
            <w:tcW w:w="9434"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7"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center"/>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5.4</w:t>
            </w:r>
            <w:r>
              <w:rPr>
                <w:rFonts w:ascii="Times New Roman;Times;serif" w:hAnsi="Times New Roman;Times;serif"/>
                <w:sz w:val="24"/>
              </w:rPr>
              <w:t xml:space="preserve"> </w:t>
            </w:r>
            <w:r>
              <w:rPr>
                <w:rFonts w:ascii="Times New Roman;Times;serif" w:hAnsi="Times New Roman;Times;serif"/>
                <w:sz w:val="20"/>
              </w:rPr>
              <w:t>years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w:t>
            </w:r>
          </w:p>
        </w:tc>
        <w:tc>
          <w:tcPr>
            <w:tcW w:w="191" w:type="dxa"/>
            <w:tcBorders/>
            <w:shd w:fill="CCEEFF" w:val="clear"/>
            <w:vAlign w:val="center"/>
          </w:tcPr>
          <w:p>
            <w:pPr>
              <w:pStyle w:val="TableContents"/>
              <w:bidi w:val="0"/>
              <w:spacing w:before="0" w:after="1"/>
              <w:ind w:left="0" w:right="0" w:hanging="0"/>
              <w:jc w:val="righ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5.4</w:t>
            </w:r>
            <w:r>
              <w:rPr>
                <w:rFonts w:ascii="Times New Roman;Times;serif" w:hAnsi="Times New Roman;Times;serif"/>
                <w:sz w:val="24"/>
              </w:rPr>
              <w:t xml:space="preserve"> </w:t>
            </w:r>
            <w:r>
              <w:rPr>
                <w:rFonts w:ascii="Times New Roman;Times;serif" w:hAnsi="Times New Roman;Times;serif"/>
                <w:sz w:val="20"/>
              </w:rPr>
              <w:t>years</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5.9%</w:t>
            </w:r>
          </w:p>
        </w:tc>
        <w:tc>
          <w:tcPr>
            <w:tcW w:w="191" w:type="dxa"/>
            <w:tcBorders/>
            <w:vAlign w:val="center"/>
          </w:tcPr>
          <w:p>
            <w:pPr>
              <w:pStyle w:val="TableContents"/>
              <w:bidi w:val="0"/>
              <w:spacing w:before="0" w:after="1"/>
              <w:ind w:left="0" w:right="0" w:hanging="0"/>
              <w:jc w:val="right"/>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9.1</w:t>
            </w:r>
            <w:r>
              <w:rPr>
                <w:rFonts w:ascii="Times New Roman;Times;serif" w:hAnsi="Times New Roman;Times;serif"/>
                <w:sz w:val="24"/>
              </w:rPr>
              <w:t xml:space="preserve"> </w:t>
            </w:r>
            <w:r>
              <w:rPr>
                <w:rFonts w:ascii="Times New Roman;Times;serif" w:hAnsi="Times New Roman;Times;serif"/>
                <w:sz w:val="20"/>
              </w:rPr>
              <w:t>years</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w:t>
            </w:r>
          </w:p>
        </w:tc>
        <w:tc>
          <w:tcPr>
            <w:tcW w:w="191" w:type="dxa"/>
            <w:tcBorders/>
            <w:shd w:fill="CCEEFF" w:val="clear"/>
            <w:vAlign w:val="center"/>
          </w:tcPr>
          <w:p>
            <w:pPr>
              <w:pStyle w:val="TableContents"/>
              <w:bidi w:val="0"/>
              <w:spacing w:before="0" w:after="1"/>
              <w:ind w:left="0" w:right="0" w:hanging="0"/>
              <w:jc w:val="righ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right"/>
              <w:rPr/>
            </w:pPr>
            <w:r>
              <w:rPr/>
              <w:t>​</w:t>
            </w:r>
          </w:p>
        </w:tc>
      </w:tr>
      <w:tr>
        <w:trPr/>
        <w:tc>
          <w:tcPr>
            <w:tcW w:w="37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tbl>
      <w:tblPr>
        <w:tblW w:w="9397" w:type="dxa"/>
        <w:jc w:val="left"/>
        <w:tblInd w:w="0" w:type="dxa"/>
        <w:tblLayout w:type="fixed"/>
        <w:tblCellMar>
          <w:top w:w="0" w:type="dxa"/>
          <w:left w:w="0" w:type="dxa"/>
          <w:bottom w:w="0" w:type="dxa"/>
          <w:right w:w="0" w:type="dxa"/>
        </w:tblCellMar>
      </w:tblPr>
      <w:tblGrid>
        <w:gridCol w:w="3706"/>
        <w:gridCol w:w="326"/>
        <w:gridCol w:w="414"/>
        <w:gridCol w:w="831"/>
        <w:gridCol w:w="326"/>
        <w:gridCol w:w="325"/>
        <w:gridCol w:w="651"/>
        <w:gridCol w:w="326"/>
        <w:gridCol w:w="1126"/>
        <w:gridCol w:w="326"/>
        <w:gridCol w:w="886"/>
        <w:gridCol w:w="15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353310" cy="175260"/>
                      <wp:effectExtent l="0" t="0" r="0" b="0"/>
                      <wp:wrapNone/>
                      <wp:docPr id="411" name="Frame411"/>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62890" cy="175260"/>
                      <wp:effectExtent l="0" t="0" r="0" b="0"/>
                      <wp:wrapNone/>
                      <wp:docPr id="413" name="Frame413"/>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27685" cy="175260"/>
                      <wp:effectExtent l="0" t="0" r="0" b="0"/>
                      <wp:wrapNone/>
                      <wp:docPr id="414" name="Frame414"/>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6375" cy="175260"/>
                      <wp:effectExtent l="0" t="0" r="0" b="0"/>
                      <wp:wrapNone/>
                      <wp:docPr id="416" name="Frame416"/>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13385" cy="175260"/>
                      <wp:effectExtent l="0" t="0" r="0" b="0"/>
                      <wp:wrapNone/>
                      <wp:docPr id="417" name="Frame417"/>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15010" cy="175260"/>
                      <wp:effectExtent l="0" t="0" r="0" b="0"/>
                      <wp:wrapNone/>
                      <wp:docPr id="419" name="Frame41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62610" cy="175260"/>
                      <wp:effectExtent l="0" t="0" r="0" b="0"/>
                      <wp:wrapNone/>
                      <wp:docPr id="421" name="Frame4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97790" cy="175260"/>
                      <wp:effectExtent l="0" t="0" r="0" b="0"/>
                      <wp:wrapNone/>
                      <wp:docPr id="422" name="Frame4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54" w:type="dxa"/>
            <w:tcBorders/>
            <w:vAlign w:val="center"/>
          </w:tcPr>
          <w:p>
            <w:pPr>
              <w:pStyle w:val="TableContents"/>
              <w:bidi w:val="0"/>
              <w:spacing w:before="0" w:after="1"/>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2022</w:t>
            </w:r>
          </w:p>
        </w:tc>
        <w:tc>
          <w:tcPr>
            <w:tcW w:w="32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54" w:type="dxa"/>
            <w:tcBorders/>
            <w:vAlign w:val="center"/>
          </w:tcPr>
          <w:p>
            <w:pPr>
              <w:pStyle w:val="TableContents"/>
              <w:bidi w:val="0"/>
              <w:spacing w:before="0" w:after="1"/>
              <w:ind w:left="0" w:right="0" w:hanging="0"/>
              <w:jc w:val="left"/>
              <w:rPr/>
            </w:pPr>
            <w:r>
              <w:rPr/>
              <w:t>​</w:t>
            </w:r>
          </w:p>
        </w:tc>
      </w:tr>
      <w:tr>
        <w:trPr/>
        <w:tc>
          <w:tcPr>
            <w:tcW w:w="939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7"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4.1</w:t>
            </w:r>
            <w:r>
              <w:rPr>
                <w:rFonts w:ascii="Times New Roman;Times;serif" w:hAnsi="Times New Roman;Times;serif"/>
                <w:sz w:val="24"/>
              </w:rPr>
              <w:t xml:space="preserve"> </w:t>
            </w:r>
            <w:r>
              <w:rPr>
                <w:rFonts w:ascii="Times New Roman;Times;serif" w:hAnsi="Times New Roman;Times;serif"/>
                <w:sz w:val="20"/>
              </w:rPr>
              <w:t>years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4.7</w:t>
            </w:r>
            <w:r>
              <w:rPr>
                <w:rFonts w:ascii="Times New Roman;Times;serif" w:hAnsi="Times New Roman;Times;serif"/>
                <w:sz w:val="24"/>
              </w:rPr>
              <w:t xml:space="preserve"> </w:t>
            </w:r>
            <w:r>
              <w:rPr>
                <w:rFonts w:ascii="Times New Roman;Times;serif" w:hAnsi="Times New Roman;Times;serif"/>
                <w:sz w:val="20"/>
              </w:rPr>
              <w:t>years</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5.9%</w:t>
            </w:r>
          </w:p>
        </w:tc>
        <w:tc>
          <w:tcPr>
            <w:tcW w:w="154" w:type="dxa"/>
            <w:tcBorders/>
            <w:vAlign w:val="center"/>
          </w:tcPr>
          <w:p>
            <w:pPr>
              <w:pStyle w:val="TableContents"/>
              <w:bidi w:val="0"/>
              <w:spacing w:before="0" w:after="1"/>
              <w:ind w:left="0" w:right="0" w:hanging="0"/>
              <w:jc w:val="left"/>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9.8</w:t>
            </w:r>
            <w:r>
              <w:rPr>
                <w:rFonts w:ascii="Times New Roman;Times;serif" w:hAnsi="Times New Roman;Times;serif"/>
                <w:sz w:val="24"/>
              </w:rPr>
              <w:t xml:space="preserve"> </w:t>
            </w:r>
            <w:r>
              <w:rPr>
                <w:rFonts w:ascii="Times New Roman;Times;serif" w:hAnsi="Times New Roman;Times;serif"/>
                <w:sz w:val="20"/>
              </w:rPr>
              <w:t>years</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7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Maturities of lease liabilities as of December 31, 2023 are as follows:</w:t>
      </w:r>
    </w:p>
    <w:p>
      <w:pPr>
        <w:pStyle w:val="TextBody"/>
        <w:bidi w:val="0"/>
        <w:spacing w:before="0" w:after="0"/>
        <w:ind w:left="0" w:right="0" w:hanging="0"/>
        <w:jc w:val="left"/>
        <w:rPr/>
      </w:pPr>
      <w:r>
        <w:rPr/>
        <w:t>​</w:t>
      </w:r>
    </w:p>
    <w:tbl>
      <w:tblPr>
        <w:tblW w:w="4628" w:type="dxa"/>
        <w:jc w:val="left"/>
        <w:tblInd w:w="0" w:type="dxa"/>
        <w:tblLayout w:type="fixed"/>
        <w:tblCellMar>
          <w:top w:w="0" w:type="dxa"/>
          <w:left w:w="0" w:type="dxa"/>
          <w:bottom w:w="0" w:type="dxa"/>
          <w:right w:w="0" w:type="dxa"/>
        </w:tblCellMar>
      </w:tblPr>
      <w:tblGrid>
        <w:gridCol w:w="1906"/>
        <w:gridCol w:w="326"/>
        <w:gridCol w:w="339"/>
        <w:gridCol w:w="681"/>
        <w:gridCol w:w="326"/>
        <w:gridCol w:w="349"/>
        <w:gridCol w:w="70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210310" cy="175260"/>
                      <wp:effectExtent l="0" t="0" r="0" b="0"/>
                      <wp:wrapNone/>
                      <wp:docPr id="423" name="Frame423"/>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5265" cy="175260"/>
                      <wp:effectExtent l="0" t="0" r="0" b="0"/>
                      <wp:wrapNone/>
                      <wp:docPr id="425" name="Frame42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32435" cy="175260"/>
                      <wp:effectExtent l="0" t="0" r="0" b="0"/>
                      <wp:wrapNone/>
                      <wp:docPr id="426" name="Frame42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21615" cy="175260"/>
                      <wp:effectExtent l="0" t="0" r="0" b="0"/>
                      <wp:wrapNone/>
                      <wp:docPr id="428" name="Frame42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45135" cy="175260"/>
                      <wp:effectExtent l="0" t="0" r="0" b="0"/>
                      <wp:wrapNone/>
                      <wp:docPr id="429" name="Frame429"/>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Operating </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Financing </w: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w:t>
            </w:r>
          </w:p>
        </w:tc>
        <w:tc>
          <w:tcPr>
            <w:tcW w:w="326" w:type="dxa"/>
            <w:tcBorders/>
            <w:vAlign w:val="center"/>
          </w:tcPr>
          <w:p>
            <w:pPr>
              <w:pStyle w:val="TableContents"/>
              <w:bidi w:val="0"/>
              <w:spacing w:before="0" w:after="1"/>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Leases</w:t>
            </w:r>
          </w:p>
        </w:tc>
        <w:tc>
          <w:tcPr>
            <w:tcW w:w="326" w:type="dxa"/>
            <w:tcBorders/>
            <w:vAlign w:val="center"/>
          </w:tcPr>
          <w:p>
            <w:pPr>
              <w:pStyle w:val="TableContents"/>
              <w:bidi w:val="0"/>
              <w:spacing w:before="0" w:after="1"/>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Leases</w:t>
            </w:r>
          </w:p>
        </w:tc>
      </w:tr>
      <w:tr>
        <w:trPr/>
        <w:tc>
          <w:tcPr>
            <w:tcW w:w="46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9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142</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17</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w:hAnsi="Times"/>
                <w:sz w:val="20"/>
              </w:rPr>
            </w:pPr>
            <w:r>
              <w:rPr>
                <w:rFonts w:ascii="Times" w:hAnsi="Times"/>
                <w:sz w:val="20"/>
              </w:rPr>
              <w:t>124</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w:hAnsi="Times"/>
                <w:sz w:val="20"/>
              </w:rPr>
            </w:pPr>
            <w:r>
              <w:rPr>
                <w:rFonts w:ascii="Times" w:hAnsi="Times"/>
                <w:sz w:val="20"/>
              </w:rPr>
              <w:t>15</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110</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14</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w:hAnsi="Times"/>
                <w:sz w:val="20"/>
              </w:rPr>
            </w:pPr>
            <w:r>
              <w:rPr>
                <w:rFonts w:ascii="Times" w:hAnsi="Times"/>
                <w:sz w:val="20"/>
              </w:rPr>
              <w:t>87</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w:hAnsi="Times"/>
                <w:sz w:val="20"/>
              </w:rPr>
            </w:pPr>
            <w:r>
              <w:rPr>
                <w:rFonts w:ascii="Times" w:hAnsi="Times"/>
                <w:sz w:val="20"/>
              </w:rPr>
              <w:t>13</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51</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10</w:t>
            </w:r>
          </w:p>
        </w:tc>
      </w:tr>
      <w:tr>
        <w:trPr/>
        <w:tc>
          <w:tcPr>
            <w:tcW w:w="1906" w:type="dxa"/>
            <w:tcBorders/>
            <w:vAlign w:val="center"/>
          </w:tcPr>
          <w:p>
            <w:pPr>
              <w:pStyle w:val="TableContents"/>
              <w:bidi w:val="0"/>
              <w:spacing w:before="0" w:after="1"/>
              <w:ind w:left="0" w:right="0" w:hanging="0"/>
              <w:jc w:val="left"/>
              <w:rPr>
                <w:rFonts w:ascii="Times" w:hAnsi="Times"/>
                <w:sz w:val="20"/>
              </w:rPr>
            </w:pPr>
            <w:r>
              <w:rPr>
                <w:rFonts w:ascii="Times" w:hAnsi="Times"/>
                <w:sz w:val="20"/>
              </w:rPr>
              <w:t>Thereafter</w:t>
            </w:r>
          </w:p>
        </w:tc>
        <w:tc>
          <w:tcPr>
            <w:tcW w:w="32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103</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23</w:t>
            </w:r>
          </w:p>
        </w:tc>
      </w:tr>
      <w:tr>
        <w:trPr/>
        <w:tc>
          <w:tcPr>
            <w:tcW w:w="1906" w:type="dxa"/>
            <w:tcBorders/>
            <w:shd w:fill="CCEEFF" w:val="clear"/>
            <w:vAlign w:val="center"/>
          </w:tcPr>
          <w:p>
            <w:pPr>
              <w:pStyle w:val="TableContents"/>
              <w:bidi w:val="0"/>
              <w:spacing w:before="0" w:after="1"/>
              <w:ind w:left="0" w:right="0" w:hanging="0"/>
              <w:jc w:val="left"/>
              <w:rPr>
                <w:rFonts w:ascii="Times" w:hAnsi="Times"/>
                <w:sz w:val="20"/>
              </w:rPr>
            </w:pPr>
            <w:r>
              <w:rPr>
                <w:rFonts w:ascii="Times" w:hAnsi="Times"/>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617</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92</w:t>
            </w:r>
          </w:p>
        </w:tc>
      </w:tr>
      <w:tr>
        <w:trPr/>
        <w:tc>
          <w:tcPr>
            <w:tcW w:w="1906" w:type="dxa"/>
            <w:tcBorders/>
            <w:vAlign w:val="center"/>
          </w:tcPr>
          <w:p>
            <w:pPr>
              <w:pStyle w:val="TableContents"/>
              <w:bidi w:val="0"/>
              <w:spacing w:before="0" w:after="1"/>
              <w:ind w:left="0" w:right="0" w:hanging="0"/>
              <w:jc w:val="left"/>
              <w:rPr>
                <w:rFonts w:ascii="Times" w:hAnsi="Times"/>
                <w:sz w:val="20"/>
              </w:rPr>
            </w:pPr>
            <w:r>
              <w:rPr>
                <w:rFonts w:ascii="Times" w:hAnsi="Times"/>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(86)</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(22)</w:t>
            </w:r>
          </w:p>
        </w:tc>
      </w:tr>
      <w:tr>
        <w:trPr/>
        <w:tc>
          <w:tcPr>
            <w:tcW w:w="19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531</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w:hAnsi="Times"/>
                <w:sz w:val="20"/>
              </w:rPr>
            </w:pPr>
            <w:r>
              <w:rPr>
                <w:rFonts w:ascii="Times" w:hAnsi="Times"/>
                <w:sz w:val="20"/>
              </w:rPr>
              <w:t>70</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year ended December 31, 2023, lease cost was comprised of operating lease cost of $177 million, amortization of financing lease right-of-use assets of $8 million and interest expense on financing lease liabilities of $5 million. For the year ended December 31, 2022, lease cost was comprised of operating lease cost of $197 million, amortization of financing lease right-of-use assets of $8 million and interest expense on financing lease liabilities of $5 million. For the year ended December 31, 2021, lease cost was comprised of operating lease cost of $196 million, amortization of financing lease right-of-use assets of $10 million and interest expense on financing lease liabilities of $6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1199" w:name="_4d5c15d9_fc05_422c_b1da_5b5ab4b4af49_4"/>
      <w:bookmarkStart w:id="1200" w:name="_4d5c15d9_fc05_422c_b1da_5b5ab4b4af49_3"/>
      <w:bookmarkStart w:id="1201" w:name="_4d5c15d9_fc05_422c_b1da_5b5ab4b4af49_2"/>
      <w:bookmarkStart w:id="1202" w:name="_4d5c15d9_fc05_422c_b1da_5b5ab4b4af49"/>
      <w:bookmarkEnd w:id="1199"/>
      <w:bookmarkEnd w:id="1200"/>
      <w:bookmarkEnd w:id="1201"/>
      <w:bookmarkEnd w:id="1202"/>
      <w:r>
        <w:rPr>
          <w:rFonts w:ascii="Times New Roman;Times;serif" w:hAnsi="Times New Roman;Times;serif"/>
          <w:sz w:val="20"/>
        </w:rPr>
        <w:t>million. Our Automotive segment accounted for $143 million, $163 million and $163 million of total lease cost for the years ended December 31, 2023, 2022 and 2021,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leases available and excess real estate in certain locations under long-term operating leases. Our Automotive segment’s revenues from operating leases were $56 million, $45 million and $10 million for the years ended December 31, 2023, 2022 and 2021, respectively. Our Automotive segment’s expenses from operating leases were $99 million, $46 million and $10 million for the years ended December 31, 2023, 2022 and 2021, respectively. Revenues from operating leases are included in other revenue from operations in the consolidated statements of operations and expenses from operating leases are included in other expenses from operations in the consolidated statements of operations. Our Automotive segment’s anticipated future receipts of minimum operating lease payments are $37 million for 2024, $36 million for each of 2025, </w:t>
      </w:r>
      <w:r>
        <w:rPr>
          <w:rFonts w:ascii="Times New Roman;Times;serif" w:hAnsi="Times New Roman;Times;serif"/>
          <w:b w:val="false"/>
          <w:i w:val="false"/>
          <w:caps w:val="false"/>
          <w:smallCaps w:val="false"/>
          <w:sz w:val="20"/>
        </w:rPr>
        <w:t>2026</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2027</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2028</w:t>
      </w:r>
      <w:r>
        <w:rPr>
          <w:rFonts w:ascii="Times New Roman;Times;serif" w:hAnsi="Times New Roman;Times;serif"/>
          <w:sz w:val="20"/>
        </w:rPr>
        <w:t xml:space="preserve"> and an aggregate of $103 million for </w:t>
      </w:r>
      <w:r>
        <w:rPr>
          <w:rFonts w:ascii="Times New Roman;Times;serif" w:hAnsi="Times New Roman;Times;serif"/>
          <w:b w:val="false"/>
          <w:i w:val="false"/>
          <w:caps w:val="false"/>
          <w:smallCaps w:val="false"/>
          <w:sz w:val="20"/>
        </w:rPr>
        <w:t>2029</w:t>
      </w:r>
      <w:r>
        <w:rPr>
          <w:rFonts w:ascii="Times New Roman;Times;serif" w:hAnsi="Times New Roman;Times;serif"/>
          <w:sz w:val="20"/>
        </w:rPr>
        <w:t xml:space="preserve"> and thereafter.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leases real estate, primarily commercial properties under long-term operating leases. As of December 31, 2023 and 2022, our Real Estate segment had assets leased to others included in property, plant and equipment of $252 million and $252 million, respectively, net of accumulated depreciation. Our Real Estate segment’s revenue from operating leases were $17 million, $7 million and $8 million for the years ended December 31, 2023, 2022 and 2021, respectively, and are included in other revenue from operations in the consolidated statements of operations. Our Real Estate segment’s anticipated future receipts of minimum operating lease payments are $6 million for each of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and 2025, $5 million for each of </w:t>
      </w:r>
      <w:r>
        <w:rPr>
          <w:rFonts w:ascii="Times New Roman;Times;serif" w:hAnsi="Times New Roman;Times;serif"/>
          <w:b w:val="false"/>
          <w:i w:val="false"/>
          <w:caps w:val="false"/>
          <w:smallCaps w:val="false"/>
          <w:sz w:val="20"/>
        </w:rPr>
        <w:t>2026</w:t>
      </w:r>
      <w:r>
        <w:rPr>
          <w:rFonts w:ascii="Times New Roman;Times;serif" w:hAnsi="Times New Roman;Times;serif"/>
          <w:sz w:val="20"/>
        </w:rPr>
        <w:t xml:space="preserve">, 2027, and </w:t>
      </w:r>
      <w:r>
        <w:rPr>
          <w:rFonts w:ascii="Times New Roman;Times;serif" w:hAnsi="Times New Roman;Times;serif"/>
          <w:b w:val="false"/>
          <w:i w:val="false"/>
          <w:caps w:val="false"/>
          <w:smallCaps w:val="false"/>
          <w:sz w:val="20"/>
        </w:rPr>
        <w:t>2028</w:t>
      </w:r>
      <w:r>
        <w:rPr>
          <w:rFonts w:ascii="Times New Roman;Times;serif" w:hAnsi="Times New Roman;Times;serif"/>
          <w:sz w:val="20"/>
        </w:rPr>
        <w:t xml:space="preserve"> and an aggregate of $15 million for </w:t>
      </w:r>
      <w:r>
        <w:rPr>
          <w:rFonts w:ascii="Times New Roman;Times;serif" w:hAnsi="Times New Roman;Times;serif"/>
          <w:b w:val="false"/>
          <w:i w:val="false"/>
          <w:caps w:val="false"/>
          <w:smallCaps w:val="false"/>
          <w:sz w:val="20"/>
        </w:rPr>
        <w:t>2029</w:t>
      </w:r>
      <w:r>
        <w:rPr>
          <w:rFonts w:ascii="Times New Roman;Times;serif" w:hAnsi="Times New Roman;Times;serif"/>
          <w:sz w:val="20"/>
        </w:rPr>
        <w:t xml:space="preserve"> and thereafter.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1203" w:name="Tc_VwgnojWulEOY6uZzFUsEtA_19_5"/>
      <w:bookmarkStart w:id="1204" w:name="Tc_1dV6BA1WcEa3wYJUGNrbIQ_19_2"/>
      <w:bookmarkStart w:id="1205" w:name="Tc_xz_2KHp15UmjNA0rxz1Xuw_19_0"/>
      <w:bookmarkStart w:id="1206" w:name="Tc_2hpOAP_pPUmwMlAykLvQVA_17_0"/>
      <w:bookmarkStart w:id="1207" w:name="Tc_WhlX2GmxckKowpY-t8rEAA_16_0"/>
      <w:bookmarkStart w:id="1208" w:name="Tc_2oWLch0RW0aVxw-XhVuuIA_15_0"/>
      <w:bookmarkStart w:id="1209" w:name="Tc_vmMXt8NJ-U2DxnNQIwqRpg_14_0"/>
      <w:bookmarkStart w:id="1210" w:name="Tc_8m6_WmUWFEyYinWLV3R1Gw_13_0"/>
      <w:bookmarkStart w:id="1211" w:name="Tc_WMw3G4wDFEOMoo9TeTyXSA_12_0"/>
      <w:bookmarkStart w:id="1212" w:name="Tc_bAh13OdRwUWtaAL3774sDA_10_6"/>
      <w:bookmarkStart w:id="1213" w:name="Tc_zQXhq6V1DU2tRQNxPFsn1A_10_0"/>
      <w:bookmarkStart w:id="1214" w:name="Tc_eOYokeXNOUufnc5movle4g_9_0"/>
      <w:bookmarkStart w:id="1215" w:name="Tc_u_97y_wS2Eq7g5iWGt8Atw_8_0"/>
      <w:bookmarkStart w:id="1216" w:name="Tc_8XlCvK1XyU6zdDrl0MPBvg_7_0"/>
      <w:bookmarkStart w:id="1217" w:name="Tc_FDOBfaj_2UGHuI3XWQNV5g_6_0"/>
      <w:bookmarkStart w:id="1218" w:name="Tc_VE0NNAKFkkSHuWJ8QSgOYQ_5_5"/>
      <w:bookmarkStart w:id="1219" w:name="Tc_sosKeTtCuUyLS2aXTx2Fjw_5_3"/>
      <w:bookmarkStart w:id="1220" w:name="Tc_-BfG0LWLn0-MkMuW2BGUdQ_5_2"/>
      <w:bookmarkStart w:id="1221" w:name="Tc_7qaNfIXjAESdZieZcKYRRg_5_0"/>
      <w:bookmarkStart w:id="1222" w:name="Tc_8RLW9g5qDUScyjxnybPXxQ_4_0"/>
      <w:bookmarkStart w:id="1223" w:name="Tc_4u9QY4ymekq-7u5yxODB_A_3_2"/>
      <w:bookmarkStart w:id="1224" w:name="Tc_Gk18ETZ060WtuATtBVNe-A_2_5"/>
      <w:bookmarkStart w:id="1225" w:name="Tc_yYhvTOtnj0mp0gDnoDN5XQ_2_2"/>
      <w:bookmarkStart w:id="1226" w:name="Tc_-ZCi47FxR02sOJPsQZ6K3A_1_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r>
        <w:rPr>
          <w:rFonts w:ascii="Times New Roman;Times;serif" w:hAnsi="Times New Roman;Times;serif"/>
          <w:b/>
          <w:sz w:val="20"/>
        </w:rPr>
        <w:t>13.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5772" w:type="dxa"/>
        <w:jc w:val="left"/>
        <w:tblInd w:w="0" w:type="dxa"/>
        <w:tblLayout w:type="fixed"/>
        <w:tblCellMar>
          <w:top w:w="0" w:type="dxa"/>
          <w:left w:w="0" w:type="dxa"/>
          <w:bottom w:w="0" w:type="dxa"/>
          <w:right w:w="0" w:type="dxa"/>
        </w:tblCellMar>
      </w:tblPr>
      <w:tblGrid>
        <w:gridCol w:w="3451"/>
        <w:gridCol w:w="326"/>
        <w:gridCol w:w="211"/>
        <w:gridCol w:w="571"/>
        <w:gridCol w:w="326"/>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1385" cy="175260"/>
                      <wp:effectExtent l="0" t="0" r="0" b="0"/>
                      <wp:wrapNone/>
                      <wp:docPr id="430" name="Frame43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62585" cy="175260"/>
                      <wp:effectExtent l="0" t="0" r="0" b="0"/>
                      <wp:wrapNone/>
                      <wp:docPr id="433" name="Frame4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29260" cy="175260"/>
                      <wp:effectExtent l="0" t="0" r="0" b="0"/>
                      <wp:wrapNone/>
                      <wp:docPr id="436" name="Frame4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7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4.750% senior unsecured notes due 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6.375% senior unsecured notes due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6.250% senior unsecured notes due 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5.250% senior unsecured notes due 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4.375% senior unsecured notes due 2029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9.750% senior unsecured notes due 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5,309</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Reporting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4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7,096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Our Holding Company debt consists of various issues of fixed-rate senior unsecured notes issued by Icahn Enterprises and Icahn Enterprises Finance Corp. (together the “Issuers”) and guaranteed by Icahn Enterprises Holdings (the “Guarantor”). Interest on each tranche of the senior unsecured notes is payable semi-annually.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November and December of 2023, we repurchased in the open market approximately </w:t>
      </w:r>
      <w:r>
        <w:rPr>
          <w:rFonts w:ascii="TimesNRMTPro" w:hAnsi="TimesNRMTPro"/>
          <w:sz w:val="20"/>
        </w:rPr>
        <w:t>$35</w:t>
      </w:r>
      <w:r>
        <w:rPr>
          <w:rFonts w:ascii="Times New Roman;Times;serif" w:hAnsi="Times New Roman;Times;serif"/>
          <w:sz w:val="20"/>
        </w:rPr>
        <w:t xml:space="preserve"> </w:t>
      </w:r>
      <w:r>
        <w:rPr>
          <w:rFonts w:ascii="TimesNRMTPro" w:hAnsi="TimesNRMTPro"/>
          <w:sz w:val="20"/>
        </w:rPr>
        <w:t>million aggregate principal amount of our 4.750%</w:t>
      </w:r>
      <w:r>
        <w:rPr>
          <w:rFonts w:ascii="Times New Roman;Times;serif" w:hAnsi="Times New Roman;Times;serif"/>
          <w:sz w:val="20"/>
        </w:rPr>
        <w:t xml:space="preserve"> </w:t>
      </w:r>
      <w:r>
        <w:rPr>
          <w:rFonts w:ascii="TimesNRMTPro" w:hAnsi="TimesNRMTPro"/>
          <w:sz w:val="20"/>
        </w:rPr>
        <w:t>senior unsecured notes due 2024, which the Company then cancelled and reduced the outstanding principal, $12</w:t>
      </w:r>
      <w:r>
        <w:rPr>
          <w:rFonts w:ascii="Times New Roman;Times;serif" w:hAnsi="Times New Roman;Times;serif"/>
          <w:sz w:val="20"/>
        </w:rPr>
        <w:t xml:space="preserve"> </w:t>
      </w:r>
      <w:r>
        <w:rPr>
          <w:rFonts w:ascii="TimesNRMTPro" w:hAnsi="TimesNRMTPro"/>
          <w:sz w:val="20"/>
        </w:rPr>
        <w:t>million aggregate principal amount of our 6.25%</w:t>
      </w:r>
      <w:r>
        <w:rPr>
          <w:rFonts w:ascii="Times New Roman;Times;serif" w:hAnsi="Times New Roman;Times;serif"/>
          <w:sz w:val="20"/>
        </w:rPr>
        <w:t xml:space="preserve"> </w:t>
      </w:r>
      <w:r>
        <w:rPr>
          <w:rFonts w:ascii="TimesNRMTPro" w:hAnsi="TimesNRMTPro"/>
          <w:sz w:val="20"/>
        </w:rPr>
        <w:t>senior unsecured notes due 2026, $5</w:t>
      </w:r>
      <w:r>
        <w:rPr>
          <w:rFonts w:ascii="Times New Roman;Times;serif" w:hAnsi="Times New Roman;Times;serif"/>
          <w:sz w:val="20"/>
        </w:rPr>
        <w:t xml:space="preserve"> </w:t>
      </w:r>
      <w:r>
        <w:rPr>
          <w:rFonts w:ascii="TimesNRMTPro" w:hAnsi="TimesNRMTPro"/>
          <w:sz w:val="20"/>
        </w:rPr>
        <w:t>million aggregate principal amount of our 5.25%</w:t>
      </w:r>
      <w:r>
        <w:rPr>
          <w:rFonts w:ascii="Times New Roman;Times;serif" w:hAnsi="Times New Roman;Times;serif"/>
          <w:sz w:val="20"/>
        </w:rPr>
        <w:t xml:space="preserve"> </w:t>
      </w:r>
      <w:r>
        <w:rPr>
          <w:rFonts w:ascii="TimesNRMTPro" w:hAnsi="TimesNRMTPro"/>
          <w:sz w:val="20"/>
        </w:rPr>
        <w:t>senior unsecured notes due 2027, and $40</w:t>
      </w:r>
      <w:r>
        <w:rPr>
          <w:rFonts w:ascii="Times New Roman;Times;serif" w:hAnsi="Times New Roman;Times;serif"/>
          <w:sz w:val="20"/>
        </w:rPr>
        <w:t xml:space="preserve"> </w:t>
      </w:r>
      <w:r>
        <w:rPr>
          <w:rFonts w:ascii="TimesNRMTPro" w:hAnsi="TimesNRMTPro"/>
          <w:sz w:val="20"/>
        </w:rPr>
        <w:t>million aggregate principal amount of our 4.375%</w:t>
      </w:r>
      <w:r>
        <w:rPr>
          <w:rFonts w:ascii="Times New Roman;Times;serif" w:hAnsi="Times New Roman;Times;serif"/>
          <w:sz w:val="20"/>
        </w:rPr>
        <w:t xml:space="preserve"> </w:t>
      </w:r>
      <w:r>
        <w:rPr>
          <w:rFonts w:ascii="TimesNRMTPro" w:hAnsi="TimesNRMTPro"/>
          <w:sz w:val="20"/>
        </w:rPr>
        <w:t>senior unsecured notes due 2029 for total cash paid of $84</w:t>
      </w:r>
      <w:r>
        <w:rPr>
          <w:rFonts w:ascii="Times New Roman;Times;serif" w:hAnsi="Times New Roman;Times;serif"/>
          <w:sz w:val="20"/>
        </w:rPr>
        <w:t xml:space="preserve"> </w:t>
      </w:r>
      <w:r>
        <w:rPr>
          <w:rFonts w:ascii="TimesNRMTPro" w:hAnsi="TimesNRMTPro"/>
          <w:sz w:val="20"/>
        </w:rPr>
        <w:t>million for a total aggregate principal amount of $92</w:t>
      </w:r>
      <w:r>
        <w:rPr>
          <w:rFonts w:ascii="Times New Roman;Times;serif" w:hAnsi="Times New Roman;Times;serif"/>
          <w:sz w:val="20"/>
        </w:rPr>
        <w:t xml:space="preserve"> </w:t>
      </w:r>
      <w:r>
        <w:rPr>
          <w:rFonts w:ascii="TimesNRMTPro" w:hAnsi="TimesNRMTPro"/>
          <w:sz w:val="20"/>
        </w:rPr>
        <w:t>million. The remaining repurchased notes of $57</w:t>
      </w:r>
      <w:r>
        <w:rPr>
          <w:rFonts w:ascii="Times New Roman;Times;serif" w:hAnsi="Times New Roman;Times;serif"/>
          <w:sz w:val="20"/>
        </w:rPr>
        <w:t xml:space="preserve"> </w:t>
      </w:r>
      <w:r>
        <w:rPr>
          <w:rFonts w:ascii="TimesNRMTPro" w:hAnsi="TimesNRMTPro"/>
          <w:sz w:val="20"/>
        </w:rPr>
        <w:t>million aggregate principal were extinguished but were not retired and are held in treasury.</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In December 2023, the Issuers issued $700</w:t>
      </w:r>
      <w:r>
        <w:rPr>
          <w:rFonts w:ascii="Times New Roman;Times;serif" w:hAnsi="Times New Roman;Times;serif"/>
          <w:sz w:val="20"/>
        </w:rPr>
        <w:t xml:space="preserve"> </w:t>
      </w:r>
      <w:r>
        <w:rPr>
          <w:rFonts w:ascii="TimesNRMTPro" w:hAnsi="TimesNRMTPro"/>
          <w:sz w:val="20"/>
        </w:rPr>
        <w:t>million in aggregate principal amount of 9.750%</w:t>
      </w:r>
      <w:r>
        <w:rPr>
          <w:rFonts w:ascii="Times New Roman;Times;serif" w:hAnsi="Times New Roman;Times;serif"/>
          <w:sz w:val="20"/>
        </w:rPr>
        <w:t xml:space="preserve"> </w:t>
      </w:r>
      <w:r>
        <w:rPr>
          <w:rFonts w:ascii="TimesNRMTPro" w:hAnsi="TimesNRMTPro"/>
          <w:sz w:val="20"/>
        </w:rPr>
        <w:t>senior unsecured notes due 2029. The net proceeds from such issuance, together with $376</w:t>
      </w:r>
      <w:r>
        <w:rPr>
          <w:rFonts w:ascii="Times New Roman;Times;serif" w:hAnsi="Times New Roman;Times;serif"/>
          <w:sz w:val="20"/>
        </w:rPr>
        <w:t xml:space="preserve"> </w:t>
      </w:r>
      <w:r>
        <w:rPr>
          <w:rFonts w:ascii="TimesNRMTPro" w:hAnsi="TimesNRMTPro"/>
          <w:sz w:val="20"/>
        </w:rPr>
        <w:t>million of cash and cash equivalents on hand, was used to satisfy and discharge the remaining outstanding 4.750%</w:t>
      </w:r>
      <w:r>
        <w:rPr>
          <w:rFonts w:ascii="Times New Roman;Times;serif" w:hAnsi="Times New Roman;Times;serif"/>
          <w:sz w:val="20"/>
        </w:rPr>
        <w:t xml:space="preserve"> </w:t>
      </w:r>
      <w:r>
        <w:rPr>
          <w:rFonts w:ascii="TimesNRMTPro" w:hAnsi="TimesNRMTPro"/>
          <w:sz w:val="20"/>
        </w:rPr>
        <w:t xml:space="preserve">senior unsecured notes due 2024, along with any accrued interest associated with the notes and related fees and expenses.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In February 2022, we redeemed all of our $500 million in aggregate principal amount of 6.750% senior unsecured notes due 2024 at par. As a result of this transaction, Icahn Enterprises recorded a loss on extinguishment of debt of $1 million during the year ended December 31,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2021, the Issuers issued $750 million in aggregate principal amount of 4.375% senior unsecured notes due 2029. The proceeds from these notes were used to redeem $750 million in aggregate principal amount of 6.250% senior unsecured notes due 2022, and to pay accrued interest, related fees and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In April 2021, the Issuers issued $455 million in aggregate principal amount of 5.250% senior unsecured notes due 2027. The proceeds from these issuances, together with cash on hand, were used to redeem in full our prior outstanding $1.1 billion principal amount of the 6.250% senior unsecured notes due 2022, and to pay accrued interest, related fees and expenses.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Icahn Enterprises recorded a gain on extinguishment of debt of $13 million in 2023, a loss on extinguishment of debt of $2 million in 2022 and a gain on extinguishment of debt of $3 million in 2021 in connection with the debt transactions discussed above.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pStyle w:val="TextBody"/>
        <w:bidi w:val="0"/>
        <w:spacing w:before="180" w:after="180"/>
        <w:ind w:left="0" w:right="0" w:firstLine="555"/>
        <w:jc w:val="left"/>
        <w:rPr>
          <w:rFonts w:ascii="Times New Roman;Times;serif" w:hAnsi="Times New Roman;Times;serif"/>
          <w:sz w:val="20"/>
        </w:rPr>
      </w:pPr>
      <w:r>
        <w:rPr>
          <w:rFonts w:ascii="Times New Roman;Times;serif" w:hAnsi="Times New Roman;Times;serif"/>
          <w:sz w:val="20"/>
        </w:rPr>
        <w:t>The indentures governing each of our senior unsecured notes: restrict the payment of cash distributions, the purchase of equity interests or the purchase, redemption, defeasance or acquisition of debt subordinated to the senior unsecured notes; restrict the incurrence of debt or the issuance of disqualified stock, as defined in the indentures, with certain exceptions; require that on each quarterly determination date, Icahn Enterprises and the guarantor of each of the senior unsecured notes (currently only Icahn Enterprises Holdings) maintain certain minimum financial ratios, as defined therein; and restrict the creation of liens, mergers, consolidations and sales of substantially all of our assets, and transactions with affiliates. Additionally, the 6.375% senior unsecured notes due 2025, the 6.250% senior unsecured notes due 2026 and the 9.750% senior unsecured notes due 2029 are subject to optional redemption premiums in the event we redeem any of the notes prior to certain dates as described in the respective indentures. Although we have no obligation to do so, we may continue, from time-to-time, to retire our outstanding debt through privately negotiated transactions, open market repurchases, redemptions or otherwise.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and 2022, we were in compliance with all covenants, including maintaining certain minimum financial ratios, as defined in the indentures. Additionally, as of December 31, 2023, based on covenants in the indentures governing our senior unsecured notes, we are not permitted to incur additional indebtedness; however, we are permitted to issue new notes in connection with debt refinancings of existing notes. </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Segments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Our Energy segment’s debt primarily consists of (i) $600 million in aggregate principal amount of 5.25% senior unsecured notes due 2025, $400 million in aggregate principal amount of 5.75% senior unsecured notes due 2028 and $600 million in aggregate principal amount of 8.50% senior unsecured notes due 2029 (each issued by CVR Energy), and (ii) $550 million in aggregate principal amount of 6.125% senior secured notes due 2028 (issued by CVR Partners). Interest for each of these notes is accrued and paid based on contractual terms.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CVR Energy issued $600 million in aggregate principal amount of 8.50% senior unsecured notes due 2029. The proceeds from the issuance of these notes were used to fund the redemption in full of CVR Energy’s existing $600 million in aggregate principal amount of 5.25% senior unsecured notes due 2025, at par in February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a result of this transaction, CVR Energy will recognize a $1 million loss on extinguishment of debt in the first quarter of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2022, in connection with the CVR Energy ABL (as defined below), a new wholly owned subsidiary of CVR Energy, CVR Renewables, LLC (“CVR Renew”), delivered to Wells Fargo Bank, National Association, as administrative and collateral agent for the secured parties, a Joinder Agreement pursuant to which CVR Renew became a borrower for all purposes under the Petroleum ABL and other Credit Documents.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2023, CVR Energy and certain of its subsidiaries (the “Credit Parties”) entered into Amendment No. 4 to the Amended and Restated ABL Credit Agreement dated December 20, 2012 (the “Amendment”, and as amended, the “CVR Energy ABL”), with a group of lenders and Wells Fargo Bank, National Association, as administrative agent and collateral agent (the “Agent”). The CVR Energy ABL is a senior secured asset based revolving credit facility in an aggregate principle amount of up to $275 million with a $125 million incremental facility, which is subject to additional lender commitments and certain other conditions. The proceeds of the loans may be used for capital expenditures, working capital and general corporate purposes of the Credit Parties and their subsidiaries. The CVR Energy ABL provides for loans and letters of credit in an amount up to the aggregate availability under the facility, subject to certain borrowing base conditions, with sub-limits of $30 million for swingline loans and $60 million (or $100 million if increased by the Agent) for letters of credit. The CVR Energy ABL is scheduled to mature on June 30, 2027.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December 31, 2023 and 2022, total availability under the CVR Energy ABL and CVR Partners variable rate asset based revolving credit facilities aggregated $288 million and $287 million, respectively. CVR Energy ABL also had $26 million and $23 million of letters of credit outstanding as of December 31, 2023 and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Viskase’s debt primarily consists of a credit agreement providing for a $133 million term loan and a $30 million revolving credit facility issued in October 2020 that was repaid in full in 2023. The interest rate on Viskase’s term loans were 7.40% and 6.80% as of December 31, 2023 and 2022, respectively.</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Charges to Interest Expense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amortization of deferred financing costs and debt discounts and premiums included in interest expense in the consolidated statements of operations were $4 million, $5 million and $5 million for the years ended December 31, 2023, 2022 and 2021,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227" w:name="Tc_u507kZdYEkSHDEBvvSFTyA_12_2"/>
      <w:bookmarkStart w:id="1228" w:name="Tc_dCincJJie0mIGs2lcQ0oSw_11_0"/>
      <w:bookmarkStart w:id="1229" w:name="Tc_eZKCnsEGOE-m7cRkm7S1dw_10_0"/>
      <w:bookmarkStart w:id="1230" w:name="Tc_H5ggj6iEX0-9gLXTqmFGsA_9_0"/>
      <w:bookmarkStart w:id="1231" w:name="Tc_JSWFLcA5mEGkKdPc2CT99w_8_0"/>
      <w:bookmarkStart w:id="1232" w:name="Tc_HXMlSKdJ8E-SH8eFYA5Uhw_7_0"/>
      <w:bookmarkStart w:id="1233" w:name="Tc_AITnqNV99UeRC-YWKqc6Yw_6_0"/>
      <w:bookmarkStart w:id="1234" w:name="Tc_chyPocwcMU2QkDT9Gnux4A_5_0"/>
      <w:bookmarkStart w:id="1235" w:name="Tc_Hum6zFA0FkCfM5HlqWH1TQ_4_0"/>
      <w:bookmarkStart w:id="1236" w:name="Tc_2xm9QfyqH0ylNKKVIyeDAw_3_2"/>
      <w:bookmarkStart w:id="1237" w:name="Tc_weINRNF5MU-kmwAcm3j5nA_3_0"/>
      <w:bookmarkStart w:id="1238" w:name="Tc_A5-ng-zMbUWBHYr-SpMYaQ_2_2"/>
      <w:bookmarkStart w:id="1239" w:name="Tc_LyuXdMtRqEKTPOvcX-FWxw_1_2"/>
      <w:bookmarkStart w:id="1240" w:name="Tc_CRVgWChfkk2Mw1Zp9_VcbA_1_0"/>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b/>
          <w:i w:val="false"/>
          <w:caps w:val="false"/>
          <w:smallCaps w:val="false"/>
          <w:sz w:val="20"/>
        </w:rPr>
        <w:t>Consolidated Maturities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is a summary of the maturities of our debt as of December 31, 2023:</w:t>
      </w:r>
    </w:p>
    <w:p>
      <w:pPr>
        <w:pStyle w:val="TextBody"/>
        <w:bidi w:val="0"/>
        <w:spacing w:before="0" w:after="0"/>
        <w:ind w:left="0" w:right="0" w:hanging="0"/>
        <w:jc w:val="left"/>
        <w:rPr/>
      </w:pPr>
      <w:r>
        <w:rPr/>
        <w:t>​</w:t>
      </w:r>
    </w:p>
    <w:tbl>
      <w:tblPr>
        <w:tblW w:w="6882" w:type="dxa"/>
        <w:jc w:val="left"/>
        <w:tblInd w:w="0" w:type="dxa"/>
        <w:tblLayout w:type="fixed"/>
        <w:tblCellMar>
          <w:top w:w="0" w:type="dxa"/>
          <w:left w:w="0" w:type="dxa"/>
          <w:bottom w:w="0" w:type="dxa"/>
          <w:right w:w="0" w:type="dxa"/>
        </w:tblCellMar>
      </w:tblPr>
      <w:tblGrid>
        <w:gridCol w:w="5551"/>
        <w:gridCol w:w="326"/>
        <w:gridCol w:w="239"/>
        <w:gridCol w:w="766"/>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524885" cy="175260"/>
                      <wp:effectExtent l="0" t="0" r="0" b="0"/>
                      <wp:wrapNone/>
                      <wp:docPr id="437" name="Frame437"/>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51765" cy="175260"/>
                      <wp:effectExtent l="0" t="0" r="0" b="0"/>
                      <wp:wrapNone/>
                      <wp:docPr id="439" name="Frame4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86410" cy="175260"/>
                      <wp:effectExtent l="0" t="0" r="0" b="0"/>
                      <wp:wrapNone/>
                      <wp:docPr id="440" name="Frame44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5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payments (excluding financing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7,148</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deferred financing fees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 (Note 12)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7,207</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b/>
          <w:sz w:val="20"/>
        </w:rPr>
      </w:pPr>
      <w:bookmarkStart w:id="1241" w:name="Tc_NPoTS0yTKEOSVb0dVM0t2g_10_0"/>
      <w:bookmarkStart w:id="1242" w:name="Tc_rJ1lkj2X1UyIbeandrJBzw_9_7"/>
      <w:bookmarkStart w:id="1243" w:name="Tc_bOFMiOfS20iIBXxHMy5TCA_9_4"/>
      <w:bookmarkStart w:id="1244" w:name="Tc_Rs4m2sQKk0itC5mhvwcegg_9_1"/>
      <w:bookmarkStart w:id="1245" w:name="Tc_UygUKHNJmUilQOv0nuJycA_9_0"/>
      <w:bookmarkStart w:id="1246" w:name="Tc_OjhpRwzClEOkHUiOtshTRg_7_7"/>
      <w:bookmarkStart w:id="1247" w:name="Tc_W8vN7A6w70qtjFyaG23BGw_7_4"/>
      <w:bookmarkStart w:id="1248" w:name="Tc_aK5rm0PSmUCw2px6a2EHWg_7_1"/>
      <w:bookmarkStart w:id="1249" w:name="Tc_3ViQOAT1kUeorgjm8dJ-6w_7_0"/>
      <w:bookmarkStart w:id="1250" w:name="Tc_-6Ilued3C0ChCvrVs4uLFA_6_7"/>
      <w:bookmarkStart w:id="1251" w:name="Tc_XIo0QCh_80-GlVXXOopesg_6_4"/>
      <w:bookmarkStart w:id="1252" w:name="Tc_M8zayZJJb06Im2Bwch_Iow_6_1"/>
      <w:bookmarkStart w:id="1253" w:name="Tc_-rvKSmMPxEKiq7aSchl2LA_6_0"/>
      <w:bookmarkStart w:id="1254" w:name="Tc_UX9TDFeKi06IH1eF4DWzKw_5_0"/>
      <w:bookmarkStart w:id="1255" w:name="Tc_AWcoNI0NbU-b3CAVt_0F9A_4_7"/>
      <w:bookmarkStart w:id="1256" w:name="Tc_IB3ug3OKK0yV-ByhNr7fRQ_4_4"/>
      <w:bookmarkStart w:id="1257" w:name="Tc_WW4Pp5qc00-t0VUpRugdtQ_4_1"/>
      <w:bookmarkStart w:id="1258" w:name="Tc_kesnq0ZyyUGZkPBKNpCn6w_4_0"/>
      <w:bookmarkStart w:id="1259" w:name="Tc_wLlTVjL4XkWFXjfU5CKdig_3_1"/>
      <w:bookmarkStart w:id="1260" w:name="Tc__BNyN5XoUECMoNte3Il5IA_2_7"/>
      <w:bookmarkStart w:id="1261" w:name="Tc_v1eWtGpyHEK4fbm_e-oxqA_2_4"/>
      <w:bookmarkStart w:id="1262" w:name="Tc_0dOMzf5OnU2SgsMmvF3rcQ_2_1"/>
      <w:bookmarkStart w:id="1263" w:name="Tc_U6erqoASGke6ln0ygnCGQQ_1_1"/>
      <w:bookmarkStart w:id="1264" w:name="_2b8902b2_a0f2_4bfa_991e_a1f69a9ac0d2"/>
      <w:bookmarkStart w:id="1265" w:name="_e5ffb56e_b54d_44ae_b6fe_f773dac93146"/>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Pr>
          <w:rFonts w:ascii="Times New Roman;Times;serif" w:hAnsi="Times New Roman;Times;serif"/>
          <w:b/>
          <w:sz w:val="20"/>
        </w:rPr>
        <w:t>14. Net Income (Loss) Per LP Unit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components of the computation of basic and diluted income (loss) per LP unit from continuing and discontinued operations are as follows:</w:t>
      </w:r>
    </w:p>
    <w:tbl>
      <w:tblPr>
        <w:tblW w:w="10205" w:type="dxa"/>
        <w:jc w:val="left"/>
        <w:tblInd w:w="0" w:type="dxa"/>
        <w:tblLayout w:type="fixed"/>
        <w:tblCellMar>
          <w:top w:w="0" w:type="dxa"/>
          <w:left w:w="0" w:type="dxa"/>
          <w:bottom w:w="0" w:type="dxa"/>
          <w:right w:w="0" w:type="dxa"/>
        </w:tblCellMar>
      </w:tblPr>
      <w:tblGrid>
        <w:gridCol w:w="7169"/>
        <w:gridCol w:w="211"/>
        <w:gridCol w:w="568"/>
        <w:gridCol w:w="326"/>
        <w:gridCol w:w="211"/>
        <w:gridCol w:w="568"/>
        <w:gridCol w:w="326"/>
        <w:gridCol w:w="211"/>
        <w:gridCol w:w="615"/>
      </w:tblGrid>
      <w:tr>
        <w:trPr/>
        <w:tc>
          <w:tcPr>
            <w:tcW w:w="7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552315" cy="175260"/>
                      <wp:effectExtent l="0" t="0" r="0" b="0"/>
                      <wp:wrapNone/>
                      <wp:docPr id="441" name="Frame441"/>
                      <a:graphic xmlns:a="http://schemas.openxmlformats.org/drawingml/2006/main">
                        <a:graphicData uri="http://schemas.microsoft.com/office/word/2010/wordprocessingShape">
                          <wps:wsp>
                            <wps:cNvSpPr txBox="1"/>
                            <wps:spPr>
                              <a:xfrm>
                                <a:off x="0" y="0"/>
                                <a:ext cx="455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60680" cy="175260"/>
                      <wp:effectExtent l="0" t="0" r="0" b="0"/>
                      <wp:wrapNone/>
                      <wp:docPr id="443" name="Frame44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60680" cy="175260"/>
                      <wp:effectExtent l="0" t="0" r="0" b="0"/>
                      <wp:wrapNone/>
                      <wp:docPr id="446" name="Frame44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90525" cy="175260"/>
                      <wp:effectExtent l="0" t="0" r="0" b="0"/>
                      <wp:wrapNone/>
                      <wp:docPr id="449" name="Frame449"/>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69" w:type="dxa"/>
            <w:tcBorders/>
            <w:vAlign w:val="center"/>
          </w:tcPr>
          <w:p>
            <w:pPr>
              <w:pStyle w:val="TableContents"/>
              <w:bidi w:val="0"/>
              <w:spacing w:before="0" w:after="0"/>
              <w:ind w:left="0" w:right="0" w:hanging="0"/>
              <w:jc w:val="left"/>
              <w:rPr/>
            </w:pPr>
            <w:r>
              <w:rPr/>
              <w:t>​</w:t>
            </w:r>
          </w:p>
        </w:tc>
        <w:tc>
          <w:tcPr>
            <w:tcW w:w="30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7169" w:type="dxa"/>
            <w:tcBorders/>
            <w:vAlign w:val="center"/>
          </w:tcPr>
          <w:p>
            <w:pPr>
              <w:pStyle w:val="TableContents"/>
              <w:bidi w:val="0"/>
              <w:spacing w:before="0" w:after="0"/>
              <w:ind w:left="0" w:right="0" w:hanging="0"/>
              <w:jc w:val="left"/>
              <w:rPr/>
            </w:pPr>
            <w:r>
              <w:rPr/>
              <w:t>​</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7169" w:type="dxa"/>
            <w:tcBorders/>
            <w:vAlign w:val="center"/>
          </w:tcPr>
          <w:p>
            <w:pPr>
              <w:pStyle w:val="TableContents"/>
              <w:bidi w:val="0"/>
              <w:spacing w:before="0" w:after="0"/>
              <w:ind w:left="0" w:right="0" w:hanging="0"/>
              <w:jc w:val="left"/>
              <w:rPr/>
            </w:pPr>
            <w:r>
              <w:rPr/>
              <w:t>​</w:t>
            </w:r>
          </w:p>
        </w:tc>
        <w:tc>
          <w:tcPr>
            <w:tcW w:w="3036"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7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from continuing operations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7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Icahn Enterprises from continuing operations allocated 100% to general partner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7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from continuing operations allocable to limited partners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7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from continuing operations allocated to limited partners (98.01% allocation)</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716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r>
      <w:tr>
        <w:trPr/>
        <w:tc>
          <w:tcPr>
            <w:tcW w:w="7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7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260</w:t>
            </w:r>
          </w:p>
        </w:tc>
      </w:tr>
    </w:tbl>
    <w:tbl>
      <w:tblPr>
        <w:tblW w:w="10205" w:type="dxa"/>
        <w:jc w:val="left"/>
        <w:tblInd w:w="0" w:type="dxa"/>
        <w:tblLayout w:type="fixed"/>
        <w:tblCellMar>
          <w:top w:w="28" w:type="dxa"/>
          <w:left w:w="28" w:type="dxa"/>
          <w:bottom w:w="28" w:type="dxa"/>
          <w:right w:w="28"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Excludes an immaterial amount of unvested RSU awards during the years ended December 31, 2023, 2022 and 2021, due to their anti-dilutive impact.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GP Allocation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disclosed in Note 2, “Basis of Presentation and Summary of Significant Accounting Policies - Acquisition, Investments and Disposition of Entities under Common Control,” upon the sale of common control entities, such as PSC Metals,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bookmarkStart w:id="1266" w:name="Tc_3G04kLNUq0eU_tK7BnuF3Q_13_0"/>
      <w:bookmarkStart w:id="1267" w:name="Tc_ceI6ZD1Lr0-zrXSXPEjKjg_11_0"/>
      <w:bookmarkStart w:id="1268" w:name="Tc_Oxw9gs7F7UCgkeKS6S4XUA_10_2"/>
      <w:bookmarkStart w:id="1269" w:name="Tc_90opWb7HcEeS6Dl6RyGbFg_10_0"/>
      <w:bookmarkStart w:id="1270" w:name="Tc_OmP5KuoCDUKuxLld05rTbw_9_2"/>
      <w:bookmarkStart w:id="1271" w:name="Tc_ujmxj6ITvka_A16P9_epcQ_9_0"/>
      <w:bookmarkStart w:id="1272" w:name="Tc_wMNQL52qB0iMJaipHq0YRQ_8_0"/>
      <w:bookmarkStart w:id="1273" w:name="Tc_uoUElKD8VUC7vji_ZopDlg_7_0"/>
      <w:bookmarkStart w:id="1274" w:name="Tc_8QyZhY9xcUWq6L5EeT9NFA_6_2"/>
      <w:bookmarkStart w:id="1275" w:name="Tc_Y0vyogIO-EGOhTncfINoDA_6_0"/>
      <w:bookmarkStart w:id="1276" w:name="Tc_DdN8mx28gU-6nmUYmPpBmA_5_2"/>
      <w:bookmarkStart w:id="1277" w:name="Tc_skXOT_POJECgg8xVUZ8ICw_5_0"/>
      <w:bookmarkStart w:id="1278" w:name="Tc_S3YtyVCJpkmY2oUkAQdIYQ_4_0"/>
      <w:bookmarkStart w:id="1279" w:name="Tc_FejfeEi-sUSCqVd0pRuhJg_3_0"/>
      <w:bookmarkStart w:id="1280" w:name="Tc_PrILEOyyKE2W-P5yfqY7tg_2_6"/>
      <w:bookmarkStart w:id="1281" w:name="Tc_nbfh3Lhm10Wy2rTddHYADA_2_4"/>
      <w:bookmarkStart w:id="1282" w:name="Tc_DcTXNfxHl0qzG5bJbTHQOg_2_2"/>
      <w:bookmarkStart w:id="1283" w:name="Tc_LIMxAYiRZkCIcSeQ0NvGoA_1_4"/>
      <w:bookmarkStart w:id="1284" w:name="Tc_dzH5cJHH2U60Scohw2wmjA_1_2"/>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rFonts w:ascii="Times New Roman;Times;serif" w:hAnsi="Times New Roman;Times;serif"/>
          <w:b/>
          <w:i/>
          <w:sz w:val="20"/>
        </w:rPr>
        <w:t>LP Unit Transactions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changes in our outstanding depositary units during each of the years ended December 31, 2023, 2022 and 2021.</w:t>
      </w:r>
    </w:p>
    <w:p>
      <w:pPr>
        <w:pStyle w:val="TextBody"/>
        <w:bidi w:val="0"/>
        <w:spacing w:before="0" w:after="0"/>
        <w:ind w:left="0" w:right="0" w:hanging="0"/>
        <w:jc w:val="left"/>
        <w:rPr/>
      </w:pPr>
      <w:r>
        <w:rPr/>
        <w:t>​</w:t>
      </w:r>
    </w:p>
    <w:tbl>
      <w:tblPr>
        <w:tblW w:w="6997" w:type="dxa"/>
        <w:jc w:val="left"/>
        <w:tblInd w:w="0" w:type="dxa"/>
        <w:tblLayout w:type="fixed"/>
        <w:tblCellMar>
          <w:top w:w="0" w:type="dxa"/>
          <w:left w:w="0" w:type="dxa"/>
          <w:bottom w:w="0" w:type="dxa"/>
          <w:right w:w="0" w:type="dxa"/>
        </w:tblCellMar>
      </w:tblPr>
      <w:tblGrid>
        <w:gridCol w:w="2386"/>
        <w:gridCol w:w="326"/>
        <w:gridCol w:w="1351"/>
        <w:gridCol w:w="326"/>
        <w:gridCol w:w="1096"/>
        <w:gridCol w:w="326"/>
        <w:gridCol w:w="11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515110" cy="175260"/>
                      <wp:effectExtent l="0" t="0" r="0" b="0"/>
                      <wp:wrapNone/>
                      <wp:docPr id="450" name="Frame45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857885" cy="175260"/>
                      <wp:effectExtent l="0" t="0" r="0" b="0"/>
                      <wp:wrapNone/>
                      <wp:docPr id="452" name="Frame45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5960" cy="175260"/>
                      <wp:effectExtent l="0" t="0" r="0" b="0"/>
                      <wp:wrapNone/>
                      <wp:docPr id="454" name="Frame45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753110" cy="175260"/>
                      <wp:effectExtent l="0" t="0" r="0" b="0"/>
                      <wp:wrapNone/>
                      <wp:docPr id="456" name="Frame45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Mr. Icahn and </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Public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Affiliates </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Unitholders</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257,047,260</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36,355,983</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293,403,243</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 distributions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42,950,364</w:t>
            </w:r>
          </w:p>
        </w:tc>
        <w:tc>
          <w:tcPr>
            <w:tcW w:w="326" w:type="dxa"/>
            <w:tcBorders/>
            <w:vAlign w:val="center"/>
          </w:tcPr>
          <w:p>
            <w:pPr>
              <w:pStyle w:val="TableContents"/>
              <w:bidi w:val="0"/>
              <w:spacing w:before="0" w:after="1"/>
              <w:ind w:left="0" w:right="0" w:hanging="0"/>
              <w:jc w:val="righ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2,569,961</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45,520,325</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2017 Incentive Plan</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29,342</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At-the-market offerings</w:t>
            </w:r>
          </w:p>
        </w:tc>
        <w:tc>
          <w:tcPr>
            <w:tcW w:w="326" w:type="dxa"/>
            <w:tcBorders/>
            <w:vAlign w:val="center"/>
          </w:tcPr>
          <w:p>
            <w:pPr>
              <w:pStyle w:val="TableContents"/>
              <w:bidi w:val="0"/>
              <w:spacing w:before="0" w:after="1"/>
              <w:ind w:left="0" w:right="0" w:hanging="0"/>
              <w:jc w:val="left"/>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14,619,272</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14,619,272</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299,997,624</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53,574,558</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353,572,182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 distributions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67,882,278</w:t>
            </w:r>
          </w:p>
        </w:tc>
        <w:tc>
          <w:tcPr>
            <w:tcW w:w="326" w:type="dxa"/>
            <w:tcBorders/>
            <w:vAlign w:val="center"/>
          </w:tcPr>
          <w:p>
            <w:pPr>
              <w:pStyle w:val="TableContents"/>
              <w:bidi w:val="0"/>
              <w:spacing w:before="0" w:after="1"/>
              <w:ind w:left="0" w:right="0" w:hanging="0"/>
              <w:jc w:val="righ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4,178,455</w:t>
            </w:r>
          </w:p>
        </w:tc>
        <w:tc>
          <w:tcPr>
            <w:tcW w:w="326" w:type="dxa"/>
            <w:tcBorders/>
            <w:vAlign w:val="center"/>
          </w:tcPr>
          <w:p>
            <w:pPr>
              <w:pStyle w:val="TableContents"/>
              <w:bidi w:val="0"/>
              <w:spacing w:before="0" w:after="1"/>
              <w:ind w:left="0" w:right="0" w:hanging="0"/>
              <w:jc w:val="righ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72,060,733</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2017 Incentive Plan</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4,973</w:t>
            </w:r>
          </w:p>
        </w:tc>
        <w:tc>
          <w:tcPr>
            <w:tcW w:w="326" w:type="dxa"/>
            <w:tcBorders/>
            <w:shd w:fill="CCEEFF" w:val="clear"/>
            <w:vAlign w:val="center"/>
          </w:tcPr>
          <w:p>
            <w:pPr>
              <w:pStyle w:val="TableContents"/>
              <w:bidi w:val="0"/>
              <w:spacing w:before="0" w:after="1"/>
              <w:ind w:left="0" w:right="0" w:hanging="0"/>
              <w:jc w:val="righ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4,973</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At-the-market offerings</w:t>
            </w:r>
          </w:p>
        </w:tc>
        <w:tc>
          <w:tcPr>
            <w:tcW w:w="32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3,395,353</w:t>
            </w:r>
          </w:p>
        </w:tc>
        <w:tc>
          <w:tcPr>
            <w:tcW w:w="326" w:type="dxa"/>
            <w:tcBorders/>
            <w:vAlign w:val="center"/>
          </w:tcPr>
          <w:p>
            <w:pPr>
              <w:pStyle w:val="TableContents"/>
              <w:bidi w:val="0"/>
              <w:spacing w:before="0" w:after="1"/>
              <w:ind w:left="0" w:right="0" w:hanging="0"/>
              <w:jc w:val="righ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3,395,353</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367,879,902</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61,153,339</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429,033,241</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23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Excluding us and Brett Icahn</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each of the years ended December 31, 2023, 2022 and 2021, we declared four quarterly distributions. Depositary unitholders were given the option to make an election to receive the distributions in either cash or additional depositary units. If a holder did not make a timely election, it was automatically deemed to have elected to receive the distributions in additional depositary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2023, we declared four quarterly distributions aggregating $6.00 per share. In connection with these distributions, we distributed an aggregate of 72,060,733 depositary units to unitholders who did not elect to receive cash, of which an aggregate of 67,882,278 depositary units were distributed to Mr. Icahn and his affiliates. The aggregate cash distributions to all depositary unitholders that made a timely election to receive cash was $301 million, of which $70 million was distributed to Mr. Icahn and his affiliates, for the year ended December 31,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2022, we declared four quarterly distributions aggregating $8.00 per share. In connection with these distributions, we distributed an aggregate of 45,520,325 depositary units to unitholders who did not elect to receive cash, of which an aggregate of 42,950,364 depositary units were distributed to Mr. Icahn and his affiliates. The aggregate cash distributions to all depositary unitholders that made a timely election to receive cash was $222 million, of which $0 was distributed to Mr. Icahn and his affiliates, for the year ended December 31, 2022.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May 2019, Icahn Enterprises entered into an Open Market Sale Agreement for the sale of its depositary units, from time to time, for up to $400 million in aggregate sale proceeds, under its ongoing “at-the-market” offering. This agreement has been subsequently terminated and superseded by subsequent agreements with substantially the same terms. During the year ended December 31, 2023, Icahn Enterprises sold 3,395,353 depositary units pursuant to its current agreement, resulting in gross proceeds of $175 million. As of December 31, 2023, we continue to have an Open Market Sale Agreement and Icahn Enterprises may sell its depositary units for up to an additional $149 million in aggregate gross sale proceeds pursuant to this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December 31, 2023, the Company has not repurchased any of the Company’s depositary units and the Company has repurchased $92 million worth of senior notes in aggregate under the Repurchase Program.</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2017 Incentive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years ended December 31, 2023, 2022 and 2021, we distributed depositary units, to Brett Icahn net of payroll withholdings, with respect to certain restricted depositary units and deferred unit awards that vested during the respective periods in connection with the Icahn Enterprises L.P. 2017 Long Term Incentive Plan (the “2017 Incentive Plan”). The aggregate impact of the units distributed pursuant to the 2017 Incentive Plan is not material with respect to our consolidated financial statements, including the calculation of potentially dilutive units and diluted income per LP unit.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Segment and Geographic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 Our condensed statements of operations and balance sheets by reporting segment are presented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b/>
          <w:sz w:val="20"/>
        </w:rPr>
      </w:pPr>
      <w:bookmarkStart w:id="1285" w:name="Tc__xJ8REqkJEWTun_s6FTgZA_27_26"/>
      <w:bookmarkStart w:id="1286" w:name="Tc_91U3sgP2ukaky3oEhhhXNQ_27_23"/>
      <w:bookmarkStart w:id="1287" w:name="Tc_G57Rami1FE23cNk6O0C4VA_27_20"/>
      <w:bookmarkStart w:id="1288" w:name="Tc_J80L5D2FtEyjdZac1SBk1g_27_17"/>
      <w:bookmarkStart w:id="1289" w:name="Tc_f6oPFSpq2UuMvTtkldrHzQ_27_14"/>
      <w:bookmarkStart w:id="1290" w:name="Tc_4s6RytdnuEarMjf9d-H92A_27_11"/>
      <w:bookmarkStart w:id="1291" w:name="Tc_cteIA1JtfEKoMJ5yRlYB_w_27_8"/>
      <w:bookmarkStart w:id="1292" w:name="Tc_OdJa_aJ94UKVKyMfT5TfRw_27_5"/>
      <w:bookmarkStart w:id="1293" w:name="Tc_678JloZAVECOfPOc-LhDxQ_27_3"/>
      <w:bookmarkStart w:id="1294" w:name="Tc_tokQgXPRJkuMY67zj_UZNQ_27_2"/>
      <w:bookmarkStart w:id="1295" w:name="Tc_xD_ZiwFph0GtKbpU3NbRiQ_27_0"/>
      <w:bookmarkStart w:id="1296" w:name="Tc_FEQqqW2TBE6kr9r86P1sYw_26_26"/>
      <w:bookmarkStart w:id="1297" w:name="Tc_z8idaaRd_0qkgAxSFiWzLQ_26_24"/>
      <w:bookmarkStart w:id="1298" w:name="Tc_bEU4hadn8kaePjedSB1HVg_26_23"/>
      <w:bookmarkStart w:id="1299" w:name="Tc_a3MZR485e0SbkA-8a7XOVw_26_21"/>
      <w:bookmarkStart w:id="1300" w:name="Tc_ysQG_LQoUka9tB5VQ8_Q1g_26_20"/>
      <w:bookmarkStart w:id="1301" w:name="Tc_h_OiNQptCkugxBA2nca4Ig_26_17"/>
      <w:bookmarkStart w:id="1302" w:name="Tc_qc2RxmZihUyo5ukOvof2wA_26_14"/>
      <w:bookmarkStart w:id="1303" w:name="Tc_eDdT7Pgv_EWJJHZo7XxtPQ_26_11"/>
      <w:bookmarkStart w:id="1304" w:name="Tc_UKGA3IKqFUWqBYFprYA-ig_26_8"/>
      <w:bookmarkStart w:id="1305" w:name="Tc_HCS-vZ5nkEefdtBWErlBJw_26_5"/>
      <w:bookmarkStart w:id="1306" w:name="Tc_CwJML-d2L06QXNcL2AFYRw_26_3"/>
      <w:bookmarkStart w:id="1307" w:name="Tc_p1NN9dQD9kyb69dytKR-4Q_26_2"/>
      <w:bookmarkStart w:id="1308" w:name="Tc_mxs6b3bI1Ee2-wcjgk5cKQ_26_0"/>
      <w:bookmarkStart w:id="1309" w:name="Tc_Rt5fs8A8Uk63gNi7y-4ifg_25_0"/>
      <w:bookmarkStart w:id="1310" w:name="Tc_JbiIB3AJxEiPALiX9iO9Hw_24_26"/>
      <w:bookmarkStart w:id="1311" w:name="Tc_C5F2815IxUO4zwerHDxcsQ_24_23"/>
      <w:bookmarkStart w:id="1312" w:name="Tc_OTEt7ea1IUSCAaP37cJZRA_24_20"/>
      <w:bookmarkStart w:id="1313" w:name="Tc_YKDnxFqZ1E-IIEMsscCaZA_24_17"/>
      <w:bookmarkStart w:id="1314" w:name="Tc_Z7PbiiJGUEKQ4wAuQ6XPJw_24_14"/>
      <w:bookmarkStart w:id="1315" w:name="Tc_JuiuNS1GEEyUTzDfAYdkVA_24_11"/>
      <w:bookmarkStart w:id="1316" w:name="Tc_C1t9HBA6-US4z-OQ6LrtzA_24_8"/>
      <w:bookmarkStart w:id="1317" w:name="Tc_38PTHwD3vUCsHoymlFTwSw_24_5"/>
      <w:bookmarkStart w:id="1318" w:name="Tc_TFdFu2nAHk2c5SGPfA1ONQ_24_2"/>
      <w:bookmarkStart w:id="1319" w:name="Tc_2zu5wgZJg0SwLZEupvuJ0g_24_0"/>
      <w:bookmarkStart w:id="1320" w:name="Tc_kFVzQDjXlUyHl3_T-moCKg_23_24"/>
      <w:bookmarkStart w:id="1321" w:name="Tc_yX72xu6Bxk6ybMScXnnhfw_23_21"/>
      <w:bookmarkStart w:id="1322" w:name="Tc_MRcEizr8YUWbj0VywGrXlA_23_18"/>
      <w:bookmarkStart w:id="1323" w:name="Tc_AIB-aNYd70ymm1zeQv2B2Q_23_15"/>
      <w:bookmarkStart w:id="1324" w:name="Tc_UVnrpW-Nn0qSGHwCbtP_EA_23_12"/>
      <w:bookmarkStart w:id="1325" w:name="Tc_BggiHRHtKEecxjs-7ri1mA_23_9"/>
      <w:bookmarkStart w:id="1326" w:name="Tc_e_6vQd_IxE2YQK5D8F_51g_23_0"/>
      <w:bookmarkStart w:id="1327" w:name="Tc_Lq8uAdrsP0KSHtyjBYpdhg_22_0"/>
      <w:bookmarkStart w:id="1328" w:name="Tc_SduJ8J7zHEWMORBpRTg6tA_21_21"/>
      <w:bookmarkStart w:id="1329" w:name="Tc_9-6v1K2oYEWOmbTbkToGug_21_18"/>
      <w:bookmarkStart w:id="1330" w:name="Tc_aumsI1-2eUmKBYBXjN20DA_21_15"/>
      <w:bookmarkStart w:id="1331" w:name="Tc_XEV5NrqZVEuJngx7H0AMYQ_21_3"/>
      <w:bookmarkStart w:id="1332" w:name="Tc_D4pT3FNlT0-vLePHRVjZiA_21_0"/>
      <w:bookmarkStart w:id="1333" w:name="Tc_6MJ85wBI10aBjL3yx2fBxg_20_0"/>
      <w:bookmarkStart w:id="1334" w:name="Tc_faZK7-GZzUOI0bxegT3VnQ_18_21"/>
      <w:bookmarkStart w:id="1335" w:name="Tc_Z49iCZgatEy_1VJgZX_34g_18_15"/>
      <w:bookmarkStart w:id="1336" w:name="Tc_NC8NBD7_VUiFWPpDmvE7gw_18_0"/>
      <w:bookmarkStart w:id="1337" w:name="Tc_3-eU0WER_Uy2iyVR5djDiA_17_27"/>
      <w:bookmarkStart w:id="1338" w:name="Tc_vIT98PRzSk-WQKMNhDpl7A_17_24"/>
      <w:bookmarkStart w:id="1339" w:name="Tc_RnQ6Bqg750eE8GFk6e6bXg_17_21"/>
      <w:bookmarkStart w:id="1340" w:name="Tc_AngJEar0kEeVv_O9eAwT0A_17_18"/>
      <w:bookmarkStart w:id="1341" w:name="Tc_6zKMysEiUEKC2G2czgolgA_17_15"/>
      <w:bookmarkStart w:id="1342" w:name="Tc_ayGV6gJAKUWBym5N_RbyIQ_17_12"/>
      <w:bookmarkStart w:id="1343" w:name="Tc_6Y7TJ-M19k-KeRMrIONkfA_17_9"/>
      <w:bookmarkStart w:id="1344" w:name="Tc_6aQgGj0DfUKCTWChvEfglQ_17_6"/>
      <w:bookmarkStart w:id="1345" w:name="Tc_He36fp7Bok2Oi9-pDktcdg_17_3"/>
      <w:bookmarkStart w:id="1346" w:name="Tc_bh7LkrrnQ0SrV4tr2zIocw_17_0"/>
      <w:bookmarkStart w:id="1347" w:name="Tc_Q4QpZf3u9U2exLLazwcGTA_16_24"/>
      <w:bookmarkStart w:id="1348" w:name="Tc_kAznOPoS9kS_jTJJvDjxIA_16_21"/>
      <w:bookmarkStart w:id="1349" w:name="Tc_PwqdIn2OxUiT_HLhTL31Rg_16_15"/>
      <w:bookmarkStart w:id="1350" w:name="Tc_GJoO0kTy402QEe5HQcR7IA_16_12"/>
      <w:bookmarkStart w:id="1351" w:name="Tc_Xq4FYWqg3ke_5yGXbihq8w_16_9"/>
      <w:bookmarkStart w:id="1352" w:name="Tc_2N34Y20_skeg2FQIOZxT7A_16_6"/>
      <w:bookmarkStart w:id="1353" w:name="Tc_HDEKY8fuwE2ShQ7yH0ZSbQ_16_3"/>
      <w:bookmarkStart w:id="1354" w:name="Tc_3uBNmYnoF02cRW7oNPx0Iw_16_0"/>
      <w:bookmarkStart w:id="1355" w:name="Tc_39ALGEzfPkWUjnLWjYNe-w_15_0"/>
      <w:bookmarkStart w:id="1356" w:name="Tc_fRXjDtIlWE-hwrBw9ptkpA_14_24"/>
      <w:bookmarkStart w:id="1357" w:name="Tc_-liZAIveP0OX6gkXmNdAEQ_14_21"/>
      <w:bookmarkStart w:id="1358" w:name="Tc_iXRYjChAh0K9AeGD3Ej9fg_14_18"/>
      <w:bookmarkStart w:id="1359" w:name="Tc_hhPrtUnUV0aYWZThmFlUBw_14_12"/>
      <w:bookmarkStart w:id="1360" w:name="Tc_-uQw83yz3kSgakgow9tygg_14_6"/>
      <w:bookmarkStart w:id="1361" w:name="Tc_qJkr5obTwkuQBxF1BLvOEA_14_3"/>
      <w:bookmarkStart w:id="1362" w:name="Tc_ONXNKXwiOECxOglD_nWppw_14_0"/>
      <w:bookmarkStart w:id="1363" w:name="Tc_dESUosv4Rkub1A-wW62iKA_13_24"/>
      <w:bookmarkStart w:id="1364" w:name="Tc_Sclvs6lzs02sRAS3TEx-qA_13_3"/>
      <w:bookmarkStart w:id="1365" w:name="Tc_MX4_ypXquUmU3vNvlA9lkA_13_0"/>
      <w:bookmarkStart w:id="1366" w:name="Tc_Kz5ht_yJ90S9Oa0s86IFXA_12_0"/>
      <w:bookmarkStart w:id="1367" w:name="Tc_QvErslczt0ONqmq874s2HQ_10_18"/>
      <w:bookmarkStart w:id="1368" w:name="Tc_ZnQFhGg5R02RkjgbyB_IZg_10_15"/>
      <w:bookmarkStart w:id="1369" w:name="Tc_Dm_Uwgz5Z0mVJOBt-Iwl4g_10_0"/>
      <w:bookmarkStart w:id="1370" w:name="Tc_WQGQiI1JNU-SRFNcu96j4w_9_24"/>
      <w:bookmarkStart w:id="1371" w:name="Tc_tD3r451GeUG4rrhoMOYbFQ_9_21"/>
      <w:bookmarkStart w:id="1372" w:name="Tc_UiZ8vnsGB0ObS2FHtb_EuQ_9_18"/>
      <w:bookmarkStart w:id="1373" w:name="Tc_Y9IQzPLfi0mEoVlIQ0ctcw_9_15"/>
      <w:bookmarkStart w:id="1374" w:name="Tc_cECVF4Crf0yM1xM6HBtyIQ_9_12"/>
      <w:bookmarkStart w:id="1375" w:name="Tc_J_7KzSNLvU2XQHWmVQo0ug_9_3"/>
      <w:bookmarkStart w:id="1376" w:name="Tc_Y4yAe-TIy0mA9qg-JyEm_w_9_0"/>
      <w:bookmarkStart w:id="1377" w:name="Tc_3r0pOFAYC0OHXFX0h1Hzng_8_18"/>
      <w:bookmarkStart w:id="1378" w:name="Tc_BwIRRwo610WgGbfsPq9CJQ_8_15"/>
      <w:bookmarkStart w:id="1379" w:name="Tc_j3BHwQiUvEykmHWizgVShw_8_12"/>
      <w:bookmarkStart w:id="1380" w:name="Tc_aIa1ir9Z5E60AFR9haKGZA_8_9"/>
      <w:bookmarkStart w:id="1381" w:name="Tc_gR5pb1512UW3j7dPrDk1mg_8_0"/>
      <w:bookmarkStart w:id="1382" w:name="Tc_JeI0vapDnU-g0-nSrIjKsg_7_21"/>
      <w:bookmarkStart w:id="1383" w:name="Tc_bUPQ5vsGnUuW2H0-8TN8LA_7_18"/>
      <w:bookmarkStart w:id="1384" w:name="Tc_nC8S0WvkD0eYefC8vJcWUg_7_15"/>
      <w:bookmarkStart w:id="1385" w:name="Tc_47L6DmuvvEmfP3cftnUBMA_7_12"/>
      <w:bookmarkStart w:id="1386" w:name="Tc_teAGjIIFLkejztKfTPlC9A_7_9"/>
      <w:bookmarkStart w:id="1387" w:name="Tc_AcIhzgI-o02TRdCasSFveg_7_6"/>
      <w:bookmarkStart w:id="1388" w:name="Tc_UqIBjUToYkGu-qwGXITP5Q_7_0"/>
      <w:bookmarkStart w:id="1389" w:name="Tc_q8y0C6YWwUeRGtzmI5vwFQ_6_24"/>
      <w:bookmarkStart w:id="1390" w:name="Tc_PUBRrEf2W0OupckRuaPFOQ_6_18"/>
      <w:bookmarkStart w:id="1391" w:name="Tc_S3WktEN2JUyM1uzXd62hAA_6_12"/>
      <w:bookmarkStart w:id="1392" w:name="Tc_zNiOeAuMpU2tHXWM5vqQSQ_6_6"/>
      <w:bookmarkStart w:id="1393" w:name="Tc_DSSUdwWYKE6IM3KhW9bWwQ_6_3"/>
      <w:bookmarkStart w:id="1394" w:name="Tc_lHbuP9rw-0q3P9pYMGIgFg_6_0"/>
      <w:bookmarkStart w:id="1395" w:name="Tc_SckzAQdvfUuN9woxv66jww_5_26"/>
      <w:bookmarkStart w:id="1396" w:name="Tc_Vg6tt4h2vE6YzNPIDg0uQw_5_24"/>
      <w:bookmarkStart w:id="1397" w:name="Tc_WtTRZpAGzE6Y5w03upjkkw_5_23"/>
      <w:bookmarkStart w:id="1398" w:name="Tc_ArHlVeuFBkiqm57mZYXcmg_5_20"/>
      <w:bookmarkStart w:id="1399" w:name="Tc_MKjCsbhf-kiRuePNuS2yjQ_5_17"/>
      <w:bookmarkStart w:id="1400" w:name="Tc_iyVwTU_lkEiBaM_yY0ZvRw_5_14"/>
      <w:bookmarkStart w:id="1401" w:name="Tc_H3N_1WsszEulwHBY-1jbgQ_5_11"/>
      <w:bookmarkStart w:id="1402" w:name="Tc__z6HYzXfGEa-FUwiVzioWQ_5_8"/>
      <w:bookmarkStart w:id="1403" w:name="Tc_-xsrf8IcNkS5bCIuVlgXVw_5_5"/>
      <w:bookmarkStart w:id="1404" w:name="Tc_o8eqanqyK0G9bMQi1Lo77Q_5_3"/>
      <w:bookmarkStart w:id="1405" w:name="Tc_-kRtcM9HCkGJK9YDDqqyHA_5_2"/>
      <w:bookmarkStart w:id="1406" w:name="Tc_UX08O7hOZEGdZjjA5wL4wQ_5_0"/>
      <w:bookmarkStart w:id="1407" w:name="Tc_VxGtPIUmJ0GBC_z8Eqg7ZQ_4_0"/>
      <w:bookmarkStart w:id="1408" w:name="Tc_g_B4VXGryk-J-d5313cacw_3_2"/>
      <w:bookmarkStart w:id="1409" w:name="Tc_vwcM09n9LESalA3LB6XMdw_2_26"/>
      <w:bookmarkStart w:id="1410" w:name="Tc_L8wNPSvns0e0DsCGawYoVg_2_23"/>
      <w:bookmarkStart w:id="1411" w:name="Tc_IPBpahyA10CSgwGjkO5z3A_2_20"/>
      <w:bookmarkStart w:id="1412" w:name="Tc_JcMJwXpxJkOAytVLlJjEfg_2_17"/>
      <w:bookmarkStart w:id="1413" w:name="Tc_FXNfJlQVCUmPgsfh2kmvAg_2_14"/>
      <w:bookmarkStart w:id="1414" w:name="Tc_qmCjIPZeTkeGlsHQkLbjXA_2_11"/>
      <w:bookmarkStart w:id="1415" w:name="Tc_E3DqtrbGOUmre4siOW7fgQ_2_8"/>
      <w:bookmarkStart w:id="1416" w:name="Tc_FDu9AZ_GBE6AZ93NyhApww_2_5"/>
      <w:bookmarkStart w:id="1417" w:name="Tc_5e22wVbte0CDh4hbAJXP-Q_2_2"/>
      <w:bookmarkStart w:id="1418" w:name="Tc_pHeEJDmJT06J1yZCBJIdpQ_1_2"/>
      <w:bookmarkStart w:id="1419" w:name="_41b9e9c8_e567_484f_9522_944f36ab9a58"/>
      <w:bookmarkStart w:id="1420" w:name="Tc_ptjexWT190qkCgxVkEzsKw_29_26"/>
      <w:bookmarkStart w:id="1421" w:name="Tc__H1bXczP-06yuhd7Q8tGoQ_29_23"/>
      <w:bookmarkStart w:id="1422" w:name="Tc_NDdM6ztlzES90x5FgZupIg_29_20"/>
      <w:bookmarkStart w:id="1423" w:name="Tc_mnzSLl6pA0O_AOrUrIh8pg_29_17"/>
      <w:bookmarkStart w:id="1424" w:name="Tc_WDN9fOlmrUaUgGISElJtFg_29_14"/>
      <w:bookmarkStart w:id="1425" w:name="Tc_R9amXVC97E610pReZCboaQ_29_11"/>
      <w:bookmarkStart w:id="1426" w:name="Tc_PCkPPmZ_F0qDAQqQTfjghg_29_8"/>
      <w:bookmarkStart w:id="1427" w:name="Tc_z223Ui2OiEGNyx4g8YzrHA_29_5"/>
      <w:bookmarkStart w:id="1428" w:name="Tc_usfuA9-SpEWLA8-vDMHIYA_29_2"/>
      <w:bookmarkStart w:id="1429" w:name="Tc_ysCmOAtsH0epREBuoaIW5g_29_0"/>
      <w:bookmarkStart w:id="1430" w:name="Tc_UofxaHwePEyms7rAGDqi1w_28_26"/>
      <w:bookmarkStart w:id="1431" w:name="Tc_mtQoiFeYfEON0eL4f-ziVg_28_23"/>
      <w:bookmarkStart w:id="1432" w:name="Tc_KRJDUATz-UCb8IG5XTx2cw_28_20"/>
      <w:bookmarkStart w:id="1433" w:name="Tc_ZG2sA6-wP0O8NNvEBYaBZQ_28_17"/>
      <w:bookmarkStart w:id="1434" w:name="Tc_KP1vcnRbvUaryoZBVst9aQ_28_14"/>
      <w:bookmarkStart w:id="1435" w:name="Tc_0gV_OMybyEWkgl-ilXj9WA_28_11"/>
      <w:bookmarkStart w:id="1436" w:name="Tc_Okwnt7ZeikmrdQUZAW095A_28_8"/>
      <w:bookmarkStart w:id="1437" w:name="Tc_n3sMkibj_0yrs-8VBrrWCg_28_5"/>
      <w:bookmarkStart w:id="1438" w:name="Tc_6F822udNHkWaxVuajwRVcA_28_2"/>
      <w:bookmarkStart w:id="1439" w:name="Tc_RmmVsgYNikWO3_eE8e4X9w_28_0"/>
      <w:bookmarkStart w:id="1440" w:name="Tc_iaVW2YAOY0-KatU856vJVw_27_0"/>
      <w:bookmarkStart w:id="1441" w:name="Tc_DDgg_r4t5ESfBtGt4Mojsg_26_26"/>
      <w:bookmarkStart w:id="1442" w:name="Tc_Bm-YUkpjQEiohZw7OaBSkw_26_23"/>
      <w:bookmarkStart w:id="1443" w:name="Tc_EJvqMIOtiUSErFRhAg3e3w_26_20"/>
      <w:bookmarkStart w:id="1444" w:name="Tc_65chN-Xr_Ee5DDSwocd5Ag_26_17"/>
      <w:bookmarkStart w:id="1445" w:name="Tc__rXHdy9AdkC7GK2heCU1Rg_26_14"/>
      <w:bookmarkStart w:id="1446" w:name="Tc_LQ3qPpEzmUexUC9HUQDU5g_26_11"/>
      <w:bookmarkStart w:id="1447" w:name="Tc_xvqa__0Ir0yY-e1eOfnefA_26_8"/>
      <w:bookmarkStart w:id="1448" w:name="Tc_CwOhFs9hvEeDiNOmAe3Fxg_26_5"/>
      <w:bookmarkStart w:id="1449" w:name="Tc_ShgWsq5-HU2_eb_nOOAQ0w_26_2"/>
      <w:bookmarkStart w:id="1450" w:name="Tc_kL5RlM0FwUGA2kXu34LXmQ_26_0"/>
      <w:bookmarkStart w:id="1451" w:name="Tc_tdZuZOkxJUOehmt6rdJvaQ_25_15"/>
      <w:bookmarkStart w:id="1452" w:name="Tc_JyNYq1YE90Go9YkmqO1Vpw_25_0"/>
      <w:bookmarkStart w:id="1453" w:name="Tc_bixuHm3mJUy2OWBG2uSvJg_24_0"/>
      <w:bookmarkStart w:id="1454" w:name="Tc_sPxrYRHLbUeXLMQ21qgLYQ_23_15"/>
      <w:bookmarkStart w:id="1455" w:name="Tc_gfyFa6FOq0qXTZJNzOhL-Q_23_0"/>
      <w:bookmarkStart w:id="1456" w:name="Tc_AR9iwixM4EGr3WO_o02EZg_22_0"/>
      <w:bookmarkStart w:id="1457" w:name="Tc_ExEhIL9EPUG7sj1UD6v71g_20_15"/>
      <w:bookmarkStart w:id="1458" w:name="Tc_vBWB4jQ6zEq55jftlYznpg_20_0"/>
      <w:bookmarkStart w:id="1459" w:name="Tc_I4WqUqOKokKqm_g9pKgoFA_19_15"/>
      <w:bookmarkStart w:id="1460" w:name="Tc_lJvBOXzdWkiocJECiE_OCA_19_0"/>
      <w:bookmarkStart w:id="1461" w:name="Tc_knzBJwnao0Kn0ocxMQXH2w_18_15"/>
      <w:bookmarkStart w:id="1462" w:name="Tc_7UObTRKXjEGBbDs8HAkm2w_18_0"/>
      <w:bookmarkStart w:id="1463" w:name="Tc_YZ6cX48KJ0ynDWSujyHXHQ_17_15"/>
      <w:bookmarkStart w:id="1464" w:name="Tc_OygEJ-AvEUOxFnrGxVxDvQ_17_0"/>
      <w:bookmarkStart w:id="1465" w:name="Tc_dY1QlIHkz0u5ytO1vmzQDA_16_15"/>
      <w:bookmarkStart w:id="1466" w:name="Tc_vvfmtaBl2UKB32u0lzTzPw_16_0"/>
      <w:bookmarkStart w:id="1467" w:name="Tc_p7DDB547EkmNP9848suWiw_15_0"/>
      <w:bookmarkStart w:id="1468" w:name="Tc_Dz6_Fm1juESiYqPN2XjhPQ_14_0"/>
      <w:bookmarkStart w:id="1469" w:name="Tc_fRW_KBPyEkyAbxgEbwEP8Q_13_0"/>
      <w:bookmarkStart w:id="1470" w:name="Tc_vKK5_oq1Q0mP55DVzCFGmg_12_0"/>
      <w:bookmarkStart w:id="1471" w:name="Tc_DIq5PM_G4kmpqMx-6BxqVw_10_0"/>
      <w:bookmarkStart w:id="1472" w:name="Tc__q0o0B154EGjMEGGEqj0Kg_9_15"/>
      <w:bookmarkStart w:id="1473" w:name="Tc_IabRWthMlUKZlwbjg85S_A_9_0"/>
      <w:bookmarkStart w:id="1474" w:name="Tc__Fp71c8jIEuij07vJRJHPw_8_15"/>
      <w:bookmarkStart w:id="1475" w:name="Tc_DhdDxAIkTE6Sc2fmXIC0qg_8_0"/>
      <w:bookmarkStart w:id="1476" w:name="Tc_6WrHU0_tGkGlYfxenNuF8A_7_15"/>
      <w:bookmarkStart w:id="1477" w:name="Tc_c90nDCCvTk6_TUPosAtxIw_7_0"/>
      <w:bookmarkStart w:id="1478" w:name="Tc_uOi0doMoLEaR2neai0U6ng_6_0"/>
      <w:bookmarkStart w:id="1479" w:name="Tc_t1xUErcxvEGPJ-YMCJ36Jg_5_26"/>
      <w:bookmarkStart w:id="1480" w:name="Tc_sxvMYhB0Nkqd2dnGihBChw_5_23"/>
      <w:bookmarkStart w:id="1481" w:name="Tc_4zA6XLVaaUyB9kx8o6l3cg_5_20"/>
      <w:bookmarkStart w:id="1482" w:name="Tc_nX7C_y7hVE2CQNCz52pHAQ_5_17"/>
      <w:bookmarkStart w:id="1483" w:name="Tc_pC5jG8ELu02b6DTk5-UGwQ_5_14"/>
      <w:bookmarkStart w:id="1484" w:name="Tc_Vdf2C6HwAkeJ-aR8-eMtAA_5_11"/>
      <w:bookmarkStart w:id="1485" w:name="Tc_NEpjaliZk0WVIR8H1ncZew_5_8"/>
      <w:bookmarkStart w:id="1486" w:name="Tc_kvN9gwQPWU6r5sN-GgPZog_5_5"/>
      <w:bookmarkStart w:id="1487" w:name="Tc_xu1JJ94u1E-EKVpUN9E7Ww_5_2"/>
      <w:bookmarkStart w:id="1488" w:name="Tc_M1CkVWgbuEO1JjfYYxDEFg_5_0"/>
      <w:bookmarkStart w:id="1489" w:name="Tc_9ytv8q4UGUqljGltUyOhAg_4_0"/>
      <w:bookmarkStart w:id="1490" w:name="Tc_-GqnpnYBCke8GQop9Vh7lQ_3_2"/>
      <w:bookmarkStart w:id="1491" w:name="Tc_0SkTIezbqUakucIpbOyxBw_2_26"/>
      <w:bookmarkStart w:id="1492" w:name="Tc_KjWI7T4Rnkenzk0rpCwwhg_2_23"/>
      <w:bookmarkStart w:id="1493" w:name="Tc_T7scj2UQ3UihEy-Og7tx1g_2_20"/>
      <w:bookmarkStart w:id="1494" w:name="Tc_CMO2sjfnJ0KJNIYLRBdPTw_2_17"/>
      <w:bookmarkStart w:id="1495" w:name="Tc_4Gg0z6KfJEaiNPowkh6wMQ_2_14"/>
      <w:bookmarkStart w:id="1496" w:name="Tc_eLethwzQ5kSa-3OrFZyJrg_2_11"/>
      <w:bookmarkStart w:id="1497" w:name="Tc_rEsfrWiIpkGuQw4A-LHZwg_2_8"/>
      <w:bookmarkStart w:id="1498" w:name="Tc_94obtwT-sEaiiMMkkEs3Gg_2_5"/>
      <w:bookmarkStart w:id="1499" w:name="Tc_-6-PMw1SbkaNxBbgH3mNQw_2_2"/>
      <w:bookmarkStart w:id="1500" w:name="Tc_RRhTQJypXEOImhxp5WtDsA_1_2"/>
      <w:bookmarkStart w:id="1501" w:name="_d7bc5e75_7e50_4958_9493_6f1d13e7c7fd"/>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b/>
          <w:sz w:val="20"/>
        </w:rPr>
        <w:t>Condensed Statements of Operations</w:t>
      </w:r>
    </w:p>
    <w:p>
      <w:pPr>
        <w:pStyle w:val="TextBody"/>
        <w:bidi w:val="0"/>
        <w:spacing w:before="0" w:after="0"/>
        <w:ind w:left="0" w:right="0" w:hanging="0"/>
        <w:jc w:val="left"/>
        <w:rPr/>
      </w:pPr>
      <w:r>
        <w:rPr/>
        <w:t>​</w:t>
      </w:r>
    </w:p>
    <w:tbl>
      <w:tblPr>
        <w:tblW w:w="10221" w:type="dxa"/>
        <w:jc w:val="left"/>
        <w:tblInd w:w="0" w:type="dxa"/>
        <w:tblLayout w:type="fixed"/>
        <w:tblCellMar>
          <w:top w:w="0" w:type="dxa"/>
          <w:left w:w="0" w:type="dxa"/>
          <w:bottom w:w="0" w:type="dxa"/>
          <w:right w:w="0" w:type="dxa"/>
        </w:tblCellMar>
      </w:tblPr>
      <w:tblGrid>
        <w:gridCol w:w="1066"/>
        <w:gridCol w:w="326"/>
        <w:gridCol w:w="209"/>
        <w:gridCol w:w="557"/>
        <w:gridCol w:w="326"/>
        <w:gridCol w:w="181"/>
        <w:gridCol w:w="436"/>
        <w:gridCol w:w="326"/>
        <w:gridCol w:w="233"/>
        <w:gridCol w:w="563"/>
        <w:gridCol w:w="326"/>
        <w:gridCol w:w="252"/>
        <w:gridCol w:w="484"/>
        <w:gridCol w:w="326"/>
        <w:gridCol w:w="181"/>
        <w:gridCol w:w="346"/>
        <w:gridCol w:w="326"/>
        <w:gridCol w:w="201"/>
        <w:gridCol w:w="385"/>
        <w:gridCol w:w="326"/>
        <w:gridCol w:w="196"/>
        <w:gridCol w:w="375"/>
        <w:gridCol w:w="326"/>
        <w:gridCol w:w="219"/>
        <w:gridCol w:w="457"/>
        <w:gridCol w:w="326"/>
        <w:gridCol w:w="232"/>
        <w:gridCol w:w="714"/>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76910" cy="175260"/>
                      <wp:effectExtent l="0" t="0" r="0" b="0"/>
                      <wp:wrapNone/>
                      <wp:docPr id="457" name="Frame45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2715" cy="175260"/>
                      <wp:effectExtent l="0" t="0" r="0" b="0"/>
                      <wp:wrapNone/>
                      <wp:docPr id="459" name="Frame459"/>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353695" cy="175260"/>
                      <wp:effectExtent l="0" t="0" r="0" b="0"/>
                      <wp:wrapNone/>
                      <wp:docPr id="460" name="Frame46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14935" cy="175260"/>
                      <wp:effectExtent l="0" t="0" r="0" b="0"/>
                      <wp:wrapNone/>
                      <wp:docPr id="462" name="Frame4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76860" cy="175260"/>
                      <wp:effectExtent l="0" t="0" r="0" b="0"/>
                      <wp:wrapNone/>
                      <wp:docPr id="463" name="Frame46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47955" cy="175260"/>
                      <wp:effectExtent l="0" t="0" r="0" b="0"/>
                      <wp:wrapNone/>
                      <wp:docPr id="465" name="Frame46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57505" cy="175260"/>
                      <wp:effectExtent l="0" t="0" r="0" b="0"/>
                      <wp:wrapNone/>
                      <wp:docPr id="466" name="Frame466"/>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0020" cy="175260"/>
                      <wp:effectExtent l="0" t="0" r="0" b="0"/>
                      <wp:wrapNone/>
                      <wp:docPr id="468" name="Frame46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07340" cy="175260"/>
                      <wp:effectExtent l="0" t="0" r="0" b="0"/>
                      <wp:wrapNone/>
                      <wp:docPr id="469" name="Frame469"/>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14935" cy="175260"/>
                      <wp:effectExtent l="0" t="0" r="0" b="0"/>
                      <wp:wrapNone/>
                      <wp:docPr id="471" name="Frame4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27635" cy="175260"/>
                      <wp:effectExtent l="0" t="0" r="0" b="0"/>
                      <wp:wrapNone/>
                      <wp:docPr id="474" name="Frame47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44475" cy="175260"/>
                      <wp:effectExtent l="0" t="0" r="0" b="0"/>
                      <wp:wrapNone/>
                      <wp:docPr id="475" name="Frame475"/>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24460" cy="175260"/>
                      <wp:effectExtent l="0" t="0" r="0" b="0"/>
                      <wp:wrapNone/>
                      <wp:docPr id="477" name="Frame4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38125" cy="175260"/>
                      <wp:effectExtent l="0" t="0" r="0" b="0"/>
                      <wp:wrapNone/>
                      <wp:docPr id="478" name="Frame47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9065" cy="175260"/>
                      <wp:effectExtent l="0" t="0" r="0" b="0"/>
                      <wp:wrapNone/>
                      <wp:docPr id="480" name="Frame48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90195" cy="175260"/>
                      <wp:effectExtent l="0" t="0" r="0" b="0"/>
                      <wp:wrapNone/>
                      <wp:docPr id="481" name="Frame48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47320" cy="175260"/>
                      <wp:effectExtent l="0" t="0" r="0" b="0"/>
                      <wp:wrapNone/>
                      <wp:docPr id="483" name="Frame48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53390" cy="175260"/>
                      <wp:effectExtent l="0" t="0" r="0" b="0"/>
                      <wp:wrapNone/>
                      <wp:docPr id="484" name="Frame484"/>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 Ended December 31, 2023</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0"/>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0"/>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0"/>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21"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29"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center"/>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9,247</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11,077</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694</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770</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(1,575)</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(1,575)</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636</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2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(loss) gain, net</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(1,165)</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9,297</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1,754</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32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32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2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10,847</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8,019</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9,327</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581</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465</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852</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Credit loss on notes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deconsolidation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w:t>
            </w:r>
          </w:p>
        </w:tc>
      </w:tr>
      <w:tr>
        <w:trPr/>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8,277</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1,770</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c>
          <w:tcPr>
            <w:tcW w:w="32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w:t>
            </w:r>
          </w:p>
        </w:tc>
        <w:tc>
          <w:tcPr>
            <w:tcW w:w="32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11,769</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from continuing operations before income tax (expense)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vAlign w:val="center"/>
          </w:tcPr>
          <w:p>
            <w:pPr>
              <w:pStyle w:val="TableContents"/>
              <w:bidi w:val="0"/>
              <w:spacing w:before="0" w:after="0"/>
              <w:ind w:left="0" w:right="0" w:hanging="0"/>
              <w:jc w:val="left"/>
              <w:rPr/>
            </w:pPr>
            <w:r>
              <w:rPr/>
              <w:t> </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(504)</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(1,012)</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from continuing operations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from continuing operations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(504)</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(684)</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518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28"/>
        <w:gridCol w:w="326"/>
        <w:gridCol w:w="248"/>
        <w:gridCol w:w="518"/>
        <w:gridCol w:w="326"/>
        <w:gridCol w:w="181"/>
        <w:gridCol w:w="511"/>
        <w:gridCol w:w="326"/>
        <w:gridCol w:w="233"/>
        <w:gridCol w:w="563"/>
        <w:gridCol w:w="326"/>
        <w:gridCol w:w="253"/>
        <w:gridCol w:w="487"/>
        <w:gridCol w:w="326"/>
        <w:gridCol w:w="182"/>
        <w:gridCol w:w="348"/>
        <w:gridCol w:w="326"/>
        <w:gridCol w:w="203"/>
        <w:gridCol w:w="389"/>
        <w:gridCol w:w="326"/>
        <w:gridCol w:w="196"/>
        <w:gridCol w:w="375"/>
        <w:gridCol w:w="326"/>
        <w:gridCol w:w="222"/>
        <w:gridCol w:w="463"/>
        <w:gridCol w:w="146"/>
        <w:gridCol w:w="232"/>
        <w:gridCol w:w="719"/>
      </w:tblGrid>
      <w:tr>
        <w:trPr/>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16280" cy="175260"/>
                      <wp:effectExtent l="0" t="0" r="0" b="0"/>
                      <wp:wrapNone/>
                      <wp:docPr id="485" name="Frame485"/>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57480" cy="175260"/>
                      <wp:effectExtent l="0" t="0" r="0" b="0"/>
                      <wp:wrapNone/>
                      <wp:docPr id="487" name="Frame48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28930" cy="175260"/>
                      <wp:effectExtent l="0" t="0" r="0" b="0"/>
                      <wp:wrapNone/>
                      <wp:docPr id="488" name="Frame488"/>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14935" cy="175260"/>
                      <wp:effectExtent l="0" t="0" r="0" b="0"/>
                      <wp:wrapNone/>
                      <wp:docPr id="490" name="Frame4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24485" cy="175260"/>
                      <wp:effectExtent l="0" t="0" r="0" b="0"/>
                      <wp:wrapNone/>
                      <wp:docPr id="491" name="Frame4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47955" cy="175260"/>
                      <wp:effectExtent l="0" t="0" r="0" b="0"/>
                      <wp:wrapNone/>
                      <wp:docPr id="493" name="Frame49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57505" cy="175260"/>
                      <wp:effectExtent l="0" t="0" r="0" b="0"/>
                      <wp:wrapNone/>
                      <wp:docPr id="494" name="Frame494"/>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60655" cy="175260"/>
                      <wp:effectExtent l="0" t="0" r="0" b="0"/>
                      <wp:wrapNone/>
                      <wp:docPr id="496" name="Frame49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09245" cy="175260"/>
                      <wp:effectExtent l="0" t="0" r="0" b="0"/>
                      <wp:wrapNone/>
                      <wp:docPr id="497" name="Frame497"/>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15570" cy="175260"/>
                      <wp:effectExtent l="0" t="0" r="0" b="0"/>
                      <wp:wrapNone/>
                      <wp:docPr id="499" name="Frame499"/>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20980" cy="175260"/>
                      <wp:effectExtent l="0" t="0" r="0" b="0"/>
                      <wp:wrapNone/>
                      <wp:docPr id="500" name="Frame50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28905" cy="175260"/>
                      <wp:effectExtent l="0" t="0" r="0" b="0"/>
                      <wp:wrapNone/>
                      <wp:docPr id="502" name="Frame50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47015" cy="175260"/>
                      <wp:effectExtent l="0" t="0" r="0" b="0"/>
                      <wp:wrapNone/>
                      <wp:docPr id="503" name="Frame503"/>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24460" cy="175260"/>
                      <wp:effectExtent l="0" t="0" r="0" b="0"/>
                      <wp:wrapNone/>
                      <wp:docPr id="505" name="Frame5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38125" cy="175260"/>
                      <wp:effectExtent l="0" t="0" r="0" b="0"/>
                      <wp:wrapNone/>
                      <wp:docPr id="506" name="Frame50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40970" cy="175260"/>
                      <wp:effectExtent l="0" t="0" r="0" b="0"/>
                      <wp:wrapNone/>
                      <wp:docPr id="508" name="Frame50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94005" cy="175260"/>
                      <wp:effectExtent l="0" t="0" r="0" b="0"/>
                      <wp:wrapNone/>
                      <wp:docPr id="509" name="Frame509"/>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92710" cy="175260"/>
                      <wp:effectExtent l="0" t="0" r="0" b="0"/>
                      <wp:wrapNone/>
                      <wp:docPr id="510" name="Frame5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47320" cy="175260"/>
                      <wp:effectExtent l="0" t="0" r="0" b="0"/>
                      <wp:wrapNone/>
                      <wp:docPr id="511" name="Frame51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56565" cy="175260"/>
                      <wp:effectExtent l="0" t="0" r="0" b="0"/>
                      <wp:wrapNone/>
                      <wp:docPr id="512" name="Frame51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751"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 Ended December 31, 2022</w:t>
            </w:r>
          </w:p>
        </w:tc>
      </w:tr>
      <w:tr>
        <w:trPr/>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0"/>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0"/>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0"/>
              <w:ind w:left="0" w:right="0" w:hanging="0"/>
              <w:jc w:val="left"/>
              <w:rPr/>
            </w:pPr>
            <w:r>
              <w:rPr/>
              <w:t>    </w:t>
            </w:r>
          </w:p>
        </w:tc>
        <w:tc>
          <w:tcPr>
            <w:tcW w:w="5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0"/>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146" w:type="dxa"/>
            <w:tcBorders/>
            <w:vAlign w:val="center"/>
          </w:tcPr>
          <w:p>
            <w:pPr>
              <w:pStyle w:val="TableContents"/>
              <w:bidi w:val="0"/>
              <w:spacing w:before="0" w:after="0"/>
              <w:ind w:left="0" w:right="0" w:hanging="0"/>
              <w:jc w:val="left"/>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751"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1,707</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13,378</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687</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748</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gain from investment activities</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(loss) gain, net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w:t>
            </w:r>
          </w:p>
        </w:tc>
      </w:tr>
      <w:tr>
        <w:trPr/>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10,815</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2,398</w:t>
            </w:r>
          </w:p>
        </w:tc>
        <w:tc>
          <w:tcPr>
            <w:tcW w:w="32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w:t>
            </w:r>
          </w:p>
        </w:tc>
        <w:tc>
          <w:tcPr>
            <w:tcW w:w="326" w:type="dxa"/>
            <w:tcBorders/>
            <w:vAlign w:val="center"/>
          </w:tcPr>
          <w:p>
            <w:pPr>
              <w:pStyle w:val="TableContents"/>
              <w:bidi w:val="0"/>
              <w:spacing w:before="0" w:after="0"/>
              <w:ind w:left="0" w:right="0" w:hanging="0"/>
              <w:jc w:val="left"/>
              <w:rPr/>
            </w:pPr>
            <w:r>
              <w:rPr/>
              <w:t> </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c>
          <w:tcPr>
            <w:tcW w:w="326" w:type="dxa"/>
            <w:tcBorders/>
            <w:vAlign w:val="center"/>
          </w:tcPr>
          <w:p>
            <w:pPr>
              <w:pStyle w:val="TableContents"/>
              <w:bidi w:val="0"/>
              <w:spacing w:before="0" w:after="0"/>
              <w:ind w:left="0" w:right="0" w:hanging="0"/>
              <w:jc w:val="left"/>
              <w:rPr/>
            </w:pPr>
            <w:r>
              <w:rPr/>
              <w:t> </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14,101</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9,811</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1,247</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w:t>
            </w:r>
          </w:p>
        </w:tc>
        <w:tc>
          <w:tcPr>
            <w:tcW w:w="32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11,689</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528</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867</w:t>
            </w:r>
          </w:p>
        </w:tc>
        <w:tc>
          <w:tcPr>
            <w:tcW w:w="32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w:t>
            </w:r>
          </w:p>
        </w:tc>
      </w:tr>
      <w:tr>
        <w:trPr/>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10,079</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2,644</w:t>
            </w:r>
          </w:p>
        </w:tc>
        <w:tc>
          <w:tcPr>
            <w:tcW w:w="32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w:t>
            </w:r>
          </w:p>
        </w:tc>
        <w:tc>
          <w:tcPr>
            <w:tcW w:w="326" w:type="dxa"/>
            <w:tcBorders/>
            <w:vAlign w:val="center"/>
          </w:tcPr>
          <w:p>
            <w:pPr>
              <w:pStyle w:val="TableContents"/>
              <w:bidi w:val="0"/>
              <w:spacing w:before="0" w:after="0"/>
              <w:ind w:left="0" w:right="0" w:hanging="0"/>
              <w:jc w:val="left"/>
              <w:rPr/>
            </w:pPr>
            <w:r>
              <w:rPr/>
              <w:t> </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w:t>
            </w:r>
          </w:p>
        </w:tc>
        <w:tc>
          <w:tcPr>
            <w:tcW w:w="326" w:type="dxa"/>
            <w:tcBorders/>
            <w:vAlign w:val="center"/>
          </w:tcPr>
          <w:p>
            <w:pPr>
              <w:pStyle w:val="TableContents"/>
              <w:bidi w:val="0"/>
              <w:spacing w:before="0" w:after="0"/>
              <w:ind w:left="0" w:right="0" w:hanging="0"/>
              <w:jc w:val="left"/>
              <w:rPr/>
            </w:pPr>
            <w:r>
              <w:rPr/>
              <w:t> </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14,092</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from continuing operations before income tax (expense)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 </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596</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from continuing operations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from continuing operations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r>
      <w:tr>
        <w:trPr/>
        <w:tc>
          <w:tcPr>
            <w:tcW w:w="11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509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bidi w:val="0"/>
        <w:spacing w:before="0" w:after="0"/>
        <w:jc w:val="left"/>
        <w:rPr>
          <w:sz w:val="4"/>
          <w:szCs w:val="4"/>
        </w:rPr>
      </w:pPr>
      <w:r>
        <w:rPr>
          <w:sz w:val="4"/>
          <w:szCs w:val="4"/>
        </w:rPr>
      </w:r>
      <w:bookmarkStart w:id="1502" w:name="Tc_f1TUEIxeL06zG0vzqdiRIg_6_8"/>
      <w:bookmarkStart w:id="1503" w:name="Tc_L4BUr4Y1hEmL9weuAbm8YA_6_5"/>
      <w:bookmarkStart w:id="1504" w:name="Tc_932KWhygU0eyzf239NoBWw_6_2"/>
      <w:bookmarkStart w:id="1505" w:name="Tc_LDwgbD2OwkWaWcAjc7yEng_5_0"/>
      <w:bookmarkStart w:id="1506" w:name="Tc_A3SNxYkpAE2V9RdrFa7ffw_4_8"/>
      <w:bookmarkStart w:id="1507" w:name="Tc_Tc6pF5XzE0Wkd69i9rMk2g_4_5"/>
      <w:bookmarkStart w:id="1508" w:name="Tc_y--WB5K38EiTIt5KNVgbKg_4_2"/>
      <w:bookmarkStart w:id="1509" w:name="Tc_TRkRPcfnWU61a-tx-6oG8w_4_0"/>
      <w:bookmarkStart w:id="1510" w:name="Tc_GPNjBLdKLkm8NT5994LnCg_3_2"/>
      <w:bookmarkStart w:id="1511" w:name="Tc_ZqIv_Wf5a0C09tn58ulACg_2_8"/>
      <w:bookmarkStart w:id="1512" w:name="Tc_t8ezTDxickOZ3c6tGBBxnQ_2_5"/>
      <w:bookmarkStart w:id="1513" w:name="Tc_WqcTUoNbX0SDAoQySK3Bag_2_2"/>
      <w:bookmarkStart w:id="1514" w:name="Tc_vIv3RAXHu0SNoBvfNcP3-w_1_2"/>
      <w:bookmarkStart w:id="1515" w:name="Tc_pY8AqeW6eUSpxag1-56hrQ_27_29"/>
      <w:bookmarkStart w:id="1516" w:name="Tc_MaWZZJQYA0e4UT-WNAS-ZA_27_26"/>
      <w:bookmarkStart w:id="1517" w:name="Tc_nhw07unXUUivjQggPSy_Vw_27_23"/>
      <w:bookmarkStart w:id="1518" w:name="Tc_gA8qwljFi0qZNliWggkj_w_27_20"/>
      <w:bookmarkStart w:id="1519" w:name="Tc_-fYx_keYCUis9TWTaNzj4w_27_17"/>
      <w:bookmarkStart w:id="1520" w:name="Tc_pqVTX4E_LU2jZsnlqQj3OQ_27_14"/>
      <w:bookmarkStart w:id="1521" w:name="Tc_9yXBhkCNzUya238dCG4hxA_27_11"/>
      <w:bookmarkStart w:id="1522" w:name="Tc_VQe7NmCLWUWzOC34ezpePA_27_8"/>
      <w:bookmarkStart w:id="1523" w:name="Tc_bS4cjpJ7IEGQzoLGQfnzHg_27_5"/>
      <w:bookmarkStart w:id="1524" w:name="Tc_A88KcK6VQkaL4QXEGpCAoA_27_3"/>
      <w:bookmarkStart w:id="1525" w:name="Tc_rgnMB18Z-0qphPRVrKiqvQ_27_2"/>
      <w:bookmarkStart w:id="1526" w:name="Tc_-kHhamHgU0m2wApzIYBTZA_27_0"/>
      <w:bookmarkStart w:id="1527" w:name="Tc_p1hB5OBruUOBGbrB-iaDgA_26_29"/>
      <w:bookmarkStart w:id="1528" w:name="Tc_ulbIY1TGdkiRGMHdzjeBgA_26_27"/>
      <w:bookmarkStart w:id="1529" w:name="Tc_Xu0aeSNOCkaNjswdkbwkfg_26_26"/>
      <w:bookmarkStart w:id="1530" w:name="Tc_0FVwqZ4IJ0mV4gDePr9law_26_23"/>
      <w:bookmarkStart w:id="1531" w:name="Tc_4_VwrAOSuEa0JYhKmk4iCw_26_21"/>
      <w:bookmarkStart w:id="1532" w:name="Tc_Fo_NW3i1m0OQrqeHXkqpng_26_20"/>
      <w:bookmarkStart w:id="1533" w:name="Tc_QNT3Fl6OC0ir17tYEld6cg_26_17"/>
      <w:bookmarkStart w:id="1534" w:name="Tc_xtwpN9AXbU6R6L6PF6j_sg_26_14"/>
      <w:bookmarkStart w:id="1535" w:name="Tc_DsoDTfVenUqwKb_KVBH66w_26_11"/>
      <w:bookmarkStart w:id="1536" w:name="Tc_nww-mzPsU022vifDAPUEjA_26_8"/>
      <w:bookmarkStart w:id="1537" w:name="Tc_3G6ZH7mwxUKCwZwyM15JJg_26_5"/>
      <w:bookmarkStart w:id="1538" w:name="Tc_dlPF0yiLwEG9SymHMXLTAA_26_3"/>
      <w:bookmarkStart w:id="1539" w:name="Tc_J4BPzzp-gEiaVEFmNwFXXQ_26_2"/>
      <w:bookmarkStart w:id="1540" w:name="Tc_1fngDWmSMEqe6klgSQAz2A_26_0"/>
      <w:bookmarkStart w:id="1541" w:name="Tc_h-HMwBRAn0adiRrH3NKOOg_25_0"/>
      <w:bookmarkStart w:id="1542" w:name="Tc_nPRv89vAtkGAJEuoNAMe1A_24_29"/>
      <w:bookmarkStart w:id="1543" w:name="Tc_Bz428xHgREmG11uDopAw0g_24_26"/>
      <w:bookmarkStart w:id="1544" w:name="Tc_2mdZ0zCYQESzP29ITf698A_24_23"/>
      <w:bookmarkStart w:id="1545" w:name="Tc_tGyeD5sVIEKnmFOrUG0rMQ_24_20"/>
      <w:bookmarkStart w:id="1546" w:name="Tc_uNPg2YSKLU-Db2V7FkRIig_24_17"/>
      <w:bookmarkStart w:id="1547" w:name="Tc_udiYNSUSc0m8F2gEhfvOWg_24_14"/>
      <w:bookmarkStart w:id="1548" w:name="Tc_EGrLTWn2HkW9dgaDjxanzA_24_11"/>
      <w:bookmarkStart w:id="1549" w:name="Tc_JMYCZurYzEqsa2_Ql5bhUA_24_8"/>
      <w:bookmarkStart w:id="1550" w:name="Tc_T4miSpVLPEWXCHeQoyVbuA_24_5"/>
      <w:bookmarkStart w:id="1551" w:name="Tc_Tc2ZFc1clkCh82Vcy09_4g_24_2"/>
      <w:bookmarkStart w:id="1552" w:name="Tc_2Jmk45FlykyYaNPFqw26xg_24_0"/>
      <w:bookmarkStart w:id="1553" w:name="Tc_i0SLAranr0OzEG5acIbt4g_23_27"/>
      <w:bookmarkStart w:id="1554" w:name="Tc_3snn_E9xQEKJ6sL2jY-fnA_23_24"/>
      <w:bookmarkStart w:id="1555" w:name="Tc_UgbZJy7SBkWai1BgeGJYzQ_23_21"/>
      <w:bookmarkStart w:id="1556" w:name="Tc_-pX9Tb0TsUu2ITrHGwwiQw_23_18"/>
      <w:bookmarkStart w:id="1557" w:name="Tc_BcJ1iyLel0i6CwlILzA7vg_23_15"/>
      <w:bookmarkStart w:id="1558" w:name="Tc_SPXMFxaYKkOOvjrjjb9gEA_23_12"/>
      <w:bookmarkStart w:id="1559" w:name="Tc_m3kIz9uKF06Py740HM0_fA_23_9"/>
      <w:bookmarkStart w:id="1560" w:name="Tc_I4fN29_dlky2t9nZ62aC_g_23_0"/>
      <w:bookmarkStart w:id="1561" w:name="Tc_cH8MeRztp0ao7TAv1PH0Xw_22_0"/>
      <w:bookmarkStart w:id="1562" w:name="Tc_c6CZgXP-hUagVc67-__WbQ_21_24"/>
      <w:bookmarkStart w:id="1563" w:name="Tc_7d-LAmB9w0a7KZ4tgDfkaQ_21_21"/>
      <w:bookmarkStart w:id="1564" w:name="Tc_UJnVu1XD60yjjV5ZVy3dgg_21_15"/>
      <w:bookmarkStart w:id="1565" w:name="Tc_CppJ0e8yjECwA3YJlbuc6A_21_3"/>
      <w:bookmarkStart w:id="1566" w:name="Tc_vG6adBDGs0C5F6oLjqZq3A_21_0"/>
      <w:bookmarkStart w:id="1567" w:name="Tc_x1SLoZJqmE2BvKdG2TKHNw_20_0"/>
      <w:bookmarkStart w:id="1568" w:name="Tc_rmH4fP6qEUChWFLrK6HOuA_18_21"/>
      <w:bookmarkStart w:id="1569" w:name="Tc_y9eVXL0Fh0ugj5Pq7BKBmg_18_15"/>
      <w:bookmarkStart w:id="1570" w:name="Tc_RvRYoQUB70mukRE_somx2w_18_0"/>
      <w:bookmarkStart w:id="1571" w:name="Tc_-csRLrMbq0iTExEAp6_H_g_17_30"/>
      <w:bookmarkStart w:id="1572" w:name="Tc_xDaW5bEQkEGOyeWFdxFmQA_17_27"/>
      <w:bookmarkStart w:id="1573" w:name="Tc_j1JhcEneBU-YXsAiYKTgtw_17_24"/>
      <w:bookmarkStart w:id="1574" w:name="Tc_EM2WofXWike8vzNSuJHHWQ_17_21"/>
      <w:bookmarkStart w:id="1575" w:name="Tc_aAofful82k-oYUrdbmuh3g_17_18"/>
      <w:bookmarkStart w:id="1576" w:name="Tc_nWtnFyul8Eiaqi2O8cGP_g_17_15"/>
      <w:bookmarkStart w:id="1577" w:name="Tc_ErBq14pUkESacrJS6v9amA_17_12"/>
      <w:bookmarkStart w:id="1578" w:name="Tc_ul2Q2UBAk0GyqSYWqCT6eQ_17_9"/>
      <w:bookmarkStart w:id="1579" w:name="Tc_tSS5GlsP-EqTqOYaWLeTaQ_17_6"/>
      <w:bookmarkStart w:id="1580" w:name="Tc_X61gzvHW4ECQrJuAcfhtlQ_17_3"/>
      <w:bookmarkStart w:id="1581" w:name="Tc_9iA5QLgrw0GnFa4o9CeNjA_17_0"/>
      <w:bookmarkStart w:id="1582" w:name="Tc_ASVmM9VjK0a3gEvA1TaoFw_16_27"/>
      <w:bookmarkStart w:id="1583" w:name="Tc_7KRKzagsU0-FleL--42ukA_16_24"/>
      <w:bookmarkStart w:id="1584" w:name="Tc_OXiTbWrloUie43WsHAExUA_16_21"/>
      <w:bookmarkStart w:id="1585" w:name="Tc_kyQm1DN1zU-Th1Xa2Nr-qw_16_18"/>
      <w:bookmarkStart w:id="1586" w:name="Tc_zVqlLpHIT0S49Bv2HuGVdA_16_15"/>
      <w:bookmarkStart w:id="1587" w:name="Tc_68cvZeaFX0iDKvR_mlnIIQ_16_6"/>
      <w:bookmarkStart w:id="1588" w:name="Tc_ry6-oS8reES7aSX0TYLVgw_16_3"/>
      <w:bookmarkStart w:id="1589" w:name="Tc_Gj280eU9hUmW8UxDftwl4w_16_0"/>
      <w:bookmarkStart w:id="1590" w:name="Tc_B_TvDiueREan58GpZASEyQ_15_0"/>
      <w:bookmarkStart w:id="1591" w:name="Tc_Gjf4y35bak6cRwD0y0X1kg_14_27"/>
      <w:bookmarkStart w:id="1592" w:name="Tc_N_l-BvIArES6GhprQEzj6A_14_24"/>
      <w:bookmarkStart w:id="1593" w:name="Tc_kWZ5BeovKEaVEco63WOPeQ_14_21"/>
      <w:bookmarkStart w:id="1594" w:name="Tc_Xs9qU19r5U-9Qf4HbASF4w_14_18"/>
      <w:bookmarkStart w:id="1595" w:name="Tc_SGUe_EkQ8U6wuHZVcT4xsA_14_12"/>
      <w:bookmarkStart w:id="1596" w:name="Tc_E_1m4Ms-SUqt-mrUfxxoSA_14_6"/>
      <w:bookmarkStart w:id="1597" w:name="Tc__ln8rT9W7EWQ_OqW5uA3GQ_14_3"/>
      <w:bookmarkStart w:id="1598" w:name="Tc_pXCL7xdD80mZstth5MXKOg_14_0"/>
      <w:bookmarkStart w:id="1599" w:name="Tc_g1byjnR4bEW5DdvR81yUAw_13_27"/>
      <w:bookmarkStart w:id="1600" w:name="Tc_CaccguFB30C3qvfwYmm4TQ_13_3"/>
      <w:bookmarkStart w:id="1601" w:name="Tc_jTcqoQ6SDU2rXT991cXmxw_13_0"/>
      <w:bookmarkStart w:id="1602" w:name="Tc_CJYT6OwXnkeRFkVY26kuew_12_0"/>
      <w:bookmarkStart w:id="1603" w:name="Tc_RkXK7fDOpEun9gXi1C4MvQ_10_21"/>
      <w:bookmarkStart w:id="1604" w:name="Tc_MUU1ss5ogkyb4WtCfO-4Fg_10_18"/>
      <w:bookmarkStart w:id="1605" w:name="Tc_fHZYOm03T0yKXpUMJE0N8Q_10_15"/>
      <w:bookmarkStart w:id="1606" w:name="Tc_-07u7i6P3EqMKKBzmACXdg_10_0"/>
      <w:bookmarkStart w:id="1607" w:name="Tc_SkU2Gr9m2EKpDRN-Lywm3Q_9_27"/>
      <w:bookmarkStart w:id="1608" w:name="Tc_OwMRcXRco060KXwKPbfsiQ_9_21"/>
      <w:bookmarkStart w:id="1609" w:name="Tc_7fukbJpZrEWnyLH1u4wKCg_9_18"/>
      <w:bookmarkStart w:id="1610" w:name="Tc_qd3GGUzyx0CNObe6-fdPpQ_9_12"/>
      <w:bookmarkStart w:id="1611" w:name="Tc_ys6ivjELrU2Zs2cYMtzrXA_9_3"/>
      <w:bookmarkStart w:id="1612" w:name="Tc_sD5W3odUW0GRaQYST5PV2g_9_0"/>
      <w:bookmarkStart w:id="1613" w:name="Tc_J01fYTy_V0qUzORuH-Tu2A_8_24"/>
      <w:bookmarkStart w:id="1614" w:name="Tc_nHq6X-IIJ0mZdyaXPcxJmg_8_21"/>
      <w:bookmarkStart w:id="1615" w:name="Tc_RmJq7rMme0KuuoJW_wlKPw_8_18"/>
      <w:bookmarkStart w:id="1616" w:name="Tc_GcgzEB6a80ujuvAdNJLVCA_8_15"/>
      <w:bookmarkStart w:id="1617" w:name="Tc_tjzQ4QUNpkCvvCNVo3Y3QQ_8_12"/>
      <w:bookmarkStart w:id="1618" w:name="Tc_a4fq8OtU-Eaf-tc-TwJVlQ_8_9"/>
      <w:bookmarkStart w:id="1619" w:name="Tc_0Pw9hW8vcUuKm5EQYlYRWw_8_6"/>
      <w:bookmarkStart w:id="1620" w:name="Tc_efv81Nfw-kinXfUt1_QDPQ_8_0"/>
      <w:bookmarkStart w:id="1621" w:name="Tc_ERzN153-S0C9lp9qR2GnCg_7_24"/>
      <w:bookmarkStart w:id="1622" w:name="Tc_aP1Qlwm3XkGDl08FIJYsdA_7_21"/>
      <w:bookmarkStart w:id="1623" w:name="Tc_TXeLZpzy9EGYQ7JLfZgeDw_7_18"/>
      <w:bookmarkStart w:id="1624" w:name="Tc_msF7YYckhkKtjMCc89fWXA_7_15"/>
      <w:bookmarkStart w:id="1625" w:name="Tc_d37s099iv0-wKwzIjcjolg_7_12"/>
      <w:bookmarkStart w:id="1626" w:name="Tc_RWKJ-CViYEe6Wf8VlCiqTA_7_9"/>
      <w:bookmarkStart w:id="1627" w:name="Tc_S-wYb8B8bEGkcU_VDEgmxg_7_0"/>
      <w:bookmarkStart w:id="1628" w:name="Tc_97j_XYlF40W-jug8VbbrQw_6_27"/>
      <w:bookmarkStart w:id="1629" w:name="Tc_w03Mju8fNk2foEHVLGJflQ_6_24"/>
      <w:bookmarkStart w:id="1630" w:name="Tc_mowYzjPCQkS0Tx_DNkfFPQ_6_18"/>
      <w:bookmarkStart w:id="1631" w:name="Tc_f0DM4_3E30CNkWk-mCtD7g_6_12"/>
      <w:bookmarkStart w:id="1632" w:name="Tc_duTGuMyLwEmkMTHD2wYeiw_6_6"/>
      <w:bookmarkStart w:id="1633" w:name="Tc_llA0CkiutkONW6mi-C0jcA_6_3"/>
      <w:bookmarkStart w:id="1634" w:name="Tc_9SjAT590iUio-K6iFhcojQ_6_0"/>
      <w:bookmarkStart w:id="1635" w:name="Tc_MUt0wwwMtkmOhaONGtMa0g_5_29"/>
      <w:bookmarkStart w:id="1636" w:name="Tc_HU07_kFtpEe3DV2BLIHO8w_5_27"/>
      <w:bookmarkStart w:id="1637" w:name="Tc_3o3nzpyglESSnvggXaAX_Q_5_26"/>
      <w:bookmarkStart w:id="1638" w:name="Tc_KE6JwUpkCkK36OpZ_8SuOw_5_23"/>
      <w:bookmarkStart w:id="1639" w:name="Tc_RJznVUvUkEmV17VPlny0WQ_5_20"/>
      <w:bookmarkStart w:id="1640" w:name="Tc_YfQ1W2bUf0GtOOYsoWZA6w_5_17"/>
      <w:bookmarkStart w:id="1641" w:name="Tc_HNk1Xb8OTUue2y6BIhbyZw_5_14"/>
      <w:bookmarkStart w:id="1642" w:name="Tc_pi5WfFWLZEOwhr3AmYCGcQ_5_11"/>
      <w:bookmarkStart w:id="1643" w:name="Tc_Q0QCC3r5jE2DMyHLTmRApA_5_8"/>
      <w:bookmarkStart w:id="1644" w:name="Tc_aBykJQao-k2eMKZfOytBmw_5_5"/>
      <w:bookmarkStart w:id="1645" w:name="Tc_RWF6xcD5rU2ntSspOBo9ug_5_3"/>
      <w:bookmarkStart w:id="1646" w:name="Tc_kV1Pd8INykS9MSBOVnW4QA_5_2"/>
      <w:bookmarkStart w:id="1647" w:name="Tc_dn0l3kax5UmAFU6BoEI2bw_5_0"/>
      <w:bookmarkStart w:id="1648" w:name="Tc_t6cT7aYXqUWM5RGk3rcjAw_4_0"/>
      <w:bookmarkStart w:id="1649" w:name="Tc_5QvYoMqAHUCs0BUFH7a6qA_3_2"/>
      <w:bookmarkStart w:id="1650" w:name="Tc_PpAlYmqxjUmVemBCPyw5sg_2_29"/>
      <w:bookmarkStart w:id="1651" w:name="Tc_X6LCbw1xqUO2USZOtLzs1Q_2_26"/>
      <w:bookmarkStart w:id="1652" w:name="Tc_V5uhHQjdYUGgwwYR3_8ltQ_2_23"/>
      <w:bookmarkStart w:id="1653" w:name="Tc_9WQH6mx8KUq7Isu6XsHGUA_2_20"/>
      <w:bookmarkStart w:id="1654" w:name="Tc_6oVsLG3kJEeYjc8Z278QSw_2_17"/>
      <w:bookmarkStart w:id="1655" w:name="Tc_wzVjvBFdCUWX1f5M9bo_sA_2_14"/>
      <w:bookmarkStart w:id="1656" w:name="Tc_LiWAuEQyGkanloRCd5xOaw_2_11"/>
      <w:bookmarkStart w:id="1657" w:name="Tc_nW81lIDyGkW3dAySnj2eow_2_8"/>
      <w:bookmarkStart w:id="1658" w:name="Tc_eBqqf1IHxEqqXMBGXrq7Ug_2_5"/>
      <w:bookmarkStart w:id="1659" w:name="Tc_K2dqNUrpJUqVs5ZMD7vhdg_2_2"/>
      <w:bookmarkStart w:id="1660" w:name="Tc_ksLPmqvgEUmoN0Qfos3hFw_1_2"/>
      <w:bookmarkStart w:id="1661" w:name="_4618694e_7f67_4fa6_ac33_001b054f10e6"/>
      <w:bookmarkStart w:id="1662" w:name="Tc_f1TUEIxeL06zG0vzqdiRIg_6_8"/>
      <w:bookmarkStart w:id="1663" w:name="Tc_L4BUr4Y1hEmL9weuAbm8YA_6_5"/>
      <w:bookmarkStart w:id="1664" w:name="Tc_932KWhygU0eyzf239NoBWw_6_2"/>
      <w:bookmarkStart w:id="1665" w:name="Tc_LDwgbD2OwkWaWcAjc7yEng_5_0"/>
      <w:bookmarkStart w:id="1666" w:name="Tc_A3SNxYkpAE2V9RdrFa7ffw_4_8"/>
      <w:bookmarkStart w:id="1667" w:name="Tc_Tc6pF5XzE0Wkd69i9rMk2g_4_5"/>
      <w:bookmarkStart w:id="1668" w:name="Tc_y--WB5K38EiTIt5KNVgbKg_4_2"/>
      <w:bookmarkStart w:id="1669" w:name="Tc_TRkRPcfnWU61a-tx-6oG8w_4_0"/>
      <w:bookmarkStart w:id="1670" w:name="Tc_GPNjBLdKLkm8NT5994LnCg_3_2"/>
      <w:bookmarkStart w:id="1671" w:name="Tc_ZqIv_Wf5a0C09tn58ulACg_2_8"/>
      <w:bookmarkStart w:id="1672" w:name="Tc_t8ezTDxickOZ3c6tGBBxnQ_2_5"/>
      <w:bookmarkStart w:id="1673" w:name="Tc_WqcTUoNbX0SDAoQySK3Bag_2_2"/>
      <w:bookmarkStart w:id="1674" w:name="Tc_vIv3RAXHu0SNoBvfNcP3-w_1_2"/>
      <w:bookmarkStart w:id="1675" w:name="Tc_pY8AqeW6eUSpxag1-56hrQ_27_29"/>
      <w:bookmarkStart w:id="1676" w:name="Tc_MaWZZJQYA0e4UT-WNAS-ZA_27_26"/>
      <w:bookmarkStart w:id="1677" w:name="Tc_nhw07unXUUivjQggPSy_Vw_27_23"/>
      <w:bookmarkStart w:id="1678" w:name="Tc_gA8qwljFi0qZNliWggkj_w_27_20"/>
      <w:bookmarkStart w:id="1679" w:name="Tc_-fYx_keYCUis9TWTaNzj4w_27_17"/>
      <w:bookmarkStart w:id="1680" w:name="Tc_pqVTX4E_LU2jZsnlqQj3OQ_27_14"/>
      <w:bookmarkStart w:id="1681" w:name="Tc_9yXBhkCNzUya238dCG4hxA_27_11"/>
      <w:bookmarkStart w:id="1682" w:name="Tc_VQe7NmCLWUWzOC34ezpePA_27_8"/>
      <w:bookmarkStart w:id="1683" w:name="Tc_bS4cjpJ7IEGQzoLGQfnzHg_27_5"/>
      <w:bookmarkStart w:id="1684" w:name="Tc_A88KcK6VQkaL4QXEGpCAoA_27_3"/>
      <w:bookmarkStart w:id="1685" w:name="Tc_rgnMB18Z-0qphPRVrKiqvQ_27_2"/>
      <w:bookmarkStart w:id="1686" w:name="Tc_-kHhamHgU0m2wApzIYBTZA_27_0"/>
      <w:bookmarkStart w:id="1687" w:name="Tc_p1hB5OBruUOBGbrB-iaDgA_26_29"/>
      <w:bookmarkStart w:id="1688" w:name="Tc_ulbIY1TGdkiRGMHdzjeBgA_26_27"/>
      <w:bookmarkStart w:id="1689" w:name="Tc_Xu0aeSNOCkaNjswdkbwkfg_26_26"/>
      <w:bookmarkStart w:id="1690" w:name="Tc_0FVwqZ4IJ0mV4gDePr9law_26_23"/>
      <w:bookmarkStart w:id="1691" w:name="Tc_4_VwrAOSuEa0JYhKmk4iCw_26_21"/>
      <w:bookmarkStart w:id="1692" w:name="Tc_Fo_NW3i1m0OQrqeHXkqpng_26_20"/>
      <w:bookmarkStart w:id="1693" w:name="Tc_QNT3Fl6OC0ir17tYEld6cg_26_17"/>
      <w:bookmarkStart w:id="1694" w:name="Tc_xtwpN9AXbU6R6L6PF6j_sg_26_14"/>
      <w:bookmarkStart w:id="1695" w:name="Tc_DsoDTfVenUqwKb_KVBH66w_26_11"/>
      <w:bookmarkStart w:id="1696" w:name="Tc_nww-mzPsU022vifDAPUEjA_26_8"/>
      <w:bookmarkStart w:id="1697" w:name="Tc_3G6ZH7mwxUKCwZwyM15JJg_26_5"/>
      <w:bookmarkStart w:id="1698" w:name="Tc_dlPF0yiLwEG9SymHMXLTAA_26_3"/>
      <w:bookmarkStart w:id="1699" w:name="Tc_J4BPzzp-gEiaVEFmNwFXXQ_26_2"/>
      <w:bookmarkStart w:id="1700" w:name="Tc_1fngDWmSMEqe6klgSQAz2A_26_0"/>
      <w:bookmarkStart w:id="1701" w:name="Tc_h-HMwBRAn0adiRrH3NKOOg_25_0"/>
      <w:bookmarkStart w:id="1702" w:name="Tc_nPRv89vAtkGAJEuoNAMe1A_24_29"/>
      <w:bookmarkStart w:id="1703" w:name="Tc_Bz428xHgREmG11uDopAw0g_24_26"/>
      <w:bookmarkStart w:id="1704" w:name="Tc_2mdZ0zCYQESzP29ITf698A_24_23"/>
      <w:bookmarkStart w:id="1705" w:name="Tc_tGyeD5sVIEKnmFOrUG0rMQ_24_20"/>
      <w:bookmarkStart w:id="1706" w:name="Tc_uNPg2YSKLU-Db2V7FkRIig_24_17"/>
      <w:bookmarkStart w:id="1707" w:name="Tc_udiYNSUSc0m8F2gEhfvOWg_24_14"/>
      <w:bookmarkStart w:id="1708" w:name="Tc_EGrLTWn2HkW9dgaDjxanzA_24_11"/>
      <w:bookmarkStart w:id="1709" w:name="Tc_JMYCZurYzEqsa2_Ql5bhUA_24_8"/>
      <w:bookmarkStart w:id="1710" w:name="Tc_T4miSpVLPEWXCHeQoyVbuA_24_5"/>
      <w:bookmarkStart w:id="1711" w:name="Tc_Tc2ZFc1clkCh82Vcy09_4g_24_2"/>
      <w:bookmarkStart w:id="1712" w:name="Tc_2Jmk45FlykyYaNPFqw26xg_24_0"/>
      <w:bookmarkStart w:id="1713" w:name="Tc_i0SLAranr0OzEG5acIbt4g_23_27"/>
      <w:bookmarkStart w:id="1714" w:name="Tc_3snn_E9xQEKJ6sL2jY-fnA_23_24"/>
      <w:bookmarkStart w:id="1715" w:name="Tc_UgbZJy7SBkWai1BgeGJYzQ_23_21"/>
      <w:bookmarkStart w:id="1716" w:name="Tc_-pX9Tb0TsUu2ITrHGwwiQw_23_18"/>
      <w:bookmarkStart w:id="1717" w:name="Tc_BcJ1iyLel0i6CwlILzA7vg_23_15"/>
      <w:bookmarkStart w:id="1718" w:name="Tc_SPXMFxaYKkOOvjrjjb9gEA_23_12"/>
      <w:bookmarkStart w:id="1719" w:name="Tc_m3kIz9uKF06Py740HM0_fA_23_9"/>
      <w:bookmarkStart w:id="1720" w:name="Tc_I4fN29_dlky2t9nZ62aC_g_23_0"/>
      <w:bookmarkStart w:id="1721" w:name="Tc_cH8MeRztp0ao7TAv1PH0Xw_22_0"/>
      <w:bookmarkStart w:id="1722" w:name="Tc_c6CZgXP-hUagVc67-__WbQ_21_24"/>
      <w:bookmarkStart w:id="1723" w:name="Tc_7d-LAmB9w0a7KZ4tgDfkaQ_21_21"/>
      <w:bookmarkStart w:id="1724" w:name="Tc_UJnVu1XD60yjjV5ZVy3dgg_21_15"/>
      <w:bookmarkStart w:id="1725" w:name="Tc_CppJ0e8yjECwA3YJlbuc6A_21_3"/>
      <w:bookmarkStart w:id="1726" w:name="Tc_vG6adBDGs0C5F6oLjqZq3A_21_0"/>
      <w:bookmarkStart w:id="1727" w:name="Tc_x1SLoZJqmE2BvKdG2TKHNw_20_0"/>
      <w:bookmarkStart w:id="1728" w:name="Tc_rmH4fP6qEUChWFLrK6HOuA_18_21"/>
      <w:bookmarkStart w:id="1729" w:name="Tc_y9eVXL0Fh0ugj5Pq7BKBmg_18_15"/>
      <w:bookmarkStart w:id="1730" w:name="Tc_RvRYoQUB70mukRE_somx2w_18_0"/>
      <w:bookmarkStart w:id="1731" w:name="Tc_-csRLrMbq0iTExEAp6_H_g_17_30"/>
      <w:bookmarkStart w:id="1732" w:name="Tc_xDaW5bEQkEGOyeWFdxFmQA_17_27"/>
      <w:bookmarkStart w:id="1733" w:name="Tc_j1JhcEneBU-YXsAiYKTgtw_17_24"/>
      <w:bookmarkStart w:id="1734" w:name="Tc_EM2WofXWike8vzNSuJHHWQ_17_21"/>
      <w:bookmarkStart w:id="1735" w:name="Tc_aAofful82k-oYUrdbmuh3g_17_18"/>
      <w:bookmarkStart w:id="1736" w:name="Tc_nWtnFyul8Eiaqi2O8cGP_g_17_15"/>
      <w:bookmarkStart w:id="1737" w:name="Tc_ErBq14pUkESacrJS6v9amA_17_12"/>
      <w:bookmarkStart w:id="1738" w:name="Tc_ul2Q2UBAk0GyqSYWqCT6eQ_17_9"/>
      <w:bookmarkStart w:id="1739" w:name="Tc_tSS5GlsP-EqTqOYaWLeTaQ_17_6"/>
      <w:bookmarkStart w:id="1740" w:name="Tc_X61gzvHW4ECQrJuAcfhtlQ_17_3"/>
      <w:bookmarkStart w:id="1741" w:name="Tc_9iA5QLgrw0GnFa4o9CeNjA_17_0"/>
      <w:bookmarkStart w:id="1742" w:name="Tc_ASVmM9VjK0a3gEvA1TaoFw_16_27"/>
      <w:bookmarkStart w:id="1743" w:name="Tc_7KRKzagsU0-FleL--42ukA_16_24"/>
      <w:bookmarkStart w:id="1744" w:name="Tc_OXiTbWrloUie43WsHAExUA_16_21"/>
      <w:bookmarkStart w:id="1745" w:name="Tc_kyQm1DN1zU-Th1Xa2Nr-qw_16_18"/>
      <w:bookmarkStart w:id="1746" w:name="Tc_zVqlLpHIT0S49Bv2HuGVdA_16_15"/>
      <w:bookmarkStart w:id="1747" w:name="Tc_68cvZeaFX0iDKvR_mlnIIQ_16_6"/>
      <w:bookmarkStart w:id="1748" w:name="Tc_ry6-oS8reES7aSX0TYLVgw_16_3"/>
      <w:bookmarkStart w:id="1749" w:name="Tc_Gj280eU9hUmW8UxDftwl4w_16_0"/>
      <w:bookmarkStart w:id="1750" w:name="Tc_B_TvDiueREan58GpZASEyQ_15_0"/>
      <w:bookmarkStart w:id="1751" w:name="Tc_Gjf4y35bak6cRwD0y0X1kg_14_27"/>
      <w:bookmarkStart w:id="1752" w:name="Tc_N_l-BvIArES6GhprQEzj6A_14_24"/>
      <w:bookmarkStart w:id="1753" w:name="Tc_kWZ5BeovKEaVEco63WOPeQ_14_21"/>
      <w:bookmarkStart w:id="1754" w:name="Tc_Xs9qU19r5U-9Qf4HbASF4w_14_18"/>
      <w:bookmarkStart w:id="1755" w:name="Tc_SGUe_EkQ8U6wuHZVcT4xsA_14_12"/>
      <w:bookmarkStart w:id="1756" w:name="Tc_E_1m4Ms-SUqt-mrUfxxoSA_14_6"/>
      <w:bookmarkStart w:id="1757" w:name="Tc__ln8rT9W7EWQ_OqW5uA3GQ_14_3"/>
      <w:bookmarkStart w:id="1758" w:name="Tc_pXCL7xdD80mZstth5MXKOg_14_0"/>
      <w:bookmarkStart w:id="1759" w:name="Tc_g1byjnR4bEW5DdvR81yUAw_13_27"/>
      <w:bookmarkStart w:id="1760" w:name="Tc_CaccguFB30C3qvfwYmm4TQ_13_3"/>
      <w:bookmarkStart w:id="1761" w:name="Tc_jTcqoQ6SDU2rXT991cXmxw_13_0"/>
      <w:bookmarkStart w:id="1762" w:name="Tc_CJYT6OwXnkeRFkVY26kuew_12_0"/>
      <w:bookmarkStart w:id="1763" w:name="Tc_RkXK7fDOpEun9gXi1C4MvQ_10_21"/>
      <w:bookmarkStart w:id="1764" w:name="Tc_MUU1ss5ogkyb4WtCfO-4Fg_10_18"/>
      <w:bookmarkStart w:id="1765" w:name="Tc_fHZYOm03T0yKXpUMJE0N8Q_10_15"/>
      <w:bookmarkStart w:id="1766" w:name="Tc_-07u7i6P3EqMKKBzmACXdg_10_0"/>
      <w:bookmarkStart w:id="1767" w:name="Tc_SkU2Gr9m2EKpDRN-Lywm3Q_9_27"/>
      <w:bookmarkStart w:id="1768" w:name="Tc_OwMRcXRco060KXwKPbfsiQ_9_21"/>
      <w:bookmarkStart w:id="1769" w:name="Tc_7fukbJpZrEWnyLH1u4wKCg_9_18"/>
      <w:bookmarkStart w:id="1770" w:name="Tc_qd3GGUzyx0CNObe6-fdPpQ_9_12"/>
      <w:bookmarkStart w:id="1771" w:name="Tc_ys6ivjELrU2Zs2cYMtzrXA_9_3"/>
      <w:bookmarkStart w:id="1772" w:name="Tc_sD5W3odUW0GRaQYST5PV2g_9_0"/>
      <w:bookmarkStart w:id="1773" w:name="Tc_J01fYTy_V0qUzORuH-Tu2A_8_24"/>
      <w:bookmarkStart w:id="1774" w:name="Tc_nHq6X-IIJ0mZdyaXPcxJmg_8_21"/>
      <w:bookmarkStart w:id="1775" w:name="Tc_RmJq7rMme0KuuoJW_wlKPw_8_18"/>
      <w:bookmarkStart w:id="1776" w:name="Tc_GcgzEB6a80ujuvAdNJLVCA_8_15"/>
      <w:bookmarkStart w:id="1777" w:name="Tc_tjzQ4QUNpkCvvCNVo3Y3QQ_8_12"/>
      <w:bookmarkStart w:id="1778" w:name="Tc_a4fq8OtU-Eaf-tc-TwJVlQ_8_9"/>
      <w:bookmarkStart w:id="1779" w:name="Tc_0Pw9hW8vcUuKm5EQYlYRWw_8_6"/>
      <w:bookmarkStart w:id="1780" w:name="Tc_efv81Nfw-kinXfUt1_QDPQ_8_0"/>
      <w:bookmarkStart w:id="1781" w:name="Tc_ERzN153-S0C9lp9qR2GnCg_7_24"/>
      <w:bookmarkStart w:id="1782" w:name="Tc_aP1Qlwm3XkGDl08FIJYsdA_7_21"/>
      <w:bookmarkStart w:id="1783" w:name="Tc_TXeLZpzy9EGYQ7JLfZgeDw_7_18"/>
      <w:bookmarkStart w:id="1784" w:name="Tc_msF7YYckhkKtjMCc89fWXA_7_15"/>
      <w:bookmarkStart w:id="1785" w:name="Tc_d37s099iv0-wKwzIjcjolg_7_12"/>
      <w:bookmarkStart w:id="1786" w:name="Tc_RWKJ-CViYEe6Wf8VlCiqTA_7_9"/>
      <w:bookmarkStart w:id="1787" w:name="Tc_S-wYb8B8bEGkcU_VDEgmxg_7_0"/>
      <w:bookmarkStart w:id="1788" w:name="Tc_97j_XYlF40W-jug8VbbrQw_6_27"/>
      <w:bookmarkStart w:id="1789" w:name="Tc_w03Mju8fNk2foEHVLGJflQ_6_24"/>
      <w:bookmarkStart w:id="1790" w:name="Tc_mowYzjPCQkS0Tx_DNkfFPQ_6_18"/>
      <w:bookmarkStart w:id="1791" w:name="Tc_f0DM4_3E30CNkWk-mCtD7g_6_12"/>
      <w:bookmarkStart w:id="1792" w:name="Tc_duTGuMyLwEmkMTHD2wYeiw_6_6"/>
      <w:bookmarkStart w:id="1793" w:name="Tc_llA0CkiutkONW6mi-C0jcA_6_3"/>
      <w:bookmarkStart w:id="1794" w:name="Tc_9SjAT590iUio-K6iFhcojQ_6_0"/>
      <w:bookmarkStart w:id="1795" w:name="Tc_MUt0wwwMtkmOhaONGtMa0g_5_29"/>
      <w:bookmarkStart w:id="1796" w:name="Tc_HU07_kFtpEe3DV2BLIHO8w_5_27"/>
      <w:bookmarkStart w:id="1797" w:name="Tc_3o3nzpyglESSnvggXaAX_Q_5_26"/>
      <w:bookmarkStart w:id="1798" w:name="Tc_KE6JwUpkCkK36OpZ_8SuOw_5_23"/>
      <w:bookmarkStart w:id="1799" w:name="Tc_RJznVUvUkEmV17VPlny0WQ_5_20"/>
      <w:bookmarkStart w:id="1800" w:name="Tc_YfQ1W2bUf0GtOOYsoWZA6w_5_17"/>
      <w:bookmarkStart w:id="1801" w:name="Tc_HNk1Xb8OTUue2y6BIhbyZw_5_14"/>
      <w:bookmarkStart w:id="1802" w:name="Tc_pi5WfFWLZEOwhr3AmYCGcQ_5_11"/>
      <w:bookmarkStart w:id="1803" w:name="Tc_Q0QCC3r5jE2DMyHLTmRApA_5_8"/>
      <w:bookmarkStart w:id="1804" w:name="Tc_aBykJQao-k2eMKZfOytBmw_5_5"/>
      <w:bookmarkStart w:id="1805" w:name="Tc_RWF6xcD5rU2ntSspOBo9ug_5_3"/>
      <w:bookmarkStart w:id="1806" w:name="Tc_kV1Pd8INykS9MSBOVnW4QA_5_2"/>
      <w:bookmarkStart w:id="1807" w:name="Tc_dn0l3kax5UmAFU6BoEI2bw_5_0"/>
      <w:bookmarkStart w:id="1808" w:name="Tc_t6cT7aYXqUWM5RGk3rcjAw_4_0"/>
      <w:bookmarkStart w:id="1809" w:name="Tc_5QvYoMqAHUCs0BUFH7a6qA_3_2"/>
      <w:bookmarkStart w:id="1810" w:name="Tc_PpAlYmqxjUmVemBCPyw5sg_2_29"/>
      <w:bookmarkStart w:id="1811" w:name="Tc_X6LCbw1xqUO2USZOtLzs1Q_2_26"/>
      <w:bookmarkStart w:id="1812" w:name="Tc_V5uhHQjdYUGgwwYR3_8ltQ_2_23"/>
      <w:bookmarkStart w:id="1813" w:name="Tc_9WQH6mx8KUq7Isu6XsHGUA_2_20"/>
      <w:bookmarkStart w:id="1814" w:name="Tc_6oVsLG3kJEeYjc8Z278QSw_2_17"/>
      <w:bookmarkStart w:id="1815" w:name="Tc_wzVjvBFdCUWX1f5M9bo_sA_2_14"/>
      <w:bookmarkStart w:id="1816" w:name="Tc_LiWAuEQyGkanloRCd5xOaw_2_11"/>
      <w:bookmarkStart w:id="1817" w:name="Tc_nW81lIDyGkW3dAySnj2eow_2_8"/>
      <w:bookmarkStart w:id="1818" w:name="Tc_eBqqf1IHxEqqXMBGXrq7Ug_2_5"/>
      <w:bookmarkStart w:id="1819" w:name="Tc_K2dqNUrpJUqVs5ZMD7vhdg_2_2"/>
      <w:bookmarkStart w:id="1820" w:name="Tc_ksLPmqvgEUmoN0Qfos3hFw_1_2"/>
      <w:bookmarkStart w:id="1821" w:name="_4618694e_7f67_4fa6_ac33_001b054f10e6"/>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p>
    <w:tbl>
      <w:tblPr>
        <w:tblW w:w="11134" w:type="dxa"/>
        <w:jc w:val="left"/>
        <w:tblInd w:w="0" w:type="dxa"/>
        <w:tblLayout w:type="fixed"/>
        <w:tblCellMar>
          <w:top w:w="0" w:type="dxa"/>
          <w:left w:w="0" w:type="dxa"/>
          <w:bottom w:w="0" w:type="dxa"/>
          <w:right w:w="0" w:type="dxa"/>
        </w:tblCellMar>
      </w:tblPr>
      <w:tblGrid>
        <w:gridCol w:w="1051"/>
        <w:gridCol w:w="326"/>
        <w:gridCol w:w="285"/>
        <w:gridCol w:w="481"/>
        <w:gridCol w:w="326"/>
        <w:gridCol w:w="206"/>
        <w:gridCol w:w="436"/>
        <w:gridCol w:w="326"/>
        <w:gridCol w:w="255"/>
        <w:gridCol w:w="541"/>
        <w:gridCol w:w="326"/>
        <w:gridCol w:w="274"/>
        <w:gridCol w:w="462"/>
        <w:gridCol w:w="326"/>
        <w:gridCol w:w="206"/>
        <w:gridCol w:w="346"/>
        <w:gridCol w:w="326"/>
        <w:gridCol w:w="218"/>
        <w:gridCol w:w="368"/>
        <w:gridCol w:w="326"/>
        <w:gridCol w:w="213"/>
        <w:gridCol w:w="358"/>
        <w:gridCol w:w="326"/>
        <w:gridCol w:w="206"/>
        <w:gridCol w:w="346"/>
        <w:gridCol w:w="326"/>
        <w:gridCol w:w="239"/>
        <w:gridCol w:w="437"/>
        <w:gridCol w:w="326"/>
        <w:gridCol w:w="255"/>
        <w:gridCol w:w="69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67385" cy="175260"/>
                      <wp:effectExtent l="0" t="0" r="0" b="0"/>
                      <wp:wrapNone/>
                      <wp:docPr id="513" name="Frame51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80975" cy="175260"/>
                      <wp:effectExtent l="0" t="0" r="0" b="0"/>
                      <wp:wrapNone/>
                      <wp:docPr id="515" name="Frame51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05435" cy="175260"/>
                      <wp:effectExtent l="0" t="0" r="0" b="0"/>
                      <wp:wrapNone/>
                      <wp:docPr id="516" name="Frame51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0810" cy="175260"/>
                      <wp:effectExtent l="0" t="0" r="0" b="0"/>
                      <wp:wrapNone/>
                      <wp:docPr id="518" name="Frame5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76860" cy="175260"/>
                      <wp:effectExtent l="0" t="0" r="0" b="0"/>
                      <wp:wrapNone/>
                      <wp:docPr id="519" name="Frame51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61925" cy="175260"/>
                      <wp:effectExtent l="0" t="0" r="0" b="0"/>
                      <wp:wrapNone/>
                      <wp:docPr id="521" name="Frame52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43535" cy="175260"/>
                      <wp:effectExtent l="0" t="0" r="0" b="0"/>
                      <wp:wrapNone/>
                      <wp:docPr id="522" name="Frame52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73990" cy="175260"/>
                      <wp:effectExtent l="0" t="0" r="0" b="0"/>
                      <wp:wrapNone/>
                      <wp:docPr id="524" name="Frame52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93370" cy="175260"/>
                      <wp:effectExtent l="0" t="0" r="0" b="0"/>
                      <wp:wrapNone/>
                      <wp:docPr id="525" name="Frame52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0810" cy="175260"/>
                      <wp:effectExtent l="0" t="0" r="0" b="0"/>
                      <wp:wrapNone/>
                      <wp:docPr id="527" name="Frame5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8430" cy="175260"/>
                      <wp:effectExtent l="0" t="0" r="0" b="0"/>
                      <wp:wrapNone/>
                      <wp:docPr id="530" name="Frame5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33680" cy="175260"/>
                      <wp:effectExtent l="0" t="0" r="0" b="0"/>
                      <wp:wrapNone/>
                      <wp:docPr id="531" name="Frame531"/>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5255" cy="175260"/>
                      <wp:effectExtent l="0" t="0" r="0" b="0"/>
                      <wp:wrapNone/>
                      <wp:docPr id="533" name="Frame53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27330" cy="175260"/>
                      <wp:effectExtent l="0" t="0" r="0" b="0"/>
                      <wp:wrapNone/>
                      <wp:docPr id="534" name="Frame53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0810" cy="175260"/>
                      <wp:effectExtent l="0" t="0" r="0" b="0"/>
                      <wp:wrapNone/>
                      <wp:docPr id="536" name="Frame5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51765" cy="175260"/>
                      <wp:effectExtent l="0" t="0" r="0" b="0"/>
                      <wp:wrapNone/>
                      <wp:docPr id="539" name="Frame5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77495" cy="175260"/>
                      <wp:effectExtent l="0" t="0" r="0" b="0"/>
                      <wp:wrapNone/>
                      <wp:docPr id="540" name="Frame54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61925" cy="175260"/>
                      <wp:effectExtent l="0" t="0" r="0" b="0"/>
                      <wp:wrapNone/>
                      <wp:docPr id="542" name="Frame54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38785" cy="175260"/>
                      <wp:effectExtent l="0" t="0" r="0" b="0"/>
                      <wp:wrapNone/>
                      <wp:docPr id="543" name="Frame5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757" w:type="dxa"/>
            <w:gridSpan w:val="2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Year Ended December 31, 2021</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5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Metals</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1134" w:type="dxa"/>
            <w:gridSpan w:val="31"/>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757" w:type="dxa"/>
            <w:gridSpan w:val="29"/>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shd w:fill="CCEEFF" w:val="clear"/>
            <w:vAlign w:val="center"/>
          </w:tcPr>
          <w:p>
            <w:pPr>
              <w:pStyle w:val="TableContents"/>
              <w:bidi w:val="0"/>
              <w:spacing w:before="0" w:after="1"/>
              <w:ind w:left="0" w:right="0" w:hanging="0"/>
              <w:jc w:val="center"/>
              <w:rPr/>
            </w:pPr>
            <w:r>
              <w:rPr/>
              <w:t>    </w:t>
            </w:r>
          </w:p>
        </w:tc>
        <w:tc>
          <w:tcPr>
            <w:tcW w:w="285" w:type="dxa"/>
            <w:tcBorders/>
            <w:shd w:fill="CCEEFF" w:val="clear"/>
            <w:vAlign w:val="center"/>
          </w:tcPr>
          <w:p>
            <w:pPr>
              <w:pStyle w:val="TableContents"/>
              <w:bidi w:val="0"/>
              <w:spacing w:before="0" w:after="1"/>
              <w:ind w:left="0" w:right="0" w:hanging="0"/>
              <w:jc w:val="center"/>
              <w:rPr/>
            </w:pPr>
            <w:r>
              <w:rPr/>
              <w:t>  </w:t>
            </w:r>
          </w:p>
        </w:tc>
        <w:tc>
          <w:tcPr>
            <w:tcW w:w="4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center"/>
              <w:rPr/>
            </w:pPr>
            <w:r>
              <w:rPr/>
              <w:t>  </w:t>
            </w:r>
          </w:p>
        </w:tc>
        <w:tc>
          <w:tcPr>
            <w:tcW w:w="4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55" w:type="dxa"/>
            <w:tcBorders/>
            <w:shd w:fill="CCEEFF" w:val="clear"/>
            <w:vAlign w:val="center"/>
          </w:tcPr>
          <w:p>
            <w:pPr>
              <w:pStyle w:val="TableContents"/>
              <w:bidi w:val="0"/>
              <w:spacing w:before="0" w:after="1"/>
              <w:ind w:left="0" w:right="0" w:hanging="0"/>
              <w:jc w:val="center"/>
              <w:rPr/>
            </w:pPr>
            <w:r>
              <w:rPr/>
              <w:t>  </w:t>
            </w:r>
          </w:p>
        </w:tc>
        <w:tc>
          <w:tcPr>
            <w:tcW w:w="5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pPr>
            <w:r>
              <w:rPr/>
              <w:t>  </w:t>
            </w:r>
          </w:p>
        </w:tc>
        <w:tc>
          <w:tcPr>
            <w:tcW w:w="46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pPr>
            <w:r>
              <w:rPr/>
              <w:t>  </w:t>
            </w:r>
          </w:p>
        </w:tc>
        <w:tc>
          <w:tcPr>
            <w:tcW w:w="36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  </w:t>
            </w:r>
          </w:p>
        </w:tc>
        <w:tc>
          <w:tcPr>
            <w:tcW w:w="3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9" w:type="dxa"/>
            <w:tcBorders/>
            <w:shd w:fill="CCEEFF" w:val="clear"/>
            <w:vAlign w:val="center"/>
          </w:tcPr>
          <w:p>
            <w:pPr>
              <w:pStyle w:val="TableContents"/>
              <w:bidi w:val="0"/>
              <w:spacing w:before="0" w:after="1"/>
              <w:ind w:left="0" w:right="0" w:hanging="0"/>
              <w:jc w:val="center"/>
              <w:rPr/>
            </w:pPr>
            <w:r>
              <w:rPr/>
              <w:t>  </w:t>
            </w:r>
          </w:p>
        </w:tc>
        <w:tc>
          <w:tcPr>
            <w:tcW w:w="43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255" w:type="dxa"/>
            <w:tcBorders/>
            <w:shd w:fill="CCEEFF" w:val="clear"/>
            <w:vAlign w:val="center"/>
          </w:tcPr>
          <w:p>
            <w:pPr>
              <w:pStyle w:val="TableContents"/>
              <w:bidi w:val="0"/>
              <w:spacing w:before="0" w:after="1"/>
              <w:ind w:left="0" w:right="0" w:hanging="0"/>
              <w:jc w:val="center"/>
              <w:rPr/>
            </w:pPr>
            <w:r>
              <w:rPr/>
              <w:t>  </w:t>
            </w:r>
          </w:p>
        </w:tc>
        <w:tc>
          <w:tcPr>
            <w:tcW w:w="691" w:type="dxa"/>
            <w:tcBorders/>
            <w:shd w:fill="CCEEFF" w:val="clear"/>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7,242</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1,789</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524</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10,304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605</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gain (loss) from investment activities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(loss)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7,327</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2,370</w:t>
            </w:r>
          </w:p>
        </w:tc>
        <w:tc>
          <w:tcPr>
            <w:tcW w:w="326" w:type="dxa"/>
            <w:tcBorders/>
            <w:vAlign w:val="center"/>
          </w:tcPr>
          <w:p>
            <w:pPr>
              <w:pStyle w:val="TableContents"/>
              <w:bidi w:val="0"/>
              <w:spacing w:before="0" w:after="1"/>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402</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w:t>
            </w:r>
          </w:p>
        </w:tc>
        <w:tc>
          <w:tcPr>
            <w:tcW w:w="326" w:type="dxa"/>
            <w:tcBorders/>
            <w:vAlign w:val="center"/>
          </w:tcPr>
          <w:p>
            <w:pPr>
              <w:pStyle w:val="TableContents"/>
              <w:bidi w:val="0"/>
              <w:spacing w:before="0" w:after="1"/>
              <w:ind w:left="0" w:right="0" w:hanging="0"/>
              <w:jc w:val="left"/>
              <w:rPr/>
            </w:pPr>
            <w:r>
              <w:rPr/>
              <w:t> </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684</w:t>
            </w:r>
          </w:p>
        </w:tc>
        <w:tc>
          <w:tcPr>
            <w:tcW w:w="326" w:type="dxa"/>
            <w:tcBorders/>
            <w:vAlign w:val="center"/>
          </w:tcPr>
          <w:p>
            <w:pPr>
              <w:pStyle w:val="TableContents"/>
              <w:bidi w:val="0"/>
              <w:spacing w:before="0" w:after="1"/>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11,338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7,069</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1,339</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481</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9,485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475</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877</w:t>
            </w:r>
          </w:p>
        </w:tc>
        <w:tc>
          <w:tcPr>
            <w:tcW w:w="32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666</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7,325</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2,702</w:t>
            </w:r>
          </w:p>
        </w:tc>
        <w:tc>
          <w:tcPr>
            <w:tcW w:w="326" w:type="dxa"/>
            <w:tcBorders/>
            <w:vAlign w:val="center"/>
          </w:tcPr>
          <w:p>
            <w:pPr>
              <w:pStyle w:val="TableContents"/>
              <w:bidi w:val="0"/>
              <w:spacing w:before="0" w:after="1"/>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w:t>
            </w:r>
          </w:p>
        </w:tc>
        <w:tc>
          <w:tcPr>
            <w:tcW w:w="326" w:type="dxa"/>
            <w:tcBorders/>
            <w:vAlign w:val="center"/>
          </w:tcPr>
          <w:p>
            <w:pPr>
              <w:pStyle w:val="TableContents"/>
              <w:bidi w:val="0"/>
              <w:spacing w:before="0" w:after="1"/>
              <w:ind w:left="0" w:right="0" w:hanging="0"/>
              <w:jc w:val="left"/>
              <w:rPr/>
            </w:pPr>
            <w:r>
              <w:rPr/>
              <w:t> </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w:t>
            </w:r>
          </w:p>
        </w:tc>
        <w:tc>
          <w:tcPr>
            <w:tcW w:w="32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498</w:t>
            </w:r>
          </w:p>
        </w:tc>
        <w:tc>
          <w:tcPr>
            <w:tcW w:w="326" w:type="dxa"/>
            <w:tcBorders/>
            <w:vAlign w:val="center"/>
          </w:tcPr>
          <w:p>
            <w:pPr>
              <w:pStyle w:val="TableContents"/>
              <w:bidi w:val="0"/>
              <w:spacing w:before="0" w:after="1"/>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11,916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from continuing operations before income tax benefit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(332)</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186</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(383)</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326" w:type="dxa"/>
            <w:tcBorders/>
            <w:vAlign w:val="center"/>
          </w:tcPr>
          <w:p>
            <w:pPr>
              <w:pStyle w:val="TableContents"/>
              <w:bidi w:val="0"/>
              <w:spacing w:before="0" w:after="1"/>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from continuing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(260)</w:t>
            </w:r>
          </w:p>
        </w:tc>
        <w:tc>
          <w:tcPr>
            <w:tcW w:w="32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186</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(402)</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from continuing operations attributable to non-controlling interests</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from continuing operations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(260)</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517</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condensed statements of operations by reporting segment above, we provide additional disaggregated revenue information for our Energy and Automotive segments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0"/>
        <w:ind w:left="0" w:right="0" w:hanging="0"/>
        <w:jc w:val="left"/>
        <w:rPr/>
      </w:pPr>
      <w:r>
        <w:rPr/>
        <w:t>​</w:t>
      </w:r>
    </w:p>
    <w:tbl>
      <w:tblPr>
        <w:tblW w:w="5860" w:type="dxa"/>
        <w:jc w:val="left"/>
        <w:tblInd w:w="0" w:type="dxa"/>
        <w:tblLayout w:type="fixed"/>
        <w:tblCellMar>
          <w:top w:w="0" w:type="dxa"/>
          <w:left w:w="0" w:type="dxa"/>
          <w:bottom w:w="0" w:type="dxa"/>
          <w:right w:w="0" w:type="dxa"/>
        </w:tblCellMar>
      </w:tblPr>
      <w:tblGrid>
        <w:gridCol w:w="2326"/>
        <w:gridCol w:w="326"/>
        <w:gridCol w:w="211"/>
        <w:gridCol w:w="571"/>
        <w:gridCol w:w="326"/>
        <w:gridCol w:w="211"/>
        <w:gridCol w:w="676"/>
        <w:gridCol w:w="326"/>
        <w:gridCol w:w="211"/>
        <w:gridCol w:w="67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477010" cy="175260"/>
                      <wp:effectExtent l="0" t="0" r="0" b="0"/>
                      <wp:wrapNone/>
                      <wp:docPr id="544" name="Frame54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62585" cy="175260"/>
                      <wp:effectExtent l="0" t="0" r="0" b="0"/>
                      <wp:wrapNone/>
                      <wp:docPr id="547" name="Frame5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29260" cy="175260"/>
                      <wp:effectExtent l="0" t="0" r="0" b="0"/>
                      <wp:wrapNone/>
                      <wp:docPr id="550" name="Frame5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29260" cy="175260"/>
                      <wp:effectExtent l="0" t="0" r="0" b="0"/>
                      <wp:wrapNone/>
                      <wp:docPr id="553" name="Frame5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0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58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08"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Petroleum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6,709</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Nitrogen fertilizer products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2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7,242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bookmarkStart w:id="1822" w:name="Tc_fuj0EDji2EuijbEUe7q28w_24_26"/>
      <w:bookmarkStart w:id="1823" w:name="Tc_55o28wZzyEmVgeVHb1zrCQ_24_23"/>
      <w:bookmarkStart w:id="1824" w:name="Tc_B_h8X_nO-kWZ39AU2QLXvw_24_20"/>
      <w:bookmarkStart w:id="1825" w:name="Tc_hTjuLijDqU2rMoYEWlYglg_24_17"/>
      <w:bookmarkStart w:id="1826" w:name="Tc_wG9dLHYeCUqNIQuwrBuExg_24_14"/>
      <w:bookmarkStart w:id="1827" w:name="Tc_wUWeVCbcLE-LZULGCFsQsQ_24_11"/>
      <w:bookmarkStart w:id="1828" w:name="Tc_LNfjMOiP40qvwlT0CPFWzQ_24_8"/>
      <w:bookmarkStart w:id="1829" w:name="Tc_taeSAZlM_EOIXe07e7kDZw_24_5"/>
      <w:bookmarkStart w:id="1830" w:name="Tc_ob1xhqrQr0yHs1kYaFbXEA_24_2"/>
      <w:bookmarkStart w:id="1831" w:name="Tc_7IqZANj_lkKZS2m0Qz4KYQ_24_0"/>
      <w:bookmarkStart w:id="1832" w:name="Tc_ZQrwRmfvb0afCwBxWA91Dg_23_0"/>
      <w:bookmarkStart w:id="1833" w:name="Tc_xfo0ZxVvzUSIb0DsSoirhQ_22_24"/>
      <w:bookmarkStart w:id="1834" w:name="Tc_BGB0mhTwyEaSxAA_Szb4gQ_22_21"/>
      <w:bookmarkStart w:id="1835" w:name="Tc_mPj2-PvSRkijniIqs0q47A_22_18"/>
      <w:bookmarkStart w:id="1836" w:name="Tc_omUYgIwsNkiVdoBg2wwtjA_22_9"/>
      <w:bookmarkStart w:id="1837" w:name="Tc__Aka8-MleUaxyDJ2PUmNUg_22_0"/>
      <w:bookmarkStart w:id="1838" w:name="Tc_hSE3IoJt4kae1Ht1Oq8UMw_21_0"/>
      <w:bookmarkStart w:id="1839" w:name="Tc_RfIpOmU3m0iB_1VnhMZ3og_19_0"/>
      <w:bookmarkStart w:id="1840" w:name="Tc__TgrDA0HRUGCYyor43f29g_18_21"/>
      <w:bookmarkStart w:id="1841" w:name="Tc_Lr01nQThqUGKaifFLZzjNQ_18_3"/>
      <w:bookmarkStart w:id="1842" w:name="Tc_ZLtkY6KVa0aM-xjulexzUw_18_0"/>
      <w:bookmarkStart w:id="1843" w:name="Tc_A0aB9gYORkqigm4Vtf29Pw_17_24"/>
      <w:bookmarkStart w:id="1844" w:name="Tc_xQKAMRxjRkS2-U3EVezcVw_17_21"/>
      <w:bookmarkStart w:id="1845" w:name="Tc_2ZNNE3yF8kKZje4Yg_PeAg_17_18"/>
      <w:bookmarkStart w:id="1846" w:name="Tc_5bC7R3JJx0usOun9oUu2ag_17_15"/>
      <w:bookmarkStart w:id="1847" w:name="Tc_R6HwMwQOfkqJtwxseIs5Yw_17_12"/>
      <w:bookmarkStart w:id="1848" w:name="Tc_ka1RKAdh8UK36HRX2acfjQ_17_9"/>
      <w:bookmarkStart w:id="1849" w:name="Tc_mnG0c-shT0Kjr3iViLWJZw_17_6"/>
      <w:bookmarkStart w:id="1850" w:name="Tc_x4TqRnfW6E-PQKRcalR8EQ_17_0"/>
      <w:bookmarkStart w:id="1851" w:name="Tc_xrTPgYVODUCwFp_Z4GQXug_16_26"/>
      <w:bookmarkStart w:id="1852" w:name="Tc_I5pwVC5tekuTj90wCdqhXg_16_23"/>
      <w:bookmarkStart w:id="1853" w:name="Tc_5rux1eJeKkOLHie7Bp4ziw_16_20"/>
      <w:bookmarkStart w:id="1854" w:name="Tc_NiYee2yEi0K9W49dQfkRhQ_16_17"/>
      <w:bookmarkStart w:id="1855" w:name="Tc_npWX1VeXIEiojaIrcBregg_16_14"/>
      <w:bookmarkStart w:id="1856" w:name="Tc_A-k_lZzUj0-3iSlDE2k0Ag_16_11"/>
      <w:bookmarkStart w:id="1857" w:name="Tc_mz09dN-6X0u4iM0lX1T4Lg_16_8"/>
      <w:bookmarkStart w:id="1858" w:name="Tc_yFU5Uk7zWk2TENuGIz7eXQ_16_5"/>
      <w:bookmarkStart w:id="1859" w:name="Tc_WDkQYxCdSk-JnQfHwiR_QA_16_2"/>
      <w:bookmarkStart w:id="1860" w:name="Tc_sMigSzNQnEC1BbqguDCyhw_16_0"/>
      <w:bookmarkStart w:id="1861" w:name="Tc_BvV_6J61m0ajAX0-xOhu4Q_15_0"/>
      <w:bookmarkStart w:id="1862" w:name="Tc_N240Jp-Lu0K9drxdIdu3Ow_14_26"/>
      <w:bookmarkStart w:id="1863" w:name="Tc_32gPYW6vckGBk88OxOSfBQ_14_23"/>
      <w:bookmarkStart w:id="1864" w:name="Tc_JPS27vS4oEiBSgnmB0fXZw_14_20"/>
      <w:bookmarkStart w:id="1865" w:name="Tc_eHELpN0XOEO8piArxvPLhw_14_17"/>
      <w:bookmarkStart w:id="1866" w:name="Tc_P2uZ3JBrfUyuNDbxoeDWhg_14_14"/>
      <w:bookmarkStart w:id="1867" w:name="Tc_2L5gG4IsYEe6kB50_FmYaw_14_11"/>
      <w:bookmarkStart w:id="1868" w:name="Tc_UtPR3-kjlE20Jra-QmZzqw_14_8"/>
      <w:bookmarkStart w:id="1869" w:name="Tc_BuJBwy7s3ECAdiNBNRPCqg_14_5"/>
      <w:bookmarkStart w:id="1870" w:name="Tc_7jzOZUEtJkGtbqy8JV4ChQ_14_2"/>
      <w:bookmarkStart w:id="1871" w:name="Tc_70S8NdPU8E-KyX98LPWjfQ_14_0"/>
      <w:bookmarkStart w:id="1872" w:name="Tc_lqWpo22dcEuxPHGac6gIeQ_13_0"/>
      <w:bookmarkStart w:id="1873" w:name="Tc_4EXUVfGUX0C62MdnQoNL5g_12_24"/>
      <w:bookmarkStart w:id="1874" w:name="Tc_6qFQ4s4JiE2EL-jxDE9oyA_12_15"/>
      <w:bookmarkStart w:id="1875" w:name="Tc_m079rMowUkaU2rdw9MpmJA_12_3"/>
      <w:bookmarkStart w:id="1876" w:name="Tc_Zyfa6nIUW0yONIhCccaYbA_12_0"/>
      <w:bookmarkStart w:id="1877" w:name="Tc_qyhhMv0Ie0WwTbekH7KFaw_11_21"/>
      <w:bookmarkStart w:id="1878" w:name="Tc_d3eKOpfmV0i4YE5UIVcA3g_11_3"/>
      <w:bookmarkStart w:id="1879" w:name="Tc_92PT2osZc0CEwmTGdcpMkA_11_0"/>
      <w:bookmarkStart w:id="1880" w:name="Tc_DaKEspKjSkqEavdb-NXlSg_10_24"/>
      <w:bookmarkStart w:id="1881" w:name="Tc_JgFlTkr0zEG52-eOi9yjVg_10_15"/>
      <w:bookmarkStart w:id="1882" w:name="Tc_ZYAbxsamnEGlTftQLEJ_ZA_10_3"/>
      <w:bookmarkStart w:id="1883" w:name="Tc_1ZU7XblPVE-btI76sBIFqA_10_0"/>
      <w:bookmarkStart w:id="1884" w:name="Tc_jGY2K2cwCUWo01gVutoDPQ_9_21"/>
      <w:bookmarkStart w:id="1885" w:name="Tc_RW0T6l6rVk2M7scrtKmj1g_9_18"/>
      <w:bookmarkStart w:id="1886" w:name="Tc_FB92yAljFE6Cx6-10CyA_w_9_15"/>
      <w:bookmarkStart w:id="1887" w:name="Tc_3G4Goum5-UCc7bbVq1R4eQ_9_12"/>
      <w:bookmarkStart w:id="1888" w:name="Tc_v3LVwkkw3U6UvFokmGZAxg_9_9"/>
      <w:bookmarkStart w:id="1889" w:name="Tc_c4TKaUMJ3kCoWMIgf3OGRg_9_6"/>
      <w:bookmarkStart w:id="1890" w:name="Tc_T0xoMhn13UaLy3aePzz5KA_9_3"/>
      <w:bookmarkStart w:id="1891" w:name="Tc_94CdFcAqb0O8dzYHZ6jkSQ_9_0"/>
      <w:bookmarkStart w:id="1892" w:name="Tc_dco38r-egE6m6e400MNMMQ_8_24"/>
      <w:bookmarkStart w:id="1893" w:name="Tc_74zvEWQkS0yyZYYp9MPHAg_8_3"/>
      <w:bookmarkStart w:id="1894" w:name="Tc_4JWt88uOS0SXlzZJv3ItqA_8_0"/>
      <w:bookmarkStart w:id="1895" w:name="Tc_JIBoW-Q0L0K1qRKk4MDUcQ_7_24"/>
      <w:bookmarkStart w:id="1896" w:name="Tc_E5JT7KfEHEu2RP7j-OrF0g_7_21"/>
      <w:bookmarkStart w:id="1897" w:name="Tc_Td9WqbAI-0i9bz1GPCnY4w_7_18"/>
      <w:bookmarkStart w:id="1898" w:name="Tc_qYZyRuhzd0OCnQP0v5CK6g_7_12"/>
      <w:bookmarkStart w:id="1899" w:name="Tc_iItQEogDHkySKC5PFwrpGw_7_9"/>
      <w:bookmarkStart w:id="1900" w:name="Tc_-Dj55cNerkSzikL_BCpFVg_7_0"/>
      <w:bookmarkStart w:id="1901" w:name="Tc_VaSJdLn0jUOGm89mrh1KUA_6_21"/>
      <w:bookmarkStart w:id="1902" w:name="Tc_gZXjiGmq1UeNMHbMv_iF2A_6_12"/>
      <w:bookmarkStart w:id="1903" w:name="Tc_0ynlmaMxyEe32WOpCldVcw_6_0"/>
      <w:bookmarkStart w:id="1904" w:name="Tc_IV60YNQLrUqSZhdjYhJKFw_5_26"/>
      <w:bookmarkStart w:id="1905" w:name="Tc_nnhQMiD8UkWgtENNxign5A_5_23"/>
      <w:bookmarkStart w:id="1906" w:name="Tc_jAX-YRxroUe7w-qJnaXKAg_5_20"/>
      <w:bookmarkStart w:id="1907" w:name="Tc_SJX0VdXc30W_lbdDQcheww_5_17"/>
      <w:bookmarkStart w:id="1908" w:name="Tc_aMjsp6laekiqgHQLmPS_Tg_5_14"/>
      <w:bookmarkStart w:id="1909" w:name="Tc_4k7bg-A1BUekvJdK0KpHeA_5_11"/>
      <w:bookmarkStart w:id="1910" w:name="Tc_KiiGhWfzr0iijnt8Ptb-5w_5_8"/>
      <w:bookmarkStart w:id="1911" w:name="Tc_vX6qDUJE6km2OWrm2IuvrQ_5_5"/>
      <w:bookmarkStart w:id="1912" w:name="Tc_at5pZjBpF02EHx6UXEUwrQ_5_2"/>
      <w:bookmarkStart w:id="1913" w:name="Tc_e1vjCjpy4Ey6WsTOS1mz2A_5_0"/>
      <w:bookmarkStart w:id="1914" w:name="Tc_kzdB95Y5i0aTBApKgYJa9w_4_0"/>
      <w:bookmarkStart w:id="1915" w:name="Tc_LS9z6am-pE-WRHAyI5BpQw_3_2"/>
      <w:bookmarkStart w:id="1916" w:name="Tc_0CIhV0Re5EW6YCDbma8rLw_2_26"/>
      <w:bookmarkStart w:id="1917" w:name="Tc_15YfbXm9LUCqOLkmhEeV1g_2_23"/>
      <w:bookmarkStart w:id="1918" w:name="Tc_Bh3gV0oDBkWuvvW0OLihKg_2_20"/>
      <w:bookmarkStart w:id="1919" w:name="Tc_4VdRWZFBPECnmOrdaRtpwg_2_17"/>
      <w:bookmarkStart w:id="1920" w:name="Tc_PrR70ZkZWEugrkQ2Lv3U-A_2_14"/>
      <w:bookmarkStart w:id="1921" w:name="Tc_Njd23qweK0-Q9d-IhFtT_w_2_11"/>
      <w:bookmarkStart w:id="1922" w:name="Tc_9Usbekr2yEKdraSbaHQLDA_2_8"/>
      <w:bookmarkStart w:id="1923" w:name="Tc_3c_yilxKRUKynQMxAT721A_2_5"/>
      <w:bookmarkStart w:id="1924" w:name="Tc_Oew6ou0BIUKIucbdNCPV2g_2_2"/>
      <w:bookmarkStart w:id="1925" w:name="Tc_h523wE6hj0mDvDKZVCduyQ_1_2"/>
      <w:bookmarkStart w:id="1926" w:name="_1a2c80ac_dadd_426f_9c0d_b5867c9f9d37"/>
      <w:bookmarkStart w:id="1927" w:name="Tc_XbdNJ2kiQ0-f9EkdvjjyVw_8_8"/>
      <w:bookmarkStart w:id="1928" w:name="Tc_AchxVqzaxUOG0lJj760cIg_8_5"/>
      <w:bookmarkStart w:id="1929" w:name="Tc_7KID5ezqEUG6eTY64O7uSw_8_2"/>
      <w:bookmarkStart w:id="1930" w:name="Tc_exsdhIUF0UOVOry14xik4g_8_0"/>
      <w:bookmarkStart w:id="1931" w:name="Tc_U2STMWJ6Tki3KesTLqgQLA_7_0"/>
      <w:bookmarkStart w:id="1932" w:name="Tc_tnMY87z72keq2uks_q-Gmg_6_0"/>
      <w:bookmarkStart w:id="1933" w:name="Tc_Kc7T2KM1mE2fc_bcEoiIYg_5_0"/>
      <w:bookmarkStart w:id="1934" w:name="Tc_NUqx6o5fj0WBYS4ok1BIeg_4_8"/>
      <w:bookmarkStart w:id="1935" w:name="Tc_xdRd0_rLBUee1TJw5sHYSg_4_5"/>
      <w:bookmarkStart w:id="1936" w:name="Tc_UzapJIdCC0KA3ykDRysYzg_4_2"/>
      <w:bookmarkStart w:id="1937" w:name="Tc_Zzx-edeDjkqkITlzUyia9Q_4_0"/>
      <w:bookmarkStart w:id="1938" w:name="Tc_RFrBXOnKTEeUf4SPQlfSHA_3_2"/>
      <w:bookmarkStart w:id="1939" w:name="Tc_hCL2g1Mw00ucEWbm_6X-qQ_2_8"/>
      <w:bookmarkStart w:id="1940" w:name="Tc_bv-lOSm1iEmPTqEo0W7cdA_2_5"/>
      <w:bookmarkStart w:id="1941" w:name="Tc_UsDcs-Ra1EyckZWNhEFXSA_2_2"/>
      <w:bookmarkStart w:id="1942" w:name="Tc_pDxNqR4So0-OiHTIrmxDKw_1_2"/>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r>
        <w:rPr>
          <w:rFonts w:ascii="Times New Roman;Times;serif" w:hAnsi="Times New Roman;Times;serif"/>
          <w:b/>
          <w:i/>
          <w:sz w:val="20"/>
        </w:rPr>
        <w:t>Automotive</w:t>
      </w:r>
    </w:p>
    <w:p>
      <w:pPr>
        <w:pStyle w:val="TextBody"/>
        <w:bidi w:val="0"/>
        <w:spacing w:before="0" w:after="0"/>
        <w:ind w:left="0" w:right="0" w:hanging="0"/>
        <w:jc w:val="left"/>
        <w:rPr/>
      </w:pPr>
      <w:r>
        <w:rPr/>
        <w:t>​</w:t>
      </w:r>
    </w:p>
    <w:tbl>
      <w:tblPr>
        <w:tblW w:w="8635" w:type="dxa"/>
        <w:jc w:val="left"/>
        <w:tblInd w:w="0" w:type="dxa"/>
        <w:tblLayout w:type="fixed"/>
        <w:tblCellMar>
          <w:top w:w="0" w:type="dxa"/>
          <w:left w:w="0" w:type="dxa"/>
          <w:bottom w:w="0" w:type="dxa"/>
          <w:right w:w="0" w:type="dxa"/>
        </w:tblCellMar>
      </w:tblPr>
      <w:tblGrid>
        <w:gridCol w:w="5206"/>
        <w:gridCol w:w="326"/>
        <w:gridCol w:w="211"/>
        <w:gridCol w:w="571"/>
        <w:gridCol w:w="326"/>
        <w:gridCol w:w="211"/>
        <w:gridCol w:w="571"/>
        <w:gridCol w:w="326"/>
        <w:gridCol w:w="211"/>
        <w:gridCol w:w="67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3305810" cy="175260"/>
                      <wp:effectExtent l="0" t="0" r="0" b="0"/>
                      <wp:wrapNone/>
                      <wp:docPr id="554" name="Frame554"/>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6"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62585" cy="175260"/>
                      <wp:effectExtent l="0" t="0" r="0" b="0"/>
                      <wp:wrapNone/>
                      <wp:docPr id="557" name="Frame5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62585" cy="175260"/>
                      <wp:effectExtent l="0" t="0" r="0" b="0"/>
                      <wp:wrapNone/>
                      <wp:docPr id="560" name="Frame5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29260" cy="175260"/>
                      <wp:effectExtent l="0" t="0" r="0" b="0"/>
                      <wp:wrapNone/>
                      <wp:docPr id="563" name="Frame5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5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86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5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Aftermarket Parts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w:t>
            </w:r>
          </w:p>
        </w:tc>
      </w:tr>
      <w:tr>
        <w:trPr/>
        <w:tc>
          <w:tcPr>
            <w:tcW w:w="5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from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w:t>
            </w:r>
          </w:p>
        </w:tc>
      </w:tr>
      <w:tr>
        <w:trPr/>
        <w:tc>
          <w:tcPr>
            <w:tcW w:w="5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revenue outside scope ASC 606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Automotive net sales and other revenues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2,394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67"/>
        <w:gridCol w:w="109"/>
        <w:gridCol w:w="200"/>
        <w:gridCol w:w="566"/>
        <w:gridCol w:w="109"/>
        <w:gridCol w:w="181"/>
        <w:gridCol w:w="436"/>
        <w:gridCol w:w="109"/>
        <w:gridCol w:w="233"/>
        <w:gridCol w:w="563"/>
        <w:gridCol w:w="109"/>
        <w:gridCol w:w="252"/>
        <w:gridCol w:w="484"/>
        <w:gridCol w:w="109"/>
        <w:gridCol w:w="181"/>
        <w:gridCol w:w="346"/>
        <w:gridCol w:w="109"/>
        <w:gridCol w:w="201"/>
        <w:gridCol w:w="385"/>
        <w:gridCol w:w="326"/>
        <w:gridCol w:w="196"/>
        <w:gridCol w:w="375"/>
        <w:gridCol w:w="109"/>
        <w:gridCol w:w="181"/>
        <w:gridCol w:w="513"/>
        <w:gridCol w:w="109"/>
        <w:gridCol w:w="218"/>
        <w:gridCol w:w="729"/>
      </w:tblGrid>
      <w:tr>
        <w:trPr/>
        <w:tc>
          <w:tcPr>
            <w:tcW w:w="2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757045" cy="175260"/>
                      <wp:effectExtent l="0" t="0" r="0" b="0"/>
                      <wp:wrapNone/>
                      <wp:docPr id="564" name="Frame564"/>
                      <a:graphic xmlns:a="http://schemas.openxmlformats.org/drawingml/2006/main">
                        <a:graphicData uri="http://schemas.microsoft.com/office/word/2010/wordprocessingShape">
                          <wps:wsp>
                            <wps:cNvSpPr txBox="1"/>
                            <wps:spPr>
                              <a:xfrm>
                                <a:off x="0" y="0"/>
                                <a:ext cx="175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9215" cy="175260"/>
                      <wp:effectExtent l="0" t="0" r="0" b="0"/>
                      <wp:wrapNone/>
                      <wp:docPr id="565" name="Frame5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27000" cy="175260"/>
                      <wp:effectExtent l="0" t="0" r="0" b="0"/>
                      <wp:wrapNone/>
                      <wp:docPr id="566" name="Frame56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59410" cy="175260"/>
                      <wp:effectExtent l="0" t="0" r="0" b="0"/>
                      <wp:wrapNone/>
                      <wp:docPr id="567" name="Frame56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8" name="Frame5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14935" cy="175260"/>
                      <wp:effectExtent l="0" t="0" r="0" b="0"/>
                      <wp:wrapNone/>
                      <wp:docPr id="569" name="Frame5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76860" cy="175260"/>
                      <wp:effectExtent l="0" t="0" r="0" b="0"/>
                      <wp:wrapNone/>
                      <wp:docPr id="570" name="Frame57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71" name="Frame5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47955" cy="175260"/>
                      <wp:effectExtent l="0" t="0" r="0" b="0"/>
                      <wp:wrapNone/>
                      <wp:docPr id="572" name="Frame57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357505" cy="175260"/>
                      <wp:effectExtent l="0" t="0" r="0" b="0"/>
                      <wp:wrapNone/>
                      <wp:docPr id="573" name="Frame57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9215" cy="175260"/>
                      <wp:effectExtent l="0" t="0" r="0" b="0"/>
                      <wp:wrapNone/>
                      <wp:docPr id="574" name="Frame5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60020" cy="175260"/>
                      <wp:effectExtent l="0" t="0" r="0" b="0"/>
                      <wp:wrapNone/>
                      <wp:docPr id="575" name="Frame57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07340" cy="175260"/>
                      <wp:effectExtent l="0" t="0" r="0" b="0"/>
                      <wp:wrapNone/>
                      <wp:docPr id="576" name="Frame57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9215" cy="175260"/>
                      <wp:effectExtent l="0" t="0" r="0" b="0"/>
                      <wp:wrapNone/>
                      <wp:docPr id="577" name="Frame5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14935" cy="175260"/>
                      <wp:effectExtent l="0" t="0" r="0" b="0"/>
                      <wp:wrapNone/>
                      <wp:docPr id="578" name="Frame5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80"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27635" cy="175260"/>
                      <wp:effectExtent l="0" t="0" r="0" b="0"/>
                      <wp:wrapNone/>
                      <wp:docPr id="581" name="Frame58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44475" cy="175260"/>
                      <wp:effectExtent l="0" t="0" r="0" b="0"/>
                      <wp:wrapNone/>
                      <wp:docPr id="582" name="Frame58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24460" cy="175260"/>
                      <wp:effectExtent l="0" t="0" r="0" b="0"/>
                      <wp:wrapNone/>
                      <wp:docPr id="584" name="Frame5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38125" cy="175260"/>
                      <wp:effectExtent l="0" t="0" r="0" b="0"/>
                      <wp:wrapNone/>
                      <wp:docPr id="585" name="Frame58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14935" cy="175260"/>
                      <wp:effectExtent l="0" t="0" r="0" b="0"/>
                      <wp:wrapNone/>
                      <wp:docPr id="587" name="Frame5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25755" cy="175260"/>
                      <wp:effectExtent l="0" t="0" r="0" b="0"/>
                      <wp:wrapNone/>
                      <wp:docPr id="588" name="Frame588"/>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9215" cy="175260"/>
                      <wp:effectExtent l="0" t="0" r="0" b="0"/>
                      <wp:wrapNone/>
                      <wp:docPr id="589" name="Frame5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8430" cy="175260"/>
                      <wp:effectExtent l="0" t="0" r="0" b="0"/>
                      <wp:wrapNone/>
                      <wp:docPr id="590" name="Frame59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62915" cy="175260"/>
                      <wp:effectExtent l="0" t="0" r="0" b="0"/>
                      <wp:wrapNone/>
                      <wp:docPr id="591" name="Frame59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1"/>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1"/>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1"/>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1"/>
              <w:ind w:left="0" w:right="0" w:hanging="0"/>
              <w:jc w:val="center"/>
              <w:rPr/>
            </w:pPr>
            <w:r>
              <w:rPr/>
              <w:t>​</w:t>
            </w:r>
          </w:p>
        </w:tc>
        <w:tc>
          <w:tcPr>
            <w:tcW w:w="6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76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center"/>
              <w:rPr/>
            </w:pPr>
            <w:r>
              <w:rPr/>
              <w:t>​</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1,179</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1,584</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2,951</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2,995</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2,898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3,012</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485</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Related party note receivable</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604</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1,047</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2,594</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822</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3,969</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754</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4,425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310</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480</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5,634</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10,145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488</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1,996</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20,858</w:t>
            </w:r>
          </w:p>
        </w:tc>
      </w:tr>
      <w:tr>
        <w:trPr/>
        <w:tc>
          <w:tcPr>
            <w:tcW w:w="2767"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1,553</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890</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4,105</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3,473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3,473</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2,185</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4,847</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7,207</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3,738</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923</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4,909</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14,785</w:t>
            </w:r>
          </w:p>
        </w:tc>
      </w:tr>
      <w:tr>
        <w:trPr/>
        <w:tc>
          <w:tcPr>
            <w:tcW w:w="276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795</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1,096</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439</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(2,913)</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3,208</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2,117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2,865</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5,360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1,521</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1,096</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444</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(2,913)</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6,073</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10,145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488</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1,996</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20,858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bidi w:val="0"/>
        <w:spacing w:before="0" w:after="0"/>
        <w:jc w:val="left"/>
        <w:rPr>
          <w:sz w:val="4"/>
          <w:szCs w:val="4"/>
        </w:rPr>
      </w:pPr>
      <w:r>
        <w:rPr>
          <w:sz w:val="4"/>
          <w:szCs w:val="4"/>
        </w:rPr>
      </w:r>
      <w:bookmarkStart w:id="1943" w:name="Tc_NIBWuG4LCkKO9khwy7XKKA_23_26"/>
      <w:bookmarkStart w:id="1944" w:name="Tc_Yw0zatywJ0uRdl_90Azktw_23_23"/>
      <w:bookmarkStart w:id="1945" w:name="Tc_7GEEBUXkFkydSkmIIV529Q_23_20"/>
      <w:bookmarkStart w:id="1946" w:name="Tc_JpalJXXHU0m5yYyJ0pN0Kg_23_17"/>
      <w:bookmarkStart w:id="1947" w:name="Tc_O5tu4t2D70e_lSvg_azP9Q_23_14"/>
      <w:bookmarkStart w:id="1948" w:name="Tc_uZ4kLeeMkESEH1ZsLSHFnw_23_11"/>
      <w:bookmarkStart w:id="1949" w:name="Tc_R-MxLbmeRkCrPGdABXFX2g_23_8"/>
      <w:bookmarkStart w:id="1950" w:name="Tc_VQ6_Cwsug0i_eiUIFZ0YQA_23_5"/>
      <w:bookmarkStart w:id="1951" w:name="Tc_o5xFDipsykOiFiwrVygZFg_23_2"/>
      <w:bookmarkStart w:id="1952" w:name="Tc_n19GhWgQvkm01ygKF7EQxA_23_0"/>
      <w:bookmarkStart w:id="1953" w:name="Tc_FNVexAtF2kmfmmiOhuthvg_22_0"/>
      <w:bookmarkStart w:id="1954" w:name="Tc_DUfIwFScbE2GiL4VO74vKw_21_24"/>
      <w:bookmarkStart w:id="1955" w:name="Tc_7maADXUzZ0mMM2dCziMoKg_21_21"/>
      <w:bookmarkStart w:id="1956" w:name="Tc_8fawUYtFGk2F49P5w0ltaQ_21_18"/>
      <w:bookmarkStart w:id="1957" w:name="Tc_TcA4hEgV10yqj-bsNfQP1g_21_9"/>
      <w:bookmarkStart w:id="1958" w:name="Tc_QHAoCPAXg0eqMJB9LCafqQ_21_0"/>
      <w:bookmarkStart w:id="1959" w:name="Tc_2xG4P9neTkqGXI0qYeqq6g_20_0"/>
      <w:bookmarkStart w:id="1960" w:name="Tc_iU4pBeg0GEuSUfnlod9LPA_18_0"/>
      <w:bookmarkStart w:id="1961" w:name="Tc_1tC9934fYk6Ci2ZGuyI4jQ_17_21"/>
      <w:bookmarkStart w:id="1962" w:name="Tc_3oJt8QmalEOLPoLJ7PGl7Q_17_3"/>
      <w:bookmarkStart w:id="1963" w:name="Tc_kivRzUed7Uaaaqsf0xRHSA_17_0"/>
      <w:bookmarkStart w:id="1964" w:name="Tc_3EX8n9C2H06Q1uMnct4e1g_16_24"/>
      <w:bookmarkStart w:id="1965" w:name="Tc_VezqZhhbcEGgDUYYE_IP6A_16_21"/>
      <w:bookmarkStart w:id="1966" w:name="Tc_jDqieB4IaEeA44dtu7MCAA_16_18"/>
      <w:bookmarkStart w:id="1967" w:name="Tc_u2nfjxFoQE2jJq2ZT77zOQ_16_15"/>
      <w:bookmarkStart w:id="1968" w:name="Tc_UmB5KeVWqUi4OsipNkidQQ_16_12"/>
      <w:bookmarkStart w:id="1969" w:name="Tc_hy6m7wDKkUOfPDFvcbLzpw_16_9"/>
      <w:bookmarkStart w:id="1970" w:name="Tc_BD88HwnQt0mg7ToguXSWIg_16_6"/>
      <w:bookmarkStart w:id="1971" w:name="Tc_SENuTjhJGkqI5lSge_dzAA_16_0"/>
      <w:bookmarkStart w:id="1972" w:name="Tc_oykGPeTI-Eu43asZcE_1dQ_15_26"/>
      <w:bookmarkStart w:id="1973" w:name="Tc_Y7AgVgbqfkSrsnjVCMVxIQ_15_23"/>
      <w:bookmarkStart w:id="1974" w:name="Tc_PP-3VwIZtUaQgN5qes4vFA_15_20"/>
      <w:bookmarkStart w:id="1975" w:name="Tc_kIyXE3EwhEiupugaQVv3Sg_15_17"/>
      <w:bookmarkStart w:id="1976" w:name="Tc_skHbNsWFv0a74VMPUwp-xw_15_14"/>
      <w:bookmarkStart w:id="1977" w:name="Tc_8Yh9ZnnFVUyO2ahvBFps_A_15_11"/>
      <w:bookmarkStart w:id="1978" w:name="Tc_Rcm1Ds5rx06oZotRpze1Qw_15_8"/>
      <w:bookmarkStart w:id="1979" w:name="Tc_Hyjg9HgCGUinqj86lBI66A_15_5"/>
      <w:bookmarkStart w:id="1980" w:name="Tc_73pFfDRcqESaAHedLYg_fA_15_2"/>
      <w:bookmarkStart w:id="1981" w:name="Tc_9686SrBzyU2f7C0eodTTMw_15_0"/>
      <w:bookmarkStart w:id="1982" w:name="Tc_4vlRHymDjEWtpfDKxX4ruw_14_0"/>
      <w:bookmarkStart w:id="1983" w:name="Tc_oqBomwuExkW2SrRYudBZMg_13_26"/>
      <w:bookmarkStart w:id="1984" w:name="Tc_ZDTeNtBIoEqGfE7Pr7_hOQ_13_23"/>
      <w:bookmarkStart w:id="1985" w:name="Tc_qi4s8EWoZEamVK0LUd7FEg_13_20"/>
      <w:bookmarkStart w:id="1986" w:name="Tc_QiRig0Nfh0KNdZeMXjX35g_13_17"/>
      <w:bookmarkStart w:id="1987" w:name="Tc_C3FS__1S8UmLaPayT5yM7A_13_14"/>
      <w:bookmarkStart w:id="1988" w:name="Tc_w9Rm5zM31ka8232RqOPJbg_13_11"/>
      <w:bookmarkStart w:id="1989" w:name="Tc_aUMojn2b9kClgarQDUojyQ_13_8"/>
      <w:bookmarkStart w:id="1990" w:name="Tc_joZPOdMrpEauCtLx0_-3rA_13_5"/>
      <w:bookmarkStart w:id="1991" w:name="Tc_MXuvKwdyiUyFc5gwaS-JAw_13_2"/>
      <w:bookmarkStart w:id="1992" w:name="Tc_gPRlLbvjaU6Ilv4rWX3uUQ_13_0"/>
      <w:bookmarkStart w:id="1993" w:name="Tc_28BI2_8jZ0O8Ex0C2q-X8w_12_0"/>
      <w:bookmarkStart w:id="1994" w:name="Tc_A-mdBtjw-0ivQbW3BOPwnw_11_24"/>
      <w:bookmarkStart w:id="1995" w:name="Tc_btHrKnk8IUaA7LtVMbPUlQ_11_15"/>
      <w:bookmarkStart w:id="1996" w:name="Tc_OAqE-hBUmkyZ0PR1rwwu0A_11_3"/>
      <w:bookmarkStart w:id="1997" w:name="Tc_90zS2RXSFEK2qcK2in__9Q_11_0"/>
      <w:bookmarkStart w:id="1998" w:name="Tc_GttUK970_UKLz-p1A7qktg_10_21"/>
      <w:bookmarkStart w:id="1999" w:name="Tc_R97F6lJMSE-isv_DGseu9Q_10_3"/>
      <w:bookmarkStart w:id="2000" w:name="Tc_zR3pku-zV06fhtINJMMOOQ_10_0"/>
      <w:bookmarkStart w:id="2001" w:name="Tc_Z78_EqffZkOsesJrTcZWsg_9_24"/>
      <w:bookmarkStart w:id="2002" w:name="Tc_8YUPJjSlSk-oLMn3BIcHRw_9_15"/>
      <w:bookmarkStart w:id="2003" w:name="Tc_LfvrHJMIBUmk5Rm_7ItlFg_9_3"/>
      <w:bookmarkStart w:id="2004" w:name="Tc_JPvRboBzBUS0rS4qPFMA9w_9_0"/>
      <w:bookmarkStart w:id="2005" w:name="Tc_kuefA5X0lEmwRwzeCefy5g_8_24"/>
      <w:bookmarkStart w:id="2006" w:name="Tc_SzuMv9-B7U-e3Jau-rylHQ_8_3"/>
      <w:bookmarkStart w:id="2007" w:name="Tc_IUexvUAGb0eMyYuGlEZGkA_8_0"/>
      <w:bookmarkStart w:id="2008" w:name="Tc_brZ2tfVbHEKG8w4-pGiR0g_7_24"/>
      <w:bookmarkStart w:id="2009" w:name="Tc_1Iid_P-hAU6xIHcHwLG97g_7_21"/>
      <w:bookmarkStart w:id="2010" w:name="Tc_3xeESiY0K06j4upqk-a7yw_7_18"/>
      <w:bookmarkStart w:id="2011" w:name="Tc__DRN3fcpZEeEnEaTBMPZzw_7_12"/>
      <w:bookmarkStart w:id="2012" w:name="Tc_rjLKMFAT_UytQW7RJZDuZA_7_9"/>
      <w:bookmarkStart w:id="2013" w:name="Tc_tjpQy0FW0U-nlRnZGyWn1w_7_0"/>
      <w:bookmarkStart w:id="2014" w:name="Tc_OmNLBddnLUqzNTTF3yZD1g_6_21"/>
      <w:bookmarkStart w:id="2015" w:name="Tc_TCk5Fs9k6ketUknQmQx8lQ_6_12"/>
      <w:bookmarkStart w:id="2016" w:name="Tc_tOhBKz-Wlk6KTZFDqsanvw_6_0"/>
      <w:bookmarkStart w:id="2017" w:name="Tc_Ra2cMWLHOUiMOOTS1ajFUw_5_26"/>
      <w:bookmarkStart w:id="2018" w:name="Tc_EyTBAMzh-kKZTWImwkFt6w_5_23"/>
      <w:bookmarkStart w:id="2019" w:name="Tc_-t7JLmOfi0mml1z9R5DaaA_5_20"/>
      <w:bookmarkStart w:id="2020" w:name="Tc_wRI-SO1AQUWAQ7Kv86BtcQ_5_17"/>
      <w:bookmarkStart w:id="2021" w:name="Tc_6lZpdCMWNEqEjR6ek-Ts4A_5_14"/>
      <w:bookmarkStart w:id="2022" w:name="Tc_z-SBtRzU4kK--KPiW0qYOQ_5_11"/>
      <w:bookmarkStart w:id="2023" w:name="Tc_rpjeqPgqo0qzUyVmLrdo0Q_5_8"/>
      <w:bookmarkStart w:id="2024" w:name="Tc_bgedNfNE40yGye2Sm_3C9A_5_5"/>
      <w:bookmarkStart w:id="2025" w:name="Tc_eQP63j1bi06_oojPo0DvEA_5_2"/>
      <w:bookmarkStart w:id="2026" w:name="Tc_BQxKbQFJkUG9Edf2Mhggvg_5_0"/>
      <w:bookmarkStart w:id="2027" w:name="Tc_l4GN2mauYUeVOxTH3ag_bQ_4_0"/>
      <w:bookmarkStart w:id="2028" w:name="Tc_nOxkwcJ7r0yHI91sMLwwkw_3_2"/>
      <w:bookmarkStart w:id="2029" w:name="Tc_ONTkgkiTb0acar38aBiVXw_2_26"/>
      <w:bookmarkStart w:id="2030" w:name="Tc_6ZfM6GnfCESs87iI-IJKOw_2_23"/>
      <w:bookmarkStart w:id="2031" w:name="Tc_ZaTHIAIU5UOOZHwMDLE4CQ_2_20"/>
      <w:bookmarkStart w:id="2032" w:name="Tc_Eq5lyrV3F0KHXUjBUFJ81w_2_17"/>
      <w:bookmarkStart w:id="2033" w:name="Tc_mFXSnESL9E6KUnXYrpTbww_2_14"/>
      <w:bookmarkStart w:id="2034" w:name="Tc_M9X5ccLcqEOcCUB_k718dw_2_11"/>
      <w:bookmarkStart w:id="2035" w:name="Tc_7y_1nu1UjkGMD5smJEjIBw_2_8"/>
      <w:bookmarkStart w:id="2036" w:name="Tc_3V_wuO2s9ESQ8tPEaaNcRA_2_5"/>
      <w:bookmarkStart w:id="2037" w:name="Tc_T8qVx0Wxm0GvJLGPubmh3Q_2_2"/>
      <w:bookmarkStart w:id="2038" w:name="Tc_LQ3rwCQcYUeO6lW0BiMTvQ_1_2"/>
      <w:bookmarkStart w:id="2039" w:name="_db4d9aaf_ef02_4b10_b431_0cb3c929f029"/>
      <w:bookmarkStart w:id="2040" w:name="Tc_NIBWuG4LCkKO9khwy7XKKA_23_26"/>
      <w:bookmarkStart w:id="2041" w:name="Tc_Yw0zatywJ0uRdl_90Azktw_23_23"/>
      <w:bookmarkStart w:id="2042" w:name="Tc_7GEEBUXkFkydSkmIIV529Q_23_20"/>
      <w:bookmarkStart w:id="2043" w:name="Tc_JpalJXXHU0m5yYyJ0pN0Kg_23_17"/>
      <w:bookmarkStart w:id="2044" w:name="Tc_O5tu4t2D70e_lSvg_azP9Q_23_14"/>
      <w:bookmarkStart w:id="2045" w:name="Tc_uZ4kLeeMkESEH1ZsLSHFnw_23_11"/>
      <w:bookmarkStart w:id="2046" w:name="Tc_R-MxLbmeRkCrPGdABXFX2g_23_8"/>
      <w:bookmarkStart w:id="2047" w:name="Tc_VQ6_Cwsug0i_eiUIFZ0YQA_23_5"/>
      <w:bookmarkStart w:id="2048" w:name="Tc_o5xFDipsykOiFiwrVygZFg_23_2"/>
      <w:bookmarkStart w:id="2049" w:name="Tc_n19GhWgQvkm01ygKF7EQxA_23_0"/>
      <w:bookmarkStart w:id="2050" w:name="Tc_FNVexAtF2kmfmmiOhuthvg_22_0"/>
      <w:bookmarkStart w:id="2051" w:name="Tc_DUfIwFScbE2GiL4VO74vKw_21_24"/>
      <w:bookmarkStart w:id="2052" w:name="Tc_7maADXUzZ0mMM2dCziMoKg_21_21"/>
      <w:bookmarkStart w:id="2053" w:name="Tc_8fawUYtFGk2F49P5w0ltaQ_21_18"/>
      <w:bookmarkStart w:id="2054" w:name="Tc_TcA4hEgV10yqj-bsNfQP1g_21_9"/>
      <w:bookmarkStart w:id="2055" w:name="Tc_QHAoCPAXg0eqMJB9LCafqQ_21_0"/>
      <w:bookmarkStart w:id="2056" w:name="Tc_2xG4P9neTkqGXI0qYeqq6g_20_0"/>
      <w:bookmarkStart w:id="2057" w:name="Tc_iU4pBeg0GEuSUfnlod9LPA_18_0"/>
      <w:bookmarkStart w:id="2058" w:name="Tc_1tC9934fYk6Ci2ZGuyI4jQ_17_21"/>
      <w:bookmarkStart w:id="2059" w:name="Tc_3oJt8QmalEOLPoLJ7PGl7Q_17_3"/>
      <w:bookmarkStart w:id="2060" w:name="Tc_kivRzUed7Uaaaqsf0xRHSA_17_0"/>
      <w:bookmarkStart w:id="2061" w:name="Tc_3EX8n9C2H06Q1uMnct4e1g_16_24"/>
      <w:bookmarkStart w:id="2062" w:name="Tc_VezqZhhbcEGgDUYYE_IP6A_16_21"/>
      <w:bookmarkStart w:id="2063" w:name="Tc_jDqieB4IaEeA44dtu7MCAA_16_18"/>
      <w:bookmarkStart w:id="2064" w:name="Tc_u2nfjxFoQE2jJq2ZT77zOQ_16_15"/>
      <w:bookmarkStart w:id="2065" w:name="Tc_UmB5KeVWqUi4OsipNkidQQ_16_12"/>
      <w:bookmarkStart w:id="2066" w:name="Tc_hy6m7wDKkUOfPDFvcbLzpw_16_9"/>
      <w:bookmarkStart w:id="2067" w:name="Tc_BD88HwnQt0mg7ToguXSWIg_16_6"/>
      <w:bookmarkStart w:id="2068" w:name="Tc_SENuTjhJGkqI5lSge_dzAA_16_0"/>
      <w:bookmarkStart w:id="2069" w:name="Tc_oykGPeTI-Eu43asZcE_1dQ_15_26"/>
      <w:bookmarkStart w:id="2070" w:name="Tc_Y7AgVgbqfkSrsnjVCMVxIQ_15_23"/>
      <w:bookmarkStart w:id="2071" w:name="Tc_PP-3VwIZtUaQgN5qes4vFA_15_20"/>
      <w:bookmarkStart w:id="2072" w:name="Tc_kIyXE3EwhEiupugaQVv3Sg_15_17"/>
      <w:bookmarkStart w:id="2073" w:name="Tc_skHbNsWFv0a74VMPUwp-xw_15_14"/>
      <w:bookmarkStart w:id="2074" w:name="Tc_8Yh9ZnnFVUyO2ahvBFps_A_15_11"/>
      <w:bookmarkStart w:id="2075" w:name="Tc_Rcm1Ds5rx06oZotRpze1Qw_15_8"/>
      <w:bookmarkStart w:id="2076" w:name="Tc_Hyjg9HgCGUinqj86lBI66A_15_5"/>
      <w:bookmarkStart w:id="2077" w:name="Tc_73pFfDRcqESaAHedLYg_fA_15_2"/>
      <w:bookmarkStart w:id="2078" w:name="Tc_9686SrBzyU2f7C0eodTTMw_15_0"/>
      <w:bookmarkStart w:id="2079" w:name="Tc_4vlRHymDjEWtpfDKxX4ruw_14_0"/>
      <w:bookmarkStart w:id="2080" w:name="Tc_oqBomwuExkW2SrRYudBZMg_13_26"/>
      <w:bookmarkStart w:id="2081" w:name="Tc_ZDTeNtBIoEqGfE7Pr7_hOQ_13_23"/>
      <w:bookmarkStart w:id="2082" w:name="Tc_qi4s8EWoZEamVK0LUd7FEg_13_20"/>
      <w:bookmarkStart w:id="2083" w:name="Tc_QiRig0Nfh0KNdZeMXjX35g_13_17"/>
      <w:bookmarkStart w:id="2084" w:name="Tc_C3FS__1S8UmLaPayT5yM7A_13_14"/>
      <w:bookmarkStart w:id="2085" w:name="Tc_w9Rm5zM31ka8232RqOPJbg_13_11"/>
      <w:bookmarkStart w:id="2086" w:name="Tc_aUMojn2b9kClgarQDUojyQ_13_8"/>
      <w:bookmarkStart w:id="2087" w:name="Tc_joZPOdMrpEauCtLx0_-3rA_13_5"/>
      <w:bookmarkStart w:id="2088" w:name="Tc_MXuvKwdyiUyFc5gwaS-JAw_13_2"/>
      <w:bookmarkStart w:id="2089" w:name="Tc_gPRlLbvjaU6Ilv4rWX3uUQ_13_0"/>
      <w:bookmarkStart w:id="2090" w:name="Tc_28BI2_8jZ0O8Ex0C2q-X8w_12_0"/>
      <w:bookmarkStart w:id="2091" w:name="Tc_A-mdBtjw-0ivQbW3BOPwnw_11_24"/>
      <w:bookmarkStart w:id="2092" w:name="Tc_btHrKnk8IUaA7LtVMbPUlQ_11_15"/>
      <w:bookmarkStart w:id="2093" w:name="Tc_OAqE-hBUmkyZ0PR1rwwu0A_11_3"/>
      <w:bookmarkStart w:id="2094" w:name="Tc_90zS2RXSFEK2qcK2in__9Q_11_0"/>
      <w:bookmarkStart w:id="2095" w:name="Tc_GttUK970_UKLz-p1A7qktg_10_21"/>
      <w:bookmarkStart w:id="2096" w:name="Tc_R97F6lJMSE-isv_DGseu9Q_10_3"/>
      <w:bookmarkStart w:id="2097" w:name="Tc_zR3pku-zV06fhtINJMMOOQ_10_0"/>
      <w:bookmarkStart w:id="2098" w:name="Tc_Z78_EqffZkOsesJrTcZWsg_9_24"/>
      <w:bookmarkStart w:id="2099" w:name="Tc_8YUPJjSlSk-oLMn3BIcHRw_9_15"/>
      <w:bookmarkStart w:id="2100" w:name="Tc_LfvrHJMIBUmk5Rm_7ItlFg_9_3"/>
      <w:bookmarkStart w:id="2101" w:name="Tc_JPvRboBzBUS0rS4qPFMA9w_9_0"/>
      <w:bookmarkStart w:id="2102" w:name="Tc_kuefA5X0lEmwRwzeCefy5g_8_24"/>
      <w:bookmarkStart w:id="2103" w:name="Tc_SzuMv9-B7U-e3Jau-rylHQ_8_3"/>
      <w:bookmarkStart w:id="2104" w:name="Tc_IUexvUAGb0eMyYuGlEZGkA_8_0"/>
      <w:bookmarkStart w:id="2105" w:name="Tc_brZ2tfVbHEKG8w4-pGiR0g_7_24"/>
      <w:bookmarkStart w:id="2106" w:name="Tc_1Iid_P-hAU6xIHcHwLG97g_7_21"/>
      <w:bookmarkStart w:id="2107" w:name="Tc_3xeESiY0K06j4upqk-a7yw_7_18"/>
      <w:bookmarkStart w:id="2108" w:name="Tc__DRN3fcpZEeEnEaTBMPZzw_7_12"/>
      <w:bookmarkStart w:id="2109" w:name="Tc_rjLKMFAT_UytQW7RJZDuZA_7_9"/>
      <w:bookmarkStart w:id="2110" w:name="Tc_tjpQy0FW0U-nlRnZGyWn1w_7_0"/>
      <w:bookmarkStart w:id="2111" w:name="Tc_OmNLBddnLUqzNTTF3yZD1g_6_21"/>
      <w:bookmarkStart w:id="2112" w:name="Tc_TCk5Fs9k6ketUknQmQx8lQ_6_12"/>
      <w:bookmarkStart w:id="2113" w:name="Tc_tOhBKz-Wlk6KTZFDqsanvw_6_0"/>
      <w:bookmarkStart w:id="2114" w:name="Tc_Ra2cMWLHOUiMOOTS1ajFUw_5_26"/>
      <w:bookmarkStart w:id="2115" w:name="Tc_EyTBAMzh-kKZTWImwkFt6w_5_23"/>
      <w:bookmarkStart w:id="2116" w:name="Tc_-t7JLmOfi0mml1z9R5DaaA_5_20"/>
      <w:bookmarkStart w:id="2117" w:name="Tc_wRI-SO1AQUWAQ7Kv86BtcQ_5_17"/>
      <w:bookmarkStart w:id="2118" w:name="Tc_6lZpdCMWNEqEjR6ek-Ts4A_5_14"/>
      <w:bookmarkStart w:id="2119" w:name="Tc_z-SBtRzU4kK--KPiW0qYOQ_5_11"/>
      <w:bookmarkStart w:id="2120" w:name="Tc_rpjeqPgqo0qzUyVmLrdo0Q_5_8"/>
      <w:bookmarkStart w:id="2121" w:name="Tc_bgedNfNE40yGye2Sm_3C9A_5_5"/>
      <w:bookmarkStart w:id="2122" w:name="Tc_eQP63j1bi06_oojPo0DvEA_5_2"/>
      <w:bookmarkStart w:id="2123" w:name="Tc_BQxKbQFJkUG9Edf2Mhggvg_5_0"/>
      <w:bookmarkStart w:id="2124" w:name="Tc_l4GN2mauYUeVOxTH3ag_bQ_4_0"/>
      <w:bookmarkStart w:id="2125" w:name="Tc_nOxkwcJ7r0yHI91sMLwwkw_3_2"/>
      <w:bookmarkStart w:id="2126" w:name="Tc_ONTkgkiTb0acar38aBiVXw_2_26"/>
      <w:bookmarkStart w:id="2127" w:name="Tc_6ZfM6GnfCESs87iI-IJKOw_2_23"/>
      <w:bookmarkStart w:id="2128" w:name="Tc_ZaTHIAIU5UOOZHwMDLE4CQ_2_20"/>
      <w:bookmarkStart w:id="2129" w:name="Tc_Eq5lyrV3F0KHXUjBUFJ81w_2_17"/>
      <w:bookmarkStart w:id="2130" w:name="Tc_mFXSnESL9E6KUnXYrpTbww_2_14"/>
      <w:bookmarkStart w:id="2131" w:name="Tc_M9X5ccLcqEOcCUB_k718dw_2_11"/>
      <w:bookmarkStart w:id="2132" w:name="Tc_7y_1nu1UjkGMD5smJEjIBw_2_8"/>
      <w:bookmarkStart w:id="2133" w:name="Tc_3V_wuO2s9ESQ8tPEaaNcRA_2_5"/>
      <w:bookmarkStart w:id="2134" w:name="Tc_T8qVx0Wxm0GvJLGPubmh3Q_2_2"/>
      <w:bookmarkStart w:id="2135" w:name="Tc_LQ3rwCQcYUeO6lW0BiMTvQ_1_2"/>
      <w:bookmarkStart w:id="2136" w:name="_db4d9aaf_ef02_4b10_b431_0cb3c929f02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p>
    <w:tbl>
      <w:tblPr>
        <w:tblW w:w="10205" w:type="dxa"/>
        <w:jc w:val="left"/>
        <w:tblInd w:w="0" w:type="dxa"/>
        <w:tblLayout w:type="fixed"/>
        <w:tblCellMar>
          <w:top w:w="0" w:type="dxa"/>
          <w:left w:w="0" w:type="dxa"/>
          <w:bottom w:w="0" w:type="dxa"/>
          <w:right w:w="0" w:type="dxa"/>
        </w:tblCellMar>
      </w:tblPr>
      <w:tblGrid>
        <w:gridCol w:w="2767"/>
        <w:gridCol w:w="109"/>
        <w:gridCol w:w="200"/>
        <w:gridCol w:w="566"/>
        <w:gridCol w:w="109"/>
        <w:gridCol w:w="181"/>
        <w:gridCol w:w="436"/>
        <w:gridCol w:w="109"/>
        <w:gridCol w:w="233"/>
        <w:gridCol w:w="563"/>
        <w:gridCol w:w="109"/>
        <w:gridCol w:w="252"/>
        <w:gridCol w:w="484"/>
        <w:gridCol w:w="109"/>
        <w:gridCol w:w="181"/>
        <w:gridCol w:w="346"/>
        <w:gridCol w:w="109"/>
        <w:gridCol w:w="201"/>
        <w:gridCol w:w="385"/>
        <w:gridCol w:w="326"/>
        <w:gridCol w:w="196"/>
        <w:gridCol w:w="375"/>
        <w:gridCol w:w="109"/>
        <w:gridCol w:w="181"/>
        <w:gridCol w:w="513"/>
        <w:gridCol w:w="109"/>
        <w:gridCol w:w="218"/>
        <w:gridCol w:w="729"/>
      </w:tblGrid>
      <w:tr>
        <w:trPr/>
        <w:tc>
          <w:tcPr>
            <w:tcW w:w="2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757045" cy="175260"/>
                      <wp:effectExtent l="0" t="0" r="0" b="0"/>
                      <wp:wrapNone/>
                      <wp:docPr id="592" name="Frame592"/>
                      <a:graphic xmlns:a="http://schemas.openxmlformats.org/drawingml/2006/main">
                        <a:graphicData uri="http://schemas.microsoft.com/office/word/2010/wordprocessingShape">
                          <wps:wsp>
                            <wps:cNvSpPr txBox="1"/>
                            <wps:spPr>
                              <a:xfrm>
                                <a:off x="0" y="0"/>
                                <a:ext cx="175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3" name="Frame5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27000" cy="175260"/>
                      <wp:effectExtent l="0" t="0" r="0" b="0"/>
                      <wp:wrapNone/>
                      <wp:docPr id="594" name="Frame594"/>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359410" cy="175260"/>
                      <wp:effectExtent l="0" t="0" r="0" b="0"/>
                      <wp:wrapNone/>
                      <wp:docPr id="595" name="Frame59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96"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14935" cy="175260"/>
                      <wp:effectExtent l="0" t="0" r="0" b="0"/>
                      <wp:wrapNone/>
                      <wp:docPr id="597" name="Frame5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76860" cy="175260"/>
                      <wp:effectExtent l="0" t="0" r="0" b="0"/>
                      <wp:wrapNone/>
                      <wp:docPr id="598" name="Frame59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9215" cy="175260"/>
                      <wp:effectExtent l="0" t="0" r="0" b="0"/>
                      <wp:wrapNone/>
                      <wp:docPr id="599"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47955" cy="175260"/>
                      <wp:effectExtent l="0" t="0" r="0" b="0"/>
                      <wp:wrapNone/>
                      <wp:docPr id="600" name="Frame60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357505" cy="175260"/>
                      <wp:effectExtent l="0" t="0" r="0" b="0"/>
                      <wp:wrapNone/>
                      <wp:docPr id="601" name="Frame601"/>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75260"/>
                      <wp:effectExtent l="0" t="0" r="0" b="0"/>
                      <wp:wrapNone/>
                      <wp:docPr id="602"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60020" cy="175260"/>
                      <wp:effectExtent l="0" t="0" r="0" b="0"/>
                      <wp:wrapNone/>
                      <wp:docPr id="603" name="Frame60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307340" cy="175260"/>
                      <wp:effectExtent l="0" t="0" r="0" b="0"/>
                      <wp:wrapNone/>
                      <wp:docPr id="604" name="Frame604"/>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9215" cy="175260"/>
                      <wp:effectExtent l="0" t="0" r="0" b="0"/>
                      <wp:wrapNone/>
                      <wp:docPr id="605"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14935" cy="175260"/>
                      <wp:effectExtent l="0" t="0" r="0" b="0"/>
                      <wp:wrapNone/>
                      <wp:docPr id="606" name="Frame6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7"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608"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27635" cy="175260"/>
                      <wp:effectExtent l="0" t="0" r="0" b="0"/>
                      <wp:wrapNone/>
                      <wp:docPr id="609" name="Frame60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44475" cy="175260"/>
                      <wp:effectExtent l="0" t="0" r="0" b="0"/>
                      <wp:wrapNone/>
                      <wp:docPr id="610" name="Frame61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11"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24460" cy="175260"/>
                      <wp:effectExtent l="0" t="0" r="0" b="0"/>
                      <wp:wrapNone/>
                      <wp:docPr id="612" name="Frame6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38125" cy="175260"/>
                      <wp:effectExtent l="0" t="0" r="0" b="0"/>
                      <wp:wrapNone/>
                      <wp:docPr id="613" name="Frame61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14935" cy="175260"/>
                      <wp:effectExtent l="0" t="0" r="0" b="0"/>
                      <wp:wrapNone/>
                      <wp:docPr id="615" name="Frame6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25755" cy="175260"/>
                      <wp:effectExtent l="0" t="0" r="0" b="0"/>
                      <wp:wrapNone/>
                      <wp:docPr id="616" name="Frame616"/>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38430" cy="175260"/>
                      <wp:effectExtent l="0" t="0" r="0" b="0"/>
                      <wp:wrapNone/>
                      <wp:docPr id="618" name="Frame61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62915" cy="175260"/>
                      <wp:effectExtent l="0" t="0" r="0" b="0"/>
                      <wp:wrapNone/>
                      <wp:docPr id="619" name="Frame619"/>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2022</w:t>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1"/>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1"/>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1"/>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1"/>
              <w:ind w:left="0" w:right="0" w:hanging="0"/>
              <w:jc w:val="center"/>
              <w:rPr/>
            </w:pPr>
            <w:r>
              <w:rPr/>
              <w:t>​</w:t>
            </w:r>
          </w:p>
        </w:tc>
        <w:tc>
          <w:tcPr>
            <w:tcW w:w="6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76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center"/>
              <w:rPr/>
            </w:pPr>
            <w:r>
              <w:rPr/>
              <w:t>​</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510</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1,720</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2,337</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2,455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2,549</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6,719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6,809</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606</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686</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1,531</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2,664</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826</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345</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4,038</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352</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821</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8,041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9,223</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17,234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4,735</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2,532</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507</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1,916</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27,914</w:t>
            </w:r>
          </w:p>
        </w:tc>
      </w:tr>
      <w:tr>
        <w:trPr/>
        <w:tc>
          <w:tcPr>
            <w:tcW w:w="2767"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pPr>
            <w:r>
              <w:rPr/>
              <w:t>​</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1,823</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981</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4,765</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6,495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6,495</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1,591</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5,309</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7,096</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8,084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3,414</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1,002</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5,379</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18,356</w:t>
            </w:r>
          </w:p>
        </w:tc>
      </w:tr>
      <w:tr>
        <w:trPr/>
        <w:tc>
          <w:tcPr>
            <w:tcW w:w="27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4,184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648</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1,530</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(3,463)</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3,900</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4,966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673</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5,658</w:t>
            </w:r>
          </w:p>
        </w:tc>
      </w:tr>
      <w:tr>
        <w:trPr/>
        <w:tc>
          <w:tcPr>
            <w:tcW w:w="276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9,150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1,321</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1,530</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459</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(3,463)</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9,558</w:t>
            </w:r>
          </w:p>
        </w:tc>
      </w:tr>
      <w:tr>
        <w:trPr/>
        <w:tc>
          <w:tcPr>
            <w:tcW w:w="276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17,234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4,735</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2,532</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507</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1,916</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27,914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2137" w:name="Tc_0pNezmy0Y0-NJJdDjn9DYg_8_23"/>
      <w:bookmarkStart w:id="2138" w:name="Tc_85itrz9Ur0iB8lYIHmeeyA_8_20"/>
      <w:bookmarkStart w:id="2139" w:name="Tc_YKoea_rd9kqB6twx3W4sLA_8_17"/>
      <w:bookmarkStart w:id="2140" w:name="Tc_-psUgHhE6EuzA7qEGM_fHA_8_14"/>
      <w:bookmarkStart w:id="2141" w:name="Tc_X7ODb5ALAEiOALyETa3Imw_8_11"/>
      <w:bookmarkStart w:id="2142" w:name="Tc_RSGwHzTbSU-lgDjezAdd2g_8_8"/>
      <w:bookmarkStart w:id="2143" w:name="Tc_wOLm9VkPvkWGl4ZI0gLzMg_8_5"/>
      <w:bookmarkStart w:id="2144" w:name="Tc_fcBZSlSNOkuzXh9LtOPVVw_8_2"/>
      <w:bookmarkStart w:id="2145" w:name="Tc_q4ehcBpft0Kbfry9aM0dIw_7_0"/>
      <w:bookmarkStart w:id="2146" w:name="Tc_TFeHo8xS4UOAF0lCV1hwZw_6_23"/>
      <w:bookmarkStart w:id="2147" w:name="Tc_OnfKuJpFbEOLInPLT_Vaag_6_20"/>
      <w:bookmarkStart w:id="2148" w:name="Tc_QKFTKE6CyUWI294lt-1n1g_6_17"/>
      <w:bookmarkStart w:id="2149" w:name="Tc__8piE1SiY0aMVr7SJpIl7w_6_14"/>
      <w:bookmarkStart w:id="2150" w:name="Tc_ZSEo2x4rbEaM3UAccDQXng_6_11"/>
      <w:bookmarkStart w:id="2151" w:name="Tc_kgk_7DLK5U2Zhf8vMtra1Q_6_8"/>
      <w:bookmarkStart w:id="2152" w:name="Tc_FITle4985E6FhZOcMlRIBw_6_5"/>
      <w:bookmarkStart w:id="2153" w:name="Tc_qW082yGrwkW71zQdY2UfQQ_6_2"/>
      <w:bookmarkStart w:id="2154" w:name="Tc_tZnvM_dmwUabv9pKDSe1RQ_6_0"/>
      <w:bookmarkStart w:id="2155" w:name="Tc_kxgekrNLo0OoeDaQ2gpqKQ_5_1"/>
      <w:bookmarkStart w:id="2156" w:name="Tc_z3W8-tezhUGKaZHRrAQ2wQ_4_23"/>
      <w:bookmarkStart w:id="2157" w:name="Tc_2fszRWVkCE2bziaEtFGf7A_4_20"/>
      <w:bookmarkStart w:id="2158" w:name="Tc_jMP4GGdlmU-4OtQjycXEpQ_4_17"/>
      <w:bookmarkStart w:id="2159" w:name="Tc_Yipw5rEtakadyQX5j64y7g_4_14"/>
      <w:bookmarkStart w:id="2160" w:name="Tc_w-SDZDS-J0a8UiyTVPs04A_4_11"/>
      <w:bookmarkStart w:id="2161" w:name="Tc_RwL4SGGrm0aCfVe1XITSYg_4_8"/>
      <w:bookmarkStart w:id="2162" w:name="Tc_bG8IJJ2RmUmpYABkxp8KZQ_4_5"/>
      <w:bookmarkStart w:id="2163" w:name="Tc_Fo6LqJSqvkueTWn-RDwPPA_4_2"/>
      <w:bookmarkStart w:id="2164" w:name="Tc_iUR-XHR_q0mr3cm2FlsydA_3_20"/>
      <w:bookmarkStart w:id="2165" w:name="Tc_eELsuCu390mXYoR4z8FlYQ_3_11"/>
      <w:bookmarkStart w:id="2166" w:name="Tc_yC7p0ZmdbEGpK8lsyuZ8CA_3_2"/>
      <w:bookmarkStart w:id="2167" w:name="Tc_58BCkHhiMUGtVSQ9wMWzxg_2_20"/>
      <w:bookmarkStart w:id="2168" w:name="Tc_s7pbH7xWqU-UYKkOjmc1QQ_2_11"/>
      <w:bookmarkStart w:id="2169" w:name="Tc_34hZaY05GUOKf-mtnDqE6Q_2_2"/>
      <w:bookmarkStart w:id="2170" w:name="Tc_GmjE1qO8CEijGVwDS2lMOQ_1_20"/>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r>
        <w:rPr>
          <w:rFonts w:ascii="Times New Roman;Times;serif" w:hAnsi="Times New Roman;Times;serif"/>
          <w:b/>
          <w:sz w:val="20"/>
        </w:rPr>
        <w:t>Geographic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consolidated geographic net sales from external customers, other revenues from operations and property, plant and equipment, net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84"/>
        <w:gridCol w:w="326"/>
        <w:gridCol w:w="211"/>
        <w:gridCol w:w="676"/>
        <w:gridCol w:w="326"/>
        <w:gridCol w:w="211"/>
        <w:gridCol w:w="676"/>
        <w:gridCol w:w="326"/>
        <w:gridCol w:w="211"/>
        <w:gridCol w:w="676"/>
        <w:gridCol w:w="326"/>
        <w:gridCol w:w="226"/>
        <w:gridCol w:w="451"/>
        <w:gridCol w:w="349"/>
        <w:gridCol w:w="226"/>
        <w:gridCol w:w="451"/>
        <w:gridCol w:w="349"/>
        <w:gridCol w:w="226"/>
        <w:gridCol w:w="451"/>
        <w:gridCol w:w="326"/>
        <w:gridCol w:w="211"/>
        <w:gridCol w:w="571"/>
        <w:gridCol w:w="326"/>
        <w:gridCol w:w="211"/>
        <w:gridCol w:w="682"/>
      </w:tblGrid>
      <w:tr>
        <w:trPr/>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751840" cy="175260"/>
                      <wp:effectExtent l="0" t="0" r="0" b="0"/>
                      <wp:wrapNone/>
                      <wp:docPr id="620" name="Frame620"/>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22" name="Frame6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29260" cy="175260"/>
                      <wp:effectExtent l="0" t="0" r="0" b="0"/>
                      <wp:wrapNone/>
                      <wp:docPr id="623" name="Frame6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7010" cy="175260"/>
                      <wp:effectExtent l="0" t="0" r="0" b="0"/>
                      <wp:wrapNone/>
                      <wp:docPr id="624" name="Frame6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5"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429260" cy="175260"/>
                      <wp:effectExtent l="0" t="0" r="0" b="0"/>
                      <wp:wrapNone/>
                      <wp:docPr id="626" name="Frame6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7010" cy="175260"/>
                      <wp:effectExtent l="0" t="0" r="0" b="0"/>
                      <wp:wrapNone/>
                      <wp:docPr id="627" name="Frame6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8"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29260" cy="175260"/>
                      <wp:effectExtent l="0" t="0" r="0" b="0"/>
                      <wp:wrapNone/>
                      <wp:docPr id="629" name="Frame6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30" name="Frame6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43510" cy="175260"/>
                      <wp:effectExtent l="0" t="0" r="0" b="0"/>
                      <wp:wrapNone/>
                      <wp:docPr id="631" name="Frame6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86385" cy="175260"/>
                      <wp:effectExtent l="0" t="0" r="0" b="0"/>
                      <wp:wrapNone/>
                      <wp:docPr id="632" name="Frame63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21615" cy="175260"/>
                      <wp:effectExtent l="0" t="0" r="0" b="0"/>
                      <wp:wrapNone/>
                      <wp:docPr id="633" name="Frame63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43510" cy="175260"/>
                      <wp:effectExtent l="0" t="0" r="0" b="0"/>
                      <wp:wrapNone/>
                      <wp:docPr id="634" name="Frame6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86385" cy="175260"/>
                      <wp:effectExtent l="0" t="0" r="0" b="0"/>
                      <wp:wrapNone/>
                      <wp:docPr id="635" name="Frame63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21615" cy="175260"/>
                      <wp:effectExtent l="0" t="0" r="0" b="0"/>
                      <wp:wrapNone/>
                      <wp:docPr id="636" name="Frame63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43510" cy="175260"/>
                      <wp:effectExtent l="0" t="0" r="0" b="0"/>
                      <wp:wrapNone/>
                      <wp:docPr id="637" name="Frame6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86385" cy="175260"/>
                      <wp:effectExtent l="0" t="0" r="0" b="0"/>
                      <wp:wrapNone/>
                      <wp:docPr id="638" name="Frame63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9" name="Frame6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362585" cy="175260"/>
                      <wp:effectExtent l="0" t="0" r="0" b="0"/>
                      <wp:wrapNone/>
                      <wp:docPr id="641" name="Frame6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42"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33985" cy="175260"/>
                      <wp:effectExtent l="0" t="0" r="0" b="0"/>
                      <wp:wrapNone/>
                      <wp:docPr id="643"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433070" cy="175260"/>
                      <wp:effectExtent l="0" t="0" r="0" b="0"/>
                      <wp:wrapNone/>
                      <wp:docPr id="644" name="Frame64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29" w:type="dxa"/>
            <w:gridSpan w:val="8"/>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0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Property, Plant and</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 Sales</w:t>
            </w:r>
          </w:p>
        </w:tc>
        <w:tc>
          <w:tcPr>
            <w:tcW w:w="326" w:type="dxa"/>
            <w:tcBorders/>
            <w:vAlign w:val="center"/>
          </w:tcPr>
          <w:p>
            <w:pPr>
              <w:pStyle w:val="TableContents"/>
              <w:bidi w:val="0"/>
              <w:spacing w:before="0" w:after="1"/>
              <w:ind w:left="0" w:right="0" w:hanging="0"/>
              <w:jc w:val="left"/>
              <w:rPr/>
            </w:pPr>
            <w:r>
              <w:rPr/>
              <w:t>​</w:t>
            </w:r>
          </w:p>
        </w:tc>
        <w:tc>
          <w:tcPr>
            <w:tcW w:w="27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 Revenues From Operations</w:t>
            </w:r>
          </w:p>
        </w:tc>
        <w:tc>
          <w:tcPr>
            <w:tcW w:w="326" w:type="dxa"/>
            <w:tcBorders/>
            <w:vAlign w:val="center"/>
          </w:tcPr>
          <w:p>
            <w:pPr>
              <w:pStyle w:val="TableContents"/>
              <w:bidi w:val="0"/>
              <w:spacing w:before="0" w:after="1"/>
              <w:ind w:left="0" w:right="0" w:hanging="0"/>
              <w:jc w:val="center"/>
              <w:rPr/>
            </w:pPr>
            <w:r>
              <w:rPr/>
              <w:t>​</w:t>
            </w:r>
          </w:p>
        </w:tc>
        <w:tc>
          <w:tcPr>
            <w:tcW w:w="20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Equipment, Net</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26" w:type="dxa"/>
            <w:tcBorders/>
            <w:vAlign w:val="center"/>
          </w:tcPr>
          <w:p>
            <w:pPr>
              <w:pStyle w:val="TableContents"/>
              <w:bidi w:val="0"/>
              <w:spacing w:before="0" w:after="1"/>
              <w:ind w:left="0" w:right="0" w:hanging="0"/>
              <w:jc w:val="center"/>
              <w:rPr/>
            </w:pPr>
            <w:r>
              <w:rPr/>
              <w:t>​</w:t>
            </w:r>
          </w:p>
        </w:tc>
        <w:tc>
          <w:tcPr>
            <w:tcW w:w="27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26" w:type="dxa"/>
            <w:tcBorders/>
            <w:vAlign w:val="center"/>
          </w:tcPr>
          <w:p>
            <w:pPr>
              <w:pStyle w:val="TableContents"/>
              <w:bidi w:val="0"/>
              <w:spacing w:before="0" w:after="1"/>
              <w:ind w:left="0" w:right="0" w:hanging="0"/>
              <w:jc w:val="center"/>
              <w:rPr/>
            </w:pPr>
            <w:r>
              <w:rPr/>
              <w:t>​</w:t>
            </w:r>
          </w:p>
        </w:tc>
        <w:tc>
          <w:tcPr>
            <w:tcW w:w="20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9"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49"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84" w:type="dxa"/>
            <w:tcBorders/>
            <w:vAlign w:val="center"/>
          </w:tcPr>
          <w:p>
            <w:pPr>
              <w:pStyle w:val="TableContents"/>
              <w:bidi w:val="0"/>
              <w:spacing w:before="0" w:after="1"/>
              <w:ind w:left="0" w:right="0" w:hanging="0"/>
              <w:jc w:val="left"/>
              <w:rPr/>
            </w:pPr>
            <w:r>
              <w:rPr/>
              <w:t>​</w:t>
            </w:r>
          </w:p>
        </w:tc>
        <w:tc>
          <w:tcPr>
            <w:tcW w:w="9021" w:type="dxa"/>
            <w:gridSpan w:val="2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34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4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18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34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4,038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Geographic locations for net sales and other revenues from operations are based on locations of the customers and geographic locations for property, plant, and equipment are based on the locations of the assets.</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71" w:name="Tc_24wrA6UPEU6sLKY7tMaeUg_6_8"/>
      <w:bookmarkStart w:id="2172" w:name="Tc_cb50xC3yP0WhE6E23i337Q_6_5"/>
      <w:bookmarkStart w:id="2173" w:name="Tc_QKqF735awEWcrPcGT9Zdcw_6_2"/>
      <w:bookmarkStart w:id="2174" w:name="Tc_wwhbDIviJk6TmDo_OKm-lw_5_0"/>
      <w:bookmarkStart w:id="2175" w:name="Tc_nyEOlotLDk-BzIh2gMkArw_4_8"/>
      <w:bookmarkStart w:id="2176" w:name="Tc_wVbDxTsBUkiPoO-u4SlhYw_4_5"/>
      <w:bookmarkStart w:id="2177" w:name="Tc_ldZSNwmlfkmWAEU7uEGl6Q_4_2"/>
      <w:bookmarkStart w:id="2178" w:name="Tc_LHxIH013EkWdXh3Mi1HFkQ_4_0"/>
      <w:bookmarkStart w:id="2179" w:name="Tc_iUH1Ww7CxEadbb2eUCpudw_3_2"/>
      <w:bookmarkStart w:id="2180" w:name="Tc_aUC7DYPlXE-PMh3otO4ivQ_2_8"/>
      <w:bookmarkStart w:id="2181" w:name="Tc_VIBRWpSNlUOMHYbQrZQYVA_2_5"/>
      <w:bookmarkStart w:id="2182" w:name="Tc_NXZ6kZQjbE6olvOyQMipSg_2_2"/>
      <w:bookmarkStart w:id="2183" w:name="Tc_bbETOn9JqUq7n0ps8d0Tog_1_2"/>
      <w:bookmarkStart w:id="2184" w:name="Tc_0z7zXUU2uUeFNdr_xSs2uw_7_5"/>
      <w:bookmarkStart w:id="2185" w:name="Tc_Fmn3HtUcEEm2YqwYhH4gGg_7_2"/>
      <w:bookmarkStart w:id="2186" w:name="Tc_rKCDf3Q2WEWEXYxQL16UeQ_7_0"/>
      <w:bookmarkStart w:id="2187" w:name="Tc_0aclZYugI0qhL9GdArrfag_6_0"/>
      <w:bookmarkStart w:id="2188" w:name="Tc_IP3Dy3BMOUSR7kLBEyBRag_5_5"/>
      <w:bookmarkStart w:id="2189" w:name="Tc_W6qAXMJgNU6Ei_1qAXaZdQ_5_2"/>
      <w:bookmarkStart w:id="2190" w:name="Tc_0EyQx2KHY0q8VxMpFUwsAw_5_0"/>
      <w:bookmarkStart w:id="2191" w:name="Tc_h8y1nWMWwEWQ_DSgftP1dw_4_3"/>
      <w:bookmarkStart w:id="2192" w:name="Tc_TkIfIftXcUKFigatObwHXg_3_5"/>
      <w:bookmarkStart w:id="2193" w:name="Tc_ghdmgy5zSkyWgiB3e0K1-w_3_2"/>
      <w:bookmarkStart w:id="2194" w:name="Tc_9NUioB3o0EOueEnwXPcKWg_2_2"/>
      <w:bookmarkStart w:id="2195" w:name="Tc_nKVcSvjawUyvnTygA_R1EA_1_2"/>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r>
        <w:rPr>
          <w:rFonts w:ascii="Times New Roman;Times;serif" w:hAnsi="Times New Roman;Times;serif"/>
          <w:b/>
          <w:sz w:val="20"/>
        </w:rPr>
        <w:t xml:space="preserve">16. Income Taxes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difference between the book basis and the tax basis of our net assets, not directly subject to income taxes, is as follows:</w:t>
      </w:r>
    </w:p>
    <w:p>
      <w:pPr>
        <w:pStyle w:val="TextBody"/>
        <w:bidi w:val="0"/>
        <w:spacing w:before="0" w:after="0"/>
        <w:ind w:left="0" w:right="0" w:hanging="0"/>
        <w:jc w:val="left"/>
        <w:rPr/>
      </w:pPr>
      <w:r>
        <w:rPr/>
        <w:t>​</w:t>
      </w:r>
    </w:p>
    <w:tbl>
      <w:tblPr>
        <w:tblW w:w="4572" w:type="dxa"/>
        <w:jc w:val="left"/>
        <w:tblInd w:w="0" w:type="dxa"/>
        <w:tblLayout w:type="fixed"/>
        <w:tblCellMar>
          <w:top w:w="0" w:type="dxa"/>
          <w:left w:w="0" w:type="dxa"/>
          <w:bottom w:w="0" w:type="dxa"/>
          <w:right w:w="0" w:type="dxa"/>
        </w:tblCellMar>
      </w:tblPr>
      <w:tblGrid>
        <w:gridCol w:w="2191"/>
        <w:gridCol w:w="326"/>
        <w:gridCol w:w="211"/>
        <w:gridCol w:w="571"/>
        <w:gridCol w:w="326"/>
        <w:gridCol w:w="211"/>
        <w:gridCol w:w="73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91285" cy="175260"/>
                      <wp:effectExtent l="0" t="0" r="0" b="0"/>
                      <wp:wrapNone/>
                      <wp:docPr id="645" name="Frame645"/>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6"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3985" cy="175260"/>
                      <wp:effectExtent l="0" t="0" r="0" b="0"/>
                      <wp:wrapNone/>
                      <wp:docPr id="647" name="Frame6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362585" cy="175260"/>
                      <wp:effectExtent l="0" t="0" r="0" b="0"/>
                      <wp:wrapNone/>
                      <wp:docPr id="648" name="Frame6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9" name="Frame6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3985" cy="175260"/>
                      <wp:effectExtent l="0" t="0" r="0" b="0"/>
                      <wp:wrapNone/>
                      <wp:docPr id="650" name="Frame6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467360" cy="175260"/>
                      <wp:effectExtent l="0" t="0" r="0" b="0"/>
                      <wp:wrapNone/>
                      <wp:docPr id="651" name="Frame6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Icahn Enterprises</w: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5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844"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 basis of net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Book/tax basis difference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basis of net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2,634</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(loss) from continuing operations before income tax benefit (expense) is as follows:</w:t>
      </w:r>
    </w:p>
    <w:p>
      <w:pPr>
        <w:pStyle w:val="TextBody"/>
        <w:bidi w:val="0"/>
        <w:spacing w:before="0" w:after="0"/>
        <w:ind w:left="0" w:right="0" w:hanging="0"/>
        <w:jc w:val="left"/>
        <w:rPr/>
      </w:pPr>
      <w:r>
        <w:rPr/>
        <w:t>​</w:t>
      </w:r>
    </w:p>
    <w:tbl>
      <w:tblPr>
        <w:tblW w:w="4240" w:type="dxa"/>
        <w:jc w:val="left"/>
        <w:tblInd w:w="0" w:type="dxa"/>
        <w:tblLayout w:type="fixed"/>
        <w:tblCellMar>
          <w:top w:w="0" w:type="dxa"/>
          <w:left w:w="0" w:type="dxa"/>
          <w:bottom w:w="0" w:type="dxa"/>
          <w:right w:w="0" w:type="dxa"/>
        </w:tblCellMar>
      </w:tblPr>
      <w:tblGrid>
        <w:gridCol w:w="1171"/>
        <w:gridCol w:w="326"/>
        <w:gridCol w:w="211"/>
        <w:gridCol w:w="541"/>
        <w:gridCol w:w="326"/>
        <w:gridCol w:w="211"/>
        <w:gridCol w:w="331"/>
        <w:gridCol w:w="326"/>
        <w:gridCol w:w="211"/>
        <w:gridCol w:w="58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743585" cy="175260"/>
                      <wp:effectExtent l="0" t="0" r="0" b="0"/>
                      <wp:wrapNone/>
                      <wp:docPr id="652" name="Frame65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3" name="Frame6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4" name="Frame6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43535" cy="175260"/>
                      <wp:effectExtent l="0" t="0" r="0" b="0"/>
                      <wp:wrapNone/>
                      <wp:docPr id="655" name="Frame65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6" name="Frame6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7"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0185" cy="175260"/>
                      <wp:effectExtent l="0" t="0" r="0" b="0"/>
                      <wp:wrapNone/>
                      <wp:docPr id="658" name="Frame65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175260"/>
                      <wp:effectExtent l="0" t="0" r="0" b="0"/>
                      <wp:wrapNone/>
                      <wp:docPr id="659"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3985" cy="175260"/>
                      <wp:effectExtent l="0" t="0" r="0" b="0"/>
                      <wp:wrapNone/>
                      <wp:docPr id="660" name="Frame6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372110" cy="175260"/>
                      <wp:effectExtent l="0" t="0" r="0" b="0"/>
                      <wp:wrapNone/>
                      <wp:docPr id="661" name="Frame6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5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42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1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196" w:name="Tc_oFC8icnhAEC51gkyox-uJg_17_8"/>
      <w:bookmarkStart w:id="2197" w:name="Tc_ilVXvZb3a0qo4Cf3EpRBlA_17_5"/>
      <w:bookmarkStart w:id="2198" w:name="Tc_QlB-7dvv_EOkiDauWUD28g_17_2"/>
      <w:bookmarkStart w:id="2199" w:name="Tc__ldSoSUuJES2k5HR9ZH62g_17_0"/>
      <w:bookmarkStart w:id="2200" w:name="Tc_k1o7qR5iMkaX0q91Ps8Gcg_16_0"/>
      <w:bookmarkStart w:id="2201" w:name="Tc_xZ1YiRr36Ee0YZvDp-Kmmw_15_9"/>
      <w:bookmarkStart w:id="2202" w:name="Tc_Oq7fV1XwQUO1QDC_eI3J7A_15_0"/>
      <w:bookmarkStart w:id="2203" w:name="Tc_48FxG3-m5UehWSHycAYtPQ_14_0"/>
      <w:bookmarkStart w:id="2204" w:name="Tc_ghNfqcUpBE-OLO3NuDx7fA_13_0"/>
      <w:bookmarkStart w:id="2205" w:name="Tc_HSVZdP05O0GzbUdHEhnelw_12_6"/>
      <w:bookmarkStart w:id="2206" w:name="Tc_LAQp6RgTIUa1Ao6gbvCb7w_12_3"/>
      <w:bookmarkStart w:id="2207" w:name="Tc_68Mmjj-LD0Opvhh6D5v0xA_12_0"/>
      <w:bookmarkStart w:id="2208" w:name="Tc_hGkhNXCDNUOVmmZeWMck-Q_11_9"/>
      <w:bookmarkStart w:id="2209" w:name="Tc_zkJaP-IEv0aQf1jb7nCE6Q_11_6"/>
      <w:bookmarkStart w:id="2210" w:name="Tc_P0y0qqnGBUyt1iDxT9Fwyg_11_0"/>
      <w:bookmarkStart w:id="2211" w:name="Tc_3yQepceSVU2vCyQ3i7o-lw_10_9"/>
      <w:bookmarkStart w:id="2212" w:name="Tc_knAyRCH7SkiwFa2bZogOLQ_10_6"/>
      <w:bookmarkStart w:id="2213" w:name="Tc_MdUJNA5p3k64_eQrAomVig_10_0"/>
      <w:bookmarkStart w:id="2214" w:name="Tc_d0hKfsaYXEaYZN6a0BO1dg_9_9"/>
      <w:bookmarkStart w:id="2215" w:name="Tc_V0I-oprwmUG80BlWBRapKA_9_6"/>
      <w:bookmarkStart w:id="2216" w:name="Tc_UCz3osCHN0ulOs6oy_eQbg_9_0"/>
      <w:bookmarkStart w:id="2217" w:name="Tc_kpL0rFvjA0y6SoW5exij6A_8_9"/>
      <w:bookmarkStart w:id="2218" w:name="Tc_pBgMNMcDJEOMrULK_buHHg_8_6"/>
      <w:bookmarkStart w:id="2219" w:name="Tc_juEI14U4XUepbXDpTzI0AQ_8_0"/>
      <w:bookmarkStart w:id="2220" w:name="Tc_eob1gNicp0-_i4j0bq0RlA_7_0"/>
      <w:bookmarkStart w:id="2221" w:name="Tc_R5gDqhaF70mbXj1sb600MQ_6_0"/>
      <w:bookmarkStart w:id="2222" w:name="Tc_r_rZgnjxcUyuPI1-VshiAA_5_0"/>
      <w:bookmarkStart w:id="2223" w:name="Tc_TEZOo1R6dEKXGu7hWDYJsQ_4_8"/>
      <w:bookmarkStart w:id="2224" w:name="Tc_fSDKALKMs02EKa0WUe6yWw_4_5"/>
      <w:bookmarkStart w:id="2225" w:name="Tc_de0kGPeP30K5x_JF22TUFA_4_2"/>
      <w:bookmarkStart w:id="2226" w:name="Tc_JVi4esPmAEWlKI-TKkrC0A_4_0"/>
      <w:bookmarkStart w:id="2227" w:name="Tc_MtKQKwImMk6pPKnB8X2I5g_3_2"/>
      <w:bookmarkStart w:id="2228" w:name="Tc_xxFzO0HJqkiI0mIA2b3eyw_2_8"/>
      <w:bookmarkStart w:id="2229" w:name="Tc_V3FkchyQhkawwTe1VJKnaA_2_5"/>
      <w:bookmarkStart w:id="2230" w:name="Tc_xwaKTqp4vU6vqTOhbMR3Kw_2_2"/>
      <w:bookmarkStart w:id="2231" w:name="Tc_vqNZZjWeSUeedbrJE6Q9Qw_1_2"/>
      <w:bookmarkStart w:id="2232" w:name="Tc_OC4796gP0ECytU4vdBZn8A_12_8"/>
      <w:bookmarkStart w:id="2233" w:name="Tc_BjZ63lu2OECAbSnfVs_vUw_12_5"/>
      <w:bookmarkStart w:id="2234" w:name="Tc_gEBg3VNqcUyKVcM8CXbaKA_12_2"/>
      <w:bookmarkStart w:id="2235" w:name="Tc_x3IUG9_EKku_urqc2Gj4WA_11_0"/>
      <w:bookmarkStart w:id="2236" w:name="Tc_0smqEztGGEe97ok9Z_YzZw_10_0"/>
      <w:bookmarkStart w:id="2237" w:name="Tc_Ir9e8Z92J0KgDMOYF33frA_9_0"/>
      <w:bookmarkStart w:id="2238" w:name="Tc__KiFv1mBck2ss8SC9qi01A_8_0"/>
      <w:bookmarkStart w:id="2239" w:name="Tc_g9NkNS5PeUaWErl2Q_Lt3A_7_0"/>
      <w:bookmarkStart w:id="2240" w:name="Tc_y6tR9BLld0ivL6FOPjyW1w_6_0"/>
      <w:bookmarkStart w:id="2241" w:name="Tc_ryKgz8vKEkeUzShfAc0f0A_5_8"/>
      <w:bookmarkStart w:id="2242" w:name="Tc_XipBzzcoEk2XtJCfAHUwgg_5_5"/>
      <w:bookmarkStart w:id="2243" w:name="Tc_FG_GGhCmL0uI8X4D49WU2w_5_2"/>
      <w:bookmarkStart w:id="2244" w:name="Tc_JXLwK1XaeUKhSOwBXhVe4A_5_0"/>
      <w:bookmarkStart w:id="2245" w:name="Tc_9tS14AcsKU-f5EJA-I2Tow_4_0"/>
      <w:bookmarkStart w:id="2246" w:name="Tc_AjHozHkniEuUgJ6MK7I6sA_3_2"/>
      <w:bookmarkStart w:id="2247" w:name="Tc_YzG_uw_EqUGEbXj3BTdp0A_2_8"/>
      <w:bookmarkStart w:id="2248" w:name="Tc_GaqD7jS7l0-PC07gi_lHPA_2_5"/>
      <w:bookmarkStart w:id="2249" w:name="Tc_jgRUObJuZU61jOovSxNFpA_2_2"/>
      <w:bookmarkStart w:id="2250" w:name="Tc_C0bve5NyqEa9QiFHUGjcLQ_1_2"/>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r>
        <w:rPr>
          <w:rFonts w:ascii="Times New Roman;Times;serif" w:hAnsi="Times New Roman;Times;serif"/>
          <w:sz w:val="20"/>
        </w:rPr>
        <w:t>Income tax benefit (expense) attributable to continuing operations is as follows:</w:t>
      </w:r>
    </w:p>
    <w:p>
      <w:pPr>
        <w:pStyle w:val="TextBody"/>
        <w:bidi w:val="0"/>
        <w:spacing w:before="0" w:after="0"/>
        <w:ind w:left="0" w:right="0" w:hanging="0"/>
        <w:jc w:val="left"/>
        <w:rPr/>
      </w:pPr>
      <w:r>
        <w:rPr/>
        <w:t>​</w:t>
      </w:r>
    </w:p>
    <w:tbl>
      <w:tblPr>
        <w:tblW w:w="4435" w:type="dxa"/>
        <w:jc w:val="left"/>
        <w:tblInd w:w="0" w:type="dxa"/>
        <w:tblLayout w:type="fixed"/>
        <w:tblCellMar>
          <w:top w:w="0" w:type="dxa"/>
          <w:left w:w="0" w:type="dxa"/>
          <w:bottom w:w="0" w:type="dxa"/>
          <w:right w:w="0" w:type="dxa"/>
        </w:tblCellMar>
      </w:tblPr>
      <w:tblGrid>
        <w:gridCol w:w="1261"/>
        <w:gridCol w:w="326"/>
        <w:gridCol w:w="211"/>
        <w:gridCol w:w="541"/>
        <w:gridCol w:w="326"/>
        <w:gridCol w:w="211"/>
        <w:gridCol w:w="541"/>
        <w:gridCol w:w="326"/>
        <w:gridCol w:w="211"/>
        <w:gridCol w:w="48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800735" cy="175260"/>
                      <wp:effectExtent l="0" t="0" r="0" b="0"/>
                      <wp:wrapNone/>
                      <wp:docPr id="662" name="Frame66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63" name="Frame6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33985" cy="175260"/>
                      <wp:effectExtent l="0" t="0" r="0" b="0"/>
                      <wp:wrapNone/>
                      <wp:docPr id="664" name="Frame6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43535" cy="175260"/>
                      <wp:effectExtent l="0" t="0" r="0" b="0"/>
                      <wp:wrapNone/>
                      <wp:docPr id="665" name="Frame6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7" name="Frame6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43535" cy="175260"/>
                      <wp:effectExtent l="0" t="0" r="0" b="0"/>
                      <wp:wrapNone/>
                      <wp:docPr id="668" name="Frame66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9" name="Frame6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33985" cy="175260"/>
                      <wp:effectExtent l="0" t="0" r="0" b="0"/>
                      <wp:wrapNone/>
                      <wp:docPr id="670" name="Frame6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305435" cy="175260"/>
                      <wp:effectExtent l="0" t="0" r="0" b="0"/>
                      <wp:wrapNone/>
                      <wp:docPr id="671" name="Frame67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44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8"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  </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pPr>
            <w:r>
              <w:rPr/>
              <w:t>  </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12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the income tax benefit (expense) calculated at the federal statutory rate to income tax benefit (expense) on continuing operations as shown in the consolidated statements of operations is as follows:</w:t>
      </w:r>
    </w:p>
    <w:p>
      <w:pPr>
        <w:pStyle w:val="TextBody"/>
        <w:bidi w:val="0"/>
        <w:spacing w:before="0" w:after="0"/>
        <w:ind w:left="0" w:right="0" w:hanging="0"/>
        <w:jc w:val="left"/>
        <w:rPr/>
      </w:pPr>
      <w:r>
        <w:rPr/>
        <w:t>​</w:t>
      </w:r>
    </w:p>
    <w:tbl>
      <w:tblPr>
        <w:tblW w:w="6385" w:type="dxa"/>
        <w:jc w:val="left"/>
        <w:tblInd w:w="0" w:type="dxa"/>
        <w:tblLayout w:type="fixed"/>
        <w:tblCellMar>
          <w:top w:w="0" w:type="dxa"/>
          <w:left w:w="0" w:type="dxa"/>
          <w:bottom w:w="0" w:type="dxa"/>
          <w:right w:w="0" w:type="dxa"/>
        </w:tblCellMar>
      </w:tblPr>
      <w:tblGrid>
        <w:gridCol w:w="3316"/>
        <w:gridCol w:w="326"/>
        <w:gridCol w:w="211"/>
        <w:gridCol w:w="541"/>
        <w:gridCol w:w="326"/>
        <w:gridCol w:w="211"/>
        <w:gridCol w:w="436"/>
        <w:gridCol w:w="326"/>
        <w:gridCol w:w="211"/>
        <w:gridCol w:w="48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05660" cy="175260"/>
                      <wp:effectExtent l="0" t="0" r="0" b="0"/>
                      <wp:wrapNone/>
                      <wp:docPr id="672" name="Frame67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07010" cy="175260"/>
                      <wp:effectExtent l="0" t="0" r="0" b="0"/>
                      <wp:wrapNone/>
                      <wp:docPr id="673" name="Frame6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74" name="Frame6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343535" cy="175260"/>
                      <wp:effectExtent l="0" t="0" r="0" b="0"/>
                      <wp:wrapNone/>
                      <wp:docPr id="675" name="Frame67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6" name="Frame6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33985" cy="175260"/>
                      <wp:effectExtent l="0" t="0" r="0" b="0"/>
                      <wp:wrapNone/>
                      <wp:docPr id="677" name="Frame6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76860" cy="175260"/>
                      <wp:effectExtent l="0" t="0" r="0" b="0"/>
                      <wp:wrapNone/>
                      <wp:docPr id="678" name="Frame67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07010" cy="175260"/>
                      <wp:effectExtent l="0" t="0" r="0" b="0"/>
                      <wp:wrapNone/>
                      <wp:docPr id="679" name="Frame6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33985" cy="175260"/>
                      <wp:effectExtent l="0" t="0" r="0" b="0"/>
                      <wp:wrapNone/>
                      <wp:docPr id="680" name="Frame6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305435" cy="175260"/>
                      <wp:effectExtent l="0" t="0" r="0" b="0"/>
                      <wp:wrapNone/>
                      <wp:docPr id="681" name="Frame68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638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at U.S. statutory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from: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  </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Credits and incentives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Uncertain tax positions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Deconsolidation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gain not on books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rate changes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received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not subject to taxation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251" w:name="Tc_qrYQLcIk7kOYNpyqE38WlA_24_5"/>
      <w:bookmarkStart w:id="2252" w:name="Tc_FD_VpbFw8k2RkO1MfBnt7g_24_2"/>
      <w:bookmarkStart w:id="2253" w:name="Tc_xqyf8PVPCE-vGo0AOPLy8g_23_0"/>
      <w:bookmarkStart w:id="2254" w:name="Tc_8hcYZdJqy0yBnX_KqDaVvA_22_0"/>
      <w:bookmarkStart w:id="2255" w:name="Tc_URknftK6Mk-y7awQKnIwRg_21_0"/>
      <w:bookmarkStart w:id="2256" w:name="Tc_VNXniKLmvkGJJy8d5pIXTQ_20_0"/>
      <w:bookmarkStart w:id="2257" w:name="Tc_BffsN3AxokqwJrdjr_cpTw_19_0"/>
      <w:bookmarkStart w:id="2258" w:name="Tc_nwWpBBTpyUGcYwKUxWouaA_18_0"/>
      <w:bookmarkStart w:id="2259" w:name="Tc_C-vU112BIUKhUqfMdBx-ng_17_5"/>
      <w:bookmarkStart w:id="2260" w:name="Tc_odN5zdafmEysDNn6iCjkgQ_17_2"/>
      <w:bookmarkStart w:id="2261" w:name="Tc_r4VRG8Sgvk6UAKYgXq2AWQ_17_0"/>
      <w:bookmarkStart w:id="2262" w:name="Tc_D2wY9JN8h0-kG6_WMkwzMQ_16_0"/>
      <w:bookmarkStart w:id="2263" w:name="Tc_wiMy87CavUeCtbBQ1iRfCg_14_5"/>
      <w:bookmarkStart w:id="2264" w:name="Tc_qizXSmN4Q0SJnTAcxoHf4w_14_2"/>
      <w:bookmarkStart w:id="2265" w:name="Tc_RVHAfa7Ab0-BetZ3kCdfcg_14_0"/>
      <w:bookmarkStart w:id="2266" w:name="Tc_a_mmsY3qBkWv554XpozLHA_13_0"/>
      <w:bookmarkStart w:id="2267" w:name="Tc_rUylht3ddE6FXjeprzMtJQ_12_0"/>
      <w:bookmarkStart w:id="2268" w:name="Tc_5ytvZrKmO0aMJn0vp78iQw_11_0"/>
      <w:bookmarkStart w:id="2269" w:name="Tc_1RldxHao9UGAFXCabGV0Sw_10_0"/>
      <w:bookmarkStart w:id="2270" w:name="Tc_C_i-e8OwlEKq4UJQdNIhPg_9_0"/>
      <w:bookmarkStart w:id="2271" w:name="Tc_gtbuIGGCiUalnGipOcuEbQ_8_0"/>
      <w:bookmarkStart w:id="2272" w:name="Tc_2HqIPGe2WEeclt531_B52w_7_0"/>
      <w:bookmarkStart w:id="2273" w:name="Tc_3srdgXJ9IE2Tm8BqRlRjaQ_6_0"/>
      <w:bookmarkStart w:id="2274" w:name="Tc_nU451dz8w0i7fdgdrLUgPg_5_6"/>
      <w:bookmarkStart w:id="2275" w:name="Tc_dbxzGX8jwEqF5SHcPpmGnQ_5_5"/>
      <w:bookmarkStart w:id="2276" w:name="Tc_rlQ1S_CqvUOv-gblH5Fepg_5_2"/>
      <w:bookmarkStart w:id="2277" w:name="Tc_OCXN7hd1O02vZ-6m55YnAg_5_0"/>
      <w:bookmarkStart w:id="2278" w:name="Tc_IgCubjuY4UOuyacFO-9F4Q_4_0"/>
      <w:bookmarkStart w:id="2279" w:name="Tc_fIcTnwMt9kqDsRzSGZ8xWw_3_2"/>
      <w:bookmarkStart w:id="2280" w:name="Tc_xTpfJcykFUODx7oRaVyaIA_2_5"/>
      <w:bookmarkStart w:id="2281" w:name="Tc_wE_c_yc1BUSPQ1jSfNZ_6Q_2_2"/>
      <w:bookmarkStart w:id="2282" w:name="Tc_h3fYF6okBkShEgf58MY4Mg_1_2"/>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r>
        <w:rPr>
          <w:rFonts w:ascii="Times New Roman;Times;serif" w:hAnsi="Times New Roman;Times;serif"/>
          <w:sz w:val="20"/>
        </w:rPr>
        <w:t>The tax effect of significant differences representing deferred tax assets (liabilities) (the difference between financial statement carrying value and the tax basis of assets and liabilities) is as follows:</w:t>
      </w:r>
    </w:p>
    <w:p>
      <w:pPr>
        <w:pStyle w:val="TextBody"/>
        <w:bidi w:val="0"/>
        <w:spacing w:before="0" w:after="0"/>
        <w:ind w:left="0" w:right="0" w:hanging="0"/>
        <w:jc w:val="left"/>
        <w:rPr/>
      </w:pPr>
      <w:r>
        <w:rPr/>
        <w:t>​</w:t>
      </w:r>
    </w:p>
    <w:tbl>
      <w:tblPr>
        <w:tblW w:w="4992" w:type="dxa"/>
        <w:jc w:val="left"/>
        <w:tblInd w:w="0" w:type="dxa"/>
        <w:tblLayout w:type="fixed"/>
        <w:tblCellMar>
          <w:top w:w="0" w:type="dxa"/>
          <w:left w:w="0" w:type="dxa"/>
          <w:bottom w:w="0" w:type="dxa"/>
          <w:right w:w="0" w:type="dxa"/>
        </w:tblCellMar>
      </w:tblPr>
      <w:tblGrid>
        <w:gridCol w:w="2611"/>
        <w:gridCol w:w="326"/>
        <w:gridCol w:w="211"/>
        <w:gridCol w:w="691"/>
        <w:gridCol w:w="326"/>
        <w:gridCol w:w="211"/>
        <w:gridCol w:w="61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657985" cy="175260"/>
                      <wp:effectExtent l="0" t="0" r="0" b="0"/>
                      <wp:wrapNone/>
                      <wp:docPr id="682" name="Frame682"/>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3" name="Frame6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33985" cy="175260"/>
                      <wp:effectExtent l="0" t="0" r="0" b="0"/>
                      <wp:wrapNone/>
                      <wp:docPr id="684" name="Frame6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38785" cy="175260"/>
                      <wp:effectExtent l="0" t="0" r="0" b="0"/>
                      <wp:wrapNone/>
                      <wp:docPr id="685" name="Frame6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6" name="Frame6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33985" cy="175260"/>
                      <wp:effectExtent l="0" t="0" r="0" b="0"/>
                      <wp:wrapNone/>
                      <wp:docPr id="687" name="Frame6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391160" cy="175260"/>
                      <wp:effectExtent l="0" t="0" r="0" b="0"/>
                      <wp:wrapNone/>
                      <wp:docPr id="688" name="Frame68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9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partnerships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partnerships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U.S.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r>
      <w:tr>
        <w:trPr/>
        <w:tc>
          <w:tcPr>
            <w:tcW w:w="26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recorded deferred tax assets and deferred tax liabilities of $184 million and $399 million, respectively, as of December 31, 2023 and $109 million and $339 million, respectively, as of December 31,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2023 we had a valuation allowance of approximately $860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2023, the valuation allowance on deferred tax assets decreased by $6 million. The decrease was primarily attributable to utilization of capital loss carryforwards and changes in net operating loss carryforwards partially offset by increases in other deferred tax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December 31, 2023, American Entertainment Properties Corp. (“AEPC”), a wholly-owned corporate subsidiary of Icahn Enterprises, which includes all or parts of our Automotive, Food Packaging, Pharma, Home Fashion and Real Estate segments had U.S. federal net operating loss carryforwards of approximately $3.2 billion with expiration dates from 2024 through unlimited carryforward periods. Additionally, AEPC and its corporate subsidiaries had foreign net operating loss carryforwards of $19 million with an unlimited carryforward period.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2023, CVR Energy had state income tax credits of $14 million, which are available to reduce future state income taxes. These credits have an indefinite carryforward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283" w:name="Tc_vok7oh-EFkirzZHIvGiHFw_9_8"/>
      <w:bookmarkStart w:id="2284" w:name="Tc_eQrabQsoaECTl7mxTIv7wQ_9_5"/>
      <w:bookmarkStart w:id="2285" w:name="Tc_XGkehSrHQUyxmE2IRm00qw_9_2"/>
      <w:bookmarkStart w:id="2286" w:name="Tc_ZbrtShWPKUC8nRPSTJVvzQ_9_0"/>
      <w:bookmarkStart w:id="2287" w:name="Tc_SOaT2ndHikuoIq9XWUG-cQ_8_0"/>
      <w:bookmarkStart w:id="2288" w:name="Tc_RJZLvAi2H0qOC6bE5aM64A_7_6"/>
      <w:bookmarkStart w:id="2289" w:name="Tc_Sxg-oWgjZkaA8HcX7Olw0g_7_3"/>
      <w:bookmarkStart w:id="2290" w:name="Tc_uLOkR2vBr0m1za8LMeEbgg_7_0"/>
      <w:bookmarkStart w:id="2291" w:name="Tc_yudzDCVJ-UmbhN38WwO3XA_6_9"/>
      <w:bookmarkStart w:id="2292" w:name="Tc_XiKppqmy20Cf3k8MBZ2YmA_6_6"/>
      <w:bookmarkStart w:id="2293" w:name="Tc_Sg4_fyOlR0-ioQgmYxCvAQ_6_3"/>
      <w:bookmarkStart w:id="2294" w:name="Tc_7lxQotE2PUSAJTxeOZSd-A_6_0"/>
      <w:bookmarkStart w:id="2295" w:name="Tc_3LrOSr7i4EeW1_QNUo8L8Q_5_9"/>
      <w:bookmarkStart w:id="2296" w:name="Tc_vd7jlXm080y42mvovM33gw_5_6"/>
      <w:bookmarkStart w:id="2297" w:name="Tc_RuGDDWCWIkusBh8P67xLTw_5_3"/>
      <w:bookmarkStart w:id="2298" w:name="Tc_u-GNgcPr80mjVSB6fRjAww_5_0"/>
      <w:bookmarkStart w:id="2299" w:name="Tc_DT5ueG6o80Sl5iGLamqwAw_4_8"/>
      <w:bookmarkStart w:id="2300" w:name="Tc_KhBtGypxHkWGC5_yBt2kQg_4_5"/>
      <w:bookmarkStart w:id="2301" w:name="Tc_CbKH9MJGCUihBseCtdckHA_4_2"/>
      <w:bookmarkStart w:id="2302" w:name="Tc_zAeQcpvT00eMuDkZCzIAiw_4_0"/>
      <w:bookmarkStart w:id="2303" w:name="Tc_eIGefO-5HUqfLSlVGfk-Mw_3_2"/>
      <w:bookmarkStart w:id="2304" w:name="Tc_GKfvEbwpc0eMh6poBdYuZw_2_8"/>
      <w:bookmarkStart w:id="2305" w:name="Tc_5dTXXYH3p0mTPJembLSvKg_2_5"/>
      <w:bookmarkStart w:id="2306" w:name="Tc_kZRmlDKIPEy8gtI3P5hmbQ_2_2"/>
      <w:bookmarkStart w:id="2307" w:name="Tc_YUhMTNXne0mlS0PFsgWqIA_1_2"/>
      <w:bookmarkStart w:id="2308" w:name="_Hlk158887476"/>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r>
        <w:rPr>
          <w:rFonts w:ascii="Times New Roman;Times;serif" w:hAnsi="Times New Roman;Times;serif"/>
          <w:sz w:val="20"/>
        </w:rPr>
        <w:t>As of December 31, 2023, we have not provided taxes on approximately $74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for Uncertainty in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the changes in the gross amounts of unrecognized tax benefits for the years ended December 31, 2023, 2022 and 2021 are as follows:</w:t>
      </w:r>
    </w:p>
    <w:p>
      <w:pPr>
        <w:pStyle w:val="TextBody"/>
        <w:bidi w:val="0"/>
        <w:spacing w:before="0" w:after="0"/>
        <w:ind w:left="0" w:right="0" w:hanging="0"/>
        <w:jc w:val="left"/>
        <w:rPr/>
      </w:pPr>
      <w:r>
        <w:rPr/>
        <w:t>​</w:t>
      </w:r>
    </w:p>
    <w:tbl>
      <w:tblPr>
        <w:tblW w:w="7645" w:type="dxa"/>
        <w:jc w:val="left"/>
        <w:tblInd w:w="0" w:type="dxa"/>
        <w:tblLayout w:type="fixed"/>
        <w:tblCellMar>
          <w:top w:w="0" w:type="dxa"/>
          <w:left w:w="0" w:type="dxa"/>
          <w:bottom w:w="0" w:type="dxa"/>
          <w:right w:w="0" w:type="dxa"/>
        </w:tblCellMar>
      </w:tblPr>
      <w:tblGrid>
        <w:gridCol w:w="4831"/>
        <w:gridCol w:w="326"/>
        <w:gridCol w:w="211"/>
        <w:gridCol w:w="436"/>
        <w:gridCol w:w="326"/>
        <w:gridCol w:w="211"/>
        <w:gridCol w:w="346"/>
        <w:gridCol w:w="326"/>
        <w:gridCol w:w="211"/>
        <w:gridCol w:w="421"/>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3067685" cy="175260"/>
                      <wp:effectExtent l="0" t="0" r="0" b="0"/>
                      <wp:wrapNone/>
                      <wp:docPr id="689" name="Frame689"/>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07010" cy="175260"/>
                      <wp:effectExtent l="0" t="0" r="0" b="0"/>
                      <wp:wrapNone/>
                      <wp:docPr id="690" name="Frame6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33985" cy="175260"/>
                      <wp:effectExtent l="0" t="0" r="0" b="0"/>
                      <wp:wrapNone/>
                      <wp:docPr id="691" name="Frame6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76860" cy="175260"/>
                      <wp:effectExtent l="0" t="0" r="0" b="0"/>
                      <wp:wrapNone/>
                      <wp:docPr id="692" name="Frame69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07010" cy="175260"/>
                      <wp:effectExtent l="0" t="0" r="0" b="0"/>
                      <wp:wrapNone/>
                      <wp:docPr id="693" name="Frame6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33985" cy="175260"/>
                      <wp:effectExtent l="0" t="0" r="0" b="0"/>
                      <wp:wrapNone/>
                      <wp:docPr id="694" name="Frame6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5"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96" name="Frame6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3985" cy="175260"/>
                      <wp:effectExtent l="0" t="0" r="0" b="0"/>
                      <wp:wrapNone/>
                      <wp:docPr id="697" name="Frame6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67335" cy="175260"/>
                      <wp:effectExtent l="0" t="0" r="0" b="0"/>
                      <wp:wrapNone/>
                      <wp:docPr id="698" name="Frame6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76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8"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 based on tax positions related to the current year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for tax positions of prior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for tax positions of prior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for statute of limitation expiration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2023, 2022 and 2021, we had unrecognized tax benefits of $10 million, $27 million and $33 million, respectively. Of these totals, $10 million, $25 million and $29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next 12 months, we believe that it is reasonably possible that unrecognized tax benefits may decrease by approximately $2 million due to statute expirations.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recognize interest and penalties accrued related to unrecognized tax benefits as a component of income tax expense. We recorded $4 million, $6 million and $5 million as of December 31, 2023, 2022 and 2021, respectively, in liabilities for tax related net interest and penalties in our consolidated balance sheets. Income tax expense (benefit) related to interest and penalties were $(2) million, $2 million and $2 million for the years December 31, 2023, 2022 and 2021, respectively. We or certain of our subsidiaries file income tax returns in the U.S. federal jurisdiction, various state jurisdictions and various non-U.S. jurisdictions. We and our subsidiaries are no longer subject to U.S. federal tax examinations for years before 2019 or state and local examinations for years before 2018, with limited exceptions.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2309" w:name="Tc_gqpPFN7UFUK_zoi7NsrHdQ_9_8"/>
      <w:bookmarkStart w:id="2310" w:name="Tc_8bS8RxoQoEy05DbN6YnQMQ_9_5"/>
      <w:bookmarkStart w:id="2311" w:name="Tc_wf6TWfOsV0iNyfbP5VeUNw_9_2"/>
      <w:bookmarkStart w:id="2312" w:name="Tc_T7KYkJhtakS0cgD97ouwcQ_9_0"/>
      <w:bookmarkStart w:id="2313" w:name="Tc_aDisDofTZ0CDH-KyiK0xkQ_8_0"/>
      <w:bookmarkStart w:id="2314" w:name="Tc_vuNBBi_BOkG4cMUEsIklvA_7_0"/>
      <w:bookmarkStart w:id="2315" w:name="Tc_nKYwWQLsW0qYg8-xJcPUcA_6_0"/>
      <w:bookmarkStart w:id="2316" w:name="Tc_CvaxPq7oWUyQ3JyrL_VlMg_5_8"/>
      <w:bookmarkStart w:id="2317" w:name="Tc_p33FmDKh80-WSLQ_49D_7g_5_5"/>
      <w:bookmarkStart w:id="2318" w:name="Tc_lsXY2Ie2YE6UN3zC_czjPw_5_2"/>
      <w:bookmarkStart w:id="2319" w:name="Tc_09DcMy6xC0uQpyDtLK9mxA_5_0"/>
      <w:bookmarkStart w:id="2320" w:name="Tc_DXUtmHhd90yUTxEGH0mGPA_4_2"/>
      <w:bookmarkStart w:id="2321" w:name="Tc_YhdVgCgq_0Chl_N-uK4kkQ_3_8"/>
      <w:bookmarkStart w:id="2322" w:name="Tc_Jdwr48Tjl0S6zp37HxSobQ_3_5"/>
      <w:bookmarkStart w:id="2323" w:name="Tc_6XOgB3F_dEKTqzI5jZyU4Q_3_2"/>
      <w:bookmarkStart w:id="2324" w:name="Tc_Tt4rD54xjku8ym-FFxBT8g_2_5"/>
      <w:bookmarkStart w:id="2325" w:name="Tc_YHokJcCybEqHA4RMFsg3UQ_2_2"/>
      <w:bookmarkStart w:id="2326" w:name="Tc_NlKsRXdjtk6_cdtkp2FpWw_1_5"/>
      <w:bookmarkStart w:id="2327" w:name="Tc_o95nslHrXkWsgoRQLomeFg_1_2"/>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r>
        <w:rPr>
          <w:rFonts w:ascii="Times New Roman;Times;serif" w:hAnsi="Times New Roman;Times;serif"/>
          <w:b/>
          <w:sz w:val="20"/>
        </w:rPr>
        <w:t>17. Changes in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accumulated other comprehensive loss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66"/>
        <w:gridCol w:w="326"/>
        <w:gridCol w:w="513"/>
        <w:gridCol w:w="919"/>
        <w:gridCol w:w="326"/>
        <w:gridCol w:w="555"/>
        <w:gridCol w:w="993"/>
        <w:gridCol w:w="326"/>
        <w:gridCol w:w="211"/>
        <w:gridCol w:w="470"/>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3534410" cy="175260"/>
                      <wp:effectExtent l="0" t="0" r="0" b="0"/>
                      <wp:wrapNone/>
                      <wp:docPr id="699" name="Frame699"/>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07010" cy="175260"/>
                      <wp:effectExtent l="0" t="0" r="0" b="0"/>
                      <wp:wrapNone/>
                      <wp:docPr id="700" name="Frame7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25755" cy="175260"/>
                      <wp:effectExtent l="0" t="0" r="0" b="0"/>
                      <wp:wrapNone/>
                      <wp:docPr id="701" name="Frame701"/>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583565" cy="175260"/>
                      <wp:effectExtent l="0" t="0" r="0" b="0"/>
                      <wp:wrapNone/>
                      <wp:docPr id="702" name="Frame702"/>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07010" cy="175260"/>
                      <wp:effectExtent l="0" t="0" r="0" b="0"/>
                      <wp:wrapNone/>
                      <wp:docPr id="703" name="Frame7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52425" cy="175260"/>
                      <wp:effectExtent l="0" t="0" r="0" b="0"/>
                      <wp:wrapNone/>
                      <wp:docPr id="704" name="Frame70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30555" cy="175260"/>
                      <wp:effectExtent l="0" t="0" r="0" b="0"/>
                      <wp:wrapNone/>
                      <wp:docPr id="705" name="Frame705"/>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07010" cy="175260"/>
                      <wp:effectExtent l="0" t="0" r="0" b="0"/>
                      <wp:wrapNone/>
                      <wp:docPr id="706" name="Frame7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33985" cy="175260"/>
                      <wp:effectExtent l="0" t="0" r="0" b="0"/>
                      <wp:wrapNone/>
                      <wp:docPr id="707" name="Frame7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98450" cy="175260"/>
                      <wp:effectExtent l="0" t="0" r="0" b="0"/>
                      <wp:wrapNone/>
                      <wp:docPr id="708" name="Frame708"/>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54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70" w:type="dxa"/>
            <w:tcBorders/>
            <w:vAlign w:val="center"/>
          </w:tcPr>
          <w:p>
            <w:pPr>
              <w:pStyle w:val="TableContents"/>
              <w:bidi w:val="0"/>
              <w:spacing w:before="0" w:after="1"/>
              <w:ind w:left="0" w:right="0" w:hanging="0"/>
              <w:jc w:val="center"/>
              <w:rPr/>
            </w:pPr>
            <w:r>
              <w:rPr/>
              <w:t>​</w:t>
            </w:r>
          </w:p>
        </w:tc>
      </w:tr>
      <w:tr>
        <w:trPr/>
        <w:tc>
          <w:tcPr>
            <w:tcW w:w="5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54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and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70" w:type="dxa"/>
            <w:tcBorders/>
            <w:vAlign w:val="center"/>
          </w:tcPr>
          <w:p>
            <w:pPr>
              <w:pStyle w:val="TableContents"/>
              <w:bidi w:val="0"/>
              <w:spacing w:before="0" w:after="1"/>
              <w:ind w:left="0" w:right="0" w:hanging="0"/>
              <w:jc w:val="center"/>
              <w:rPr/>
            </w:pPr>
            <w:r>
              <w:rPr/>
              <w:t>​</w:t>
            </w:r>
          </w:p>
        </w:tc>
      </w:tr>
      <w:tr>
        <w:trPr/>
        <w:tc>
          <w:tcPr>
            <w:tcW w:w="5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5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 Net of Tax</w:t>
            </w:r>
          </w:p>
        </w:tc>
        <w:tc>
          <w:tcPr>
            <w:tcW w:w="326" w:type="dxa"/>
            <w:tcBorders/>
            <w:vAlign w:val="center"/>
          </w:tcPr>
          <w:p>
            <w:pPr>
              <w:pStyle w:val="TableContents"/>
              <w:bidi w:val="0"/>
              <w:spacing w:before="0" w:after="1"/>
              <w:ind w:left="0" w:right="0" w:hanging="0"/>
              <w:jc w:val="left"/>
              <w:rPr/>
            </w:pPr>
            <w:r>
              <w:rPr/>
              <w:t>    </w:t>
            </w:r>
          </w:p>
        </w:tc>
        <w:tc>
          <w:tcPr>
            <w:tcW w:w="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1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Reclassifications from accumulated other comprehensive loss to earnings,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vAlign w:val="center"/>
          </w:tcPr>
          <w:p>
            <w:pPr>
              <w:pStyle w:val="TableContents"/>
              <w:bidi w:val="0"/>
              <w:spacing w:before="0" w:after="1"/>
              <w:ind w:left="0" w:right="0" w:hanging="0"/>
              <w:jc w:val="left"/>
              <w:rPr/>
            </w:pPr>
            <w:r>
              <w:rPr/>
              <w:t>​</w:t>
            </w:r>
          </w:p>
        </w:tc>
        <w:tc>
          <w:tcPr>
            <w:tcW w:w="5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5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28" w:name="Tc_ZhA9ZMPeGUC53ivKoLbrtA_10_8"/>
      <w:bookmarkStart w:id="2329" w:name="Tc_sWcn_U3xz0aHvvx87HKLdw_10_5"/>
      <w:bookmarkStart w:id="2330" w:name="Tc_7KmJUr-DuEa8U6FAMVTivQ_10_2"/>
      <w:bookmarkStart w:id="2331" w:name="Tc_KJPBs0HPK0ilEHvrAwMIaQ_9_0"/>
      <w:bookmarkStart w:id="2332" w:name="Tc_B-lGcWgP8EqKuOrH83GbaQ_8_0"/>
      <w:bookmarkStart w:id="2333" w:name="Tc_ZF545-IhIE2hmXHsAOoznw_7_9"/>
      <w:bookmarkStart w:id="2334" w:name="Tc_qZlyRBNFQU65vO6RTiNrXw_7_3"/>
      <w:bookmarkStart w:id="2335" w:name="Tc_aHqzFbICzUSTDjq8ULCUbg_7_0"/>
      <w:bookmarkStart w:id="2336" w:name="Tc_DUgY3NbYeEmUfTLkQUe5tw_6_0"/>
      <w:bookmarkStart w:id="2337" w:name="Tc_w8XTamTSQU27bVQX--0YIA_5_0"/>
      <w:bookmarkStart w:id="2338" w:name="Tc_SRr_mxpEa0mGnfktGweV-Q_4_8"/>
      <w:bookmarkStart w:id="2339" w:name="Tc_-BbVUe47SEOTVLTpDsh2UQ_4_5"/>
      <w:bookmarkStart w:id="2340" w:name="Tc_5Bx38Tv7wkGZ7LV1fXNNHw_4_2"/>
      <w:bookmarkStart w:id="2341" w:name="Tc_kNfAblyrjUeadov7kkCwiw_4_0"/>
      <w:bookmarkStart w:id="2342" w:name="Tc_O2RkF1SqQk6LrY_Tyrp8vg_3_2"/>
      <w:bookmarkStart w:id="2343" w:name="Tc_qgnLfrqE0U2RtlihzqQoIg_2_8"/>
      <w:bookmarkStart w:id="2344" w:name="Tc_DPUZFXT2MEKYZ6OYkFEzvw_2_5"/>
      <w:bookmarkStart w:id="2345" w:name="Tc_1t0DNMS8gUK_7BbclmBwLA_2_2"/>
      <w:bookmarkStart w:id="2346" w:name="Tc_YSvN8s7SLki-74oHWjQrZg_1_2"/>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r>
        <w:rPr>
          <w:rFonts w:ascii="Times New Roman;Times;serif" w:hAnsi="Times New Roman;Times;serif"/>
          <w:b/>
          <w:sz w:val="20"/>
        </w:rPr>
        <w:t>18. Other Loss,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loss, net consists of the following:</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4051"/>
        <w:gridCol w:w="326"/>
        <w:gridCol w:w="211"/>
        <w:gridCol w:w="436"/>
        <w:gridCol w:w="326"/>
        <w:gridCol w:w="211"/>
        <w:gridCol w:w="541"/>
        <w:gridCol w:w="326"/>
        <w:gridCol w:w="211"/>
        <w:gridCol w:w="48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572385" cy="175260"/>
                      <wp:effectExtent l="0" t="0" r="0" b="0"/>
                      <wp:wrapNone/>
                      <wp:docPr id="709" name="Frame709"/>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10" name="Frame7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33985" cy="175260"/>
                      <wp:effectExtent l="0" t="0" r="0" b="0"/>
                      <wp:wrapNone/>
                      <wp:docPr id="711" name="Frame7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76860" cy="175260"/>
                      <wp:effectExtent l="0" t="0" r="0" b="0"/>
                      <wp:wrapNone/>
                      <wp:docPr id="712" name="Frame71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07010" cy="175260"/>
                      <wp:effectExtent l="0" t="0" r="0" b="0"/>
                      <wp:wrapNone/>
                      <wp:docPr id="713" name="Frame7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133985" cy="175260"/>
                      <wp:effectExtent l="0" t="0" r="0" b="0"/>
                      <wp:wrapNone/>
                      <wp:docPr id="714" name="Frame7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343535" cy="175260"/>
                      <wp:effectExtent l="0" t="0" r="0" b="0"/>
                      <wp:wrapNone/>
                      <wp:docPr id="715" name="Frame71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16" name="Frame7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33985" cy="175260"/>
                      <wp:effectExtent l="0" t="0" r="0" b="0"/>
                      <wp:wrapNone/>
                      <wp:docPr id="717" name="Frame7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305435" cy="175260"/>
                      <wp:effectExtent l="0" t="0" r="0" b="0"/>
                      <wp:wrapNone/>
                      <wp:docPr id="718" name="Frame71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712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earnings from non-consolidated affiliates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transaction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settlement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47" w:name="_a19ba4fb_3e0b_499a_b61b_5ed11b60a3f4_3"/>
      <w:bookmarkStart w:id="2348" w:name="_a19ba4fb_3e0b_499a_b61b_5ed11b60a3f4_2"/>
      <w:bookmarkStart w:id="2349" w:name="_a19ba4fb_3e0b_499a_b61b_5ed11b60a3f4"/>
      <w:bookmarkEnd w:id="2347"/>
      <w:bookmarkEnd w:id="2348"/>
      <w:bookmarkEnd w:id="2349"/>
      <w:r>
        <w:rPr>
          <w:rFonts w:ascii="Times New Roman;Times;serif" w:hAnsi="Times New Roman;Times;serif"/>
          <w:b/>
          <w:sz w:val="20"/>
        </w:rPr>
        <w:t>19.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$19 million and $22 million as of December 31, 2023 and 2022, respectively, primarily within our Energy segment, which are included in accrued expenses and other liabilities in our consolidated balance sheets. We do not believe that environmental matters will have a material adverse impact on our consolidated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obligated-party subsidiaries are subject to the Renewable Fuel Standard (“RFS”) implemented by the EPA which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WRC sought and received SREs for the 2017 and 2018 compliance years, which SREs were later denied by the EPA in June 2022 and April 2022, respectively (collectively, the “2022 Denials”), based on a new standard for evaluating SREs announced by the EPA in December 2021 and retroactively applied. The EPA’s June 2022 denial also denied WRC’s then pending SRE petitions for the 2019, 2020 and 2021 compliance periods based on the same new standard. In 2022, WRC joined certain other small refiners in bringing suit against the EPA in the United States Court of Appeals for the Fifth Circuit (the “Fifth Circuit”) challenging the 2022 Denials and received from the EPA a stay of enforcement of the RFS for the applicable compliance periods. WRC and certain other refineries also challenged the July 2023 denial by the EPA of additional SRE petitions based on the new standard, including WRC’s 2022 SRE petition. The Fifth Circuit granted WRC a stay of enforcement for the 2022 compliance period and held the case in abeyance pending resolution of lawsuits in the Fifth Circuit, the United States Court of Appeals for the Eleventh Circuit and the United States Court of Appeals for the District of Colombia Circuit (the “DC Circuit”) relating to the 2022 Denials (collectively, the “2022 Denials Cases”). In November 2023, the Fifth Circuit issued an opinion holding that the 2022 Denials were impermissibly retroactive and that the EPA’s interpretation of the SRE provisions of the RFS was contrary to law and arbitrary and capricious as applied to the Fifth Circuit petitioners’ SRE petitions. The Fifth Circuit vacated the EPA’s denials, including those for WRC for 2017 through 2021, and remanded those SRE petitions to EPA for further consideration consistent with the Fifth Circuit’s ruling. The EPA has not yet taken action on those SRE petitions since remand. While WRC’s stay relating to the 2022 compliance year remains in effect until resolution of the 2022 Denials Cases, its stays relating to the preceding compliance periods expired in January 2024. WRC’s other challenges against the EPA relating to the RFS remain pending, including: (a) WRC’s challenges to the EPA’s Final Rules issued in June 2022 and June 2023 establishing the 2020-2022 RVOs and 2023-2025 RVOs, respectively; and (b) WRC’s lawsuit against the EPA currently pending in the DC Circuit related to damages WRC incurred as a result of the EPA’s late grant of its 2018 SRE, which SRE was denied by the EPA in April 2022, which denial was vacated by the Fifth Circuit in November 2023 as noted above. CVR Energy cannot yet determine at this time the outcomes of these matters. However, while CVR Energy intends to prosecute these actions vigorously, if these matters are ultimately concluded in a manner adverse to CVR Energy, they could have a material adverse effect on our Energy business’ financial position, results of operations,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 recognized a benefit of approximately $114 million and an expense of approximately $435 million for the years ended December 31, 2023 and 2022, respectively, for CVR Energy’s obligated-party subsidiaries’ compliance with the RFS (based on the 2020, 2021, 2022 and 2023 annual RVO for the respective periods,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December 31, 2023 and December 31, 2022, CVR Energy’s obligated-party subsidiaries’ RFS position was $329 million and $692 million, respectively, and is included in accrued expenses and other liabilities in the condensed consolidated balance sheets.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Clean Air Act Matter -</w:t>
      </w:r>
      <w:r>
        <w:rPr>
          <w:rFonts w:ascii="Times New Roman;Times;serif" w:hAnsi="Times New Roman;Times;serif"/>
          <w:sz w:val="20"/>
        </w:rPr>
        <w:t xml:space="preserve"> CVR Energy’s indirect wholly-owned subsidiary, Coffeyville Resource Refining &amp; Marketing, LLC (“CRRM”) and certain of its affiliates settled claims brought in the United States District Court for the District of Kansas (“D. Kan”) by the United States, on behalf of the EPA, and the State of Kansas, on behalf of the Kansas Department of Health and Environment (“KDHE”) seeking both statutory and stipulated penalties primarily relating to the Coffeyville Refinery’s flares, heaters and related matters. The terms of the settlement are set forth in a consent decree that was entered by the D. Kan on January 10, 2024. The amount of stipulated penalties asserted by EPA and KDHE under a 2012 Consent Decree (the “Stipulated Claims”) was previously deposited by CRRM into a commercial escrow account which were legally restricted for use and included in Prepaid expenses and other current assets on our Consolidated Balance Sheets as of December 31, 2023; those escrowed funds were released in February 2024 and the settlement was paid. The settlement did not and is not expected in the future to have a material adverse impact on CVR Energy or the Company’s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45Q Transaction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2023, CVR Partners and certain of its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could be subject to fees of up to $15 million per year, with an overall cap at $45 million, should it fail to perform.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and our subsidiaries are involved in various lawsuits arising in the normal course of business. We do not believe that such normal routine litigation will have a material effect on our financial condition or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Call Option Coverage Case</w:t>
      </w:r>
      <w:r>
        <w:rPr>
          <w:rFonts w:ascii="Times New Roman;Times;serif" w:hAnsi="Times New Roman;Times;serif"/>
          <w:sz w:val="20"/>
        </w:rPr>
        <w:t xml:space="preserve"> – In January 2021, CVR Energy’s primary and excess insurers (the “Insurers") filed suit for declaratory judgment in the 434th Judicial District Court of Fort Bend County, Texas seeking determination that the Insurers owe no indemnity coverage under policies with coverage limits of $50 million for CVR Energy’s December 2022 settlement of the consolidated lawsuits (collectively, the “Call Option Lawsuits”) filed by purported former unitholders of CVR Refining on behalf of themselves and an alleged class of similarly situated unitholders against CVR Energy and certain of its affiliates (the “Call Defendants”) relating to CVR Energy’s exercise of the call option under the CVR Refining Amended and Restated Agreement of Limited Partnership assigned to it by CVR Refining’s general partner including the Stipulation, Compromise and Release (the “Settlement”), which Settlement was entered into in August 2022 and had no further impact on the Company’s financial position or results of operations beyond the $79 million recognized within Other (expense) income, net in the Consolidated Statements of Operations for the year ended December 31, 2022 to reflect the estimated probable loss. In November 2022, the court granted summary judgment in favor of the Insurers, which the Company has appealed, and which appeal remains pending and in its earliest stages. Also in January 2021, the Company filed suit against the Insurers in the Superior Court of the State of Delaware (the “Superior Court”) alleging breach of contract and breach of the implied covenant of good faith and fair dealing against their primary and excess insurers relating to their denial of coverage of the Call Defendants’ defense expenses and indemnity, as well as other conduct of the Insurers relating to the Call Option Lawsuits, which complaint was amended in January 2023 to seek recovery from the Insurers of all of the amounts paid in settlement of the Call Option Lawsuits.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While CVR Energy’s potential appeal of the Texas Court’s summary judgment rulings and its Delaware Court lawsuit are not yet concluded, CVR Energy does not expect the outcome of these lawsuits to have a material adverse impact on its financial position, results of operations, or cash flows.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Pension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our outstanding depositary units as of December 31, 2023.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December 31, 2023. If the plans were voluntarily terminated, they would be underfunded by an aggregate of approximately $34 million as of December 31, 2023.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We are cooperating with these requests and investigations and are providing documents in response to these requests for information. In addition, two putative securities class action lawsuits have been filed against the Company in the U.S. District Court for the Southern District of Florida alleging violations of the federal securities laws, </w:t>
      </w:r>
      <w:r>
        <w:rPr>
          <w:rFonts w:ascii="Times New Roman;Times;serif" w:hAnsi="Times New Roman;Times;serif"/>
          <w:i/>
          <w:sz w:val="20"/>
        </w:rPr>
        <w:t>Okaro v. Icahn Enterprises L.P. et al.</w:t>
      </w:r>
      <w:r>
        <w:rPr>
          <w:rFonts w:ascii="Times New Roman;Times;serif" w:hAnsi="Times New Roman;Times;serif"/>
          <w:sz w:val="20"/>
        </w:rPr>
        <w:t xml:space="preserve">, Case No. 23-21773 (S.D. Fl.), and </w:t>
      </w:r>
      <w:r>
        <w:rPr>
          <w:rFonts w:ascii="Times New Roman;Times;serif" w:hAnsi="Times New Roman;Times;serif"/>
          <w:i/>
          <w:sz w:val="20"/>
        </w:rPr>
        <w:t>Levine v. Icahn Enterprises L.P. et al.</w:t>
      </w:r>
      <w:r>
        <w:rPr>
          <w:rFonts w:ascii="Times New Roman;Times;serif" w:hAnsi="Times New Roman;Times;serif"/>
          <w:sz w:val="20"/>
        </w:rPr>
        <w:t xml:space="preserve">, Case No. 23-22009 (S.D. Fl.). These lawsuits have been consolidated and the court appointed a lead plaintiff on November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2350" w:name="Tc_B2qKtq9vKk-ReeEyise4yQ_9_5"/>
      <w:bookmarkStart w:id="2351" w:name="Tc_anLZRlesf0ar-8Lm6jLOKg_9_2"/>
      <w:bookmarkStart w:id="2352" w:name="Tc_h6QO_EugVE2OR3sLmbTYrg_8_0"/>
      <w:bookmarkStart w:id="2353" w:name="Tc_4KDQbsi1hkmokQBP6WvMLA_7_0"/>
      <w:bookmarkStart w:id="2354" w:name="Tc__i3LMvbE7EKZdbZEorVJpA_6_0"/>
      <w:bookmarkStart w:id="2355" w:name="Tc_d0na2yFLlEyDR8v2l-m0LA_5_0"/>
      <w:bookmarkStart w:id="2356" w:name="Tc_vPrOzpFYSUCuekCodBHVHA_4_0"/>
      <w:bookmarkStart w:id="2357" w:name="Tc_ONTOl0QnH0KazrV_IooZyA_3_5"/>
      <w:bookmarkStart w:id="2358" w:name="Tc_W-dxZbQ8wUa9yBdMK4cN7A_3_2"/>
      <w:bookmarkStart w:id="2359" w:name="Tc_agxtvVAjsk6iYOXI8lby6A_3_0"/>
      <w:bookmarkStart w:id="2360" w:name="Tc_VI8z6RND5Em-O50mj_zGtQ_2_2"/>
      <w:bookmarkStart w:id="2361" w:name="Tc_o68n1hqu30ymFrgxfJJgfQ_1_5"/>
      <w:bookmarkStart w:id="2362" w:name="Tc_oPuzvU8z_kqDHOSfRAJRhg_1_2"/>
      <w:bookmarkStart w:id="2363" w:name="Tc_-QXyYiK0PkamAENEXMzoRA_1_0"/>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r>
        <w:rPr>
          <w:rFonts w:ascii="Times New Roman;Times;serif" w:hAnsi="Times New Roman;Times;serif"/>
          <w:sz w:val="20"/>
        </w:rPr>
        <w:t xml:space="preserve">20, 2023. A derivative complaint has also been filed in the U.S. District Court for the Southern District of Florida, naming the Company’s general partner, its directors, and certain current and former officers as defendants, and the Company as a nominal defendant, alleging breaches of fiduciary duties with respect to the Company’s disclosure, </w:t>
      </w:r>
      <w:r>
        <w:rPr>
          <w:rFonts w:ascii="Times New Roman;Times;serif" w:hAnsi="Times New Roman;Times;serif"/>
          <w:i/>
          <w:sz w:val="20"/>
        </w:rPr>
        <w:t>Patrick Pickney v. Icahn Enterprises G.P. Inc. Case No. 1:23-cv-22932-KMW</w:t>
      </w:r>
      <w:r>
        <w:rPr>
          <w:rFonts w:ascii="Times New Roman;Times;serif" w:hAnsi="Times New Roman;Times;serif"/>
          <w:sz w:val="20"/>
        </w:rPr>
        <w:t xml:space="preserve"> (S.D. Fl.). In addition, an action to compel inspection of our books and records was filed on November 22, 2023 in the Court of Chancery of the State of Delaware, </w:t>
      </w:r>
      <w:r>
        <w:rPr>
          <w:rFonts w:ascii="Times New Roman;Times;serif" w:hAnsi="Times New Roman;Times;serif"/>
          <w:i/>
          <w:sz w:val="20"/>
        </w:rPr>
        <w:t>Bruno v. Icahn Enterprises, L.P. et al.</w:t>
      </w:r>
      <w:r>
        <w:rPr>
          <w:rFonts w:ascii="Times New Roman;Times;serif" w:hAnsi="Times New Roman;Times;serif"/>
          <w:sz w:val="20"/>
        </w:rPr>
        <w:t>, Case No. 2023-1170-SEM.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Unconditional Purchase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Unconditional purchase obligations are primarily within our Energy and Pharma segments. Our Energy segment’s unconditional purchase obligations relate to commitments for transportation of feedstock and product supply agreements related to CVR Energy’s biofuel blending obligation and various agreements for gas and gas transportation. Our Pharma segment’s unconditional purchase obligations relate to agreements to purchase goods or services from suppliers for the manufacture of its products. The minimum required payments for our Energy and Pharma segments’ unconditional purchase obligations are as follows:</w:t>
      </w:r>
    </w:p>
    <w:p>
      <w:pPr>
        <w:pStyle w:val="TextBody"/>
        <w:bidi w:val="0"/>
        <w:spacing w:before="0" w:after="0"/>
        <w:ind w:left="0" w:right="0" w:hanging="0"/>
        <w:jc w:val="left"/>
        <w:rPr/>
      </w:pPr>
      <w:r>
        <w:rPr/>
        <w:t>​</w:t>
      </w:r>
    </w:p>
    <w:tbl>
      <w:tblPr>
        <w:tblW w:w="2958" w:type="dxa"/>
        <w:jc w:val="left"/>
        <w:tblInd w:w="0" w:type="dxa"/>
        <w:tblLayout w:type="fixed"/>
        <w:tblCellMar>
          <w:top w:w="0" w:type="dxa"/>
          <w:left w:w="0" w:type="dxa"/>
          <w:bottom w:w="0" w:type="dxa"/>
          <w:right w:w="0" w:type="dxa"/>
        </w:tblCellMar>
      </w:tblPr>
      <w:tblGrid>
        <w:gridCol w:w="946"/>
        <w:gridCol w:w="326"/>
        <w:gridCol w:w="245"/>
        <w:gridCol w:w="491"/>
        <w:gridCol w:w="109"/>
        <w:gridCol w:w="280"/>
        <w:gridCol w:w="56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00710" cy="175260"/>
                      <wp:effectExtent l="0" t="0" r="0" b="0"/>
                      <wp:wrapNone/>
                      <wp:docPr id="719" name="Frame71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720" name="Frame7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55575" cy="175260"/>
                      <wp:effectExtent l="0" t="0" r="0" b="0"/>
                      <wp:wrapNone/>
                      <wp:docPr id="721" name="Frame72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311785" cy="175260"/>
                      <wp:effectExtent l="0" t="0" r="0" b="0"/>
                      <wp:wrapNone/>
                      <wp:docPr id="722" name="Frame722"/>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69215" cy="175260"/>
                      <wp:effectExtent l="0" t="0" r="0" b="0"/>
                      <wp:wrapNone/>
                      <wp:docPr id="723" name="Frame7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77800" cy="175260"/>
                      <wp:effectExtent l="0" t="0" r="0" b="0"/>
                      <wp:wrapNone/>
                      <wp:docPr id="724" name="Frame72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356235" cy="175260"/>
                      <wp:effectExtent l="0" t="0" r="0" b="0"/>
                      <wp:wrapNone/>
                      <wp:docPr id="725" name="Frame72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Energy</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Pharma</w:t>
            </w:r>
          </w:p>
        </w:tc>
      </w:tr>
      <w:tr>
        <w:trPr/>
        <w:tc>
          <w:tcPr>
            <w:tcW w:w="295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8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109"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Pension and Other Post-Retirement Benefit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Pension and other post-retirement benefit plan costs and obligations are primarily within our Food Packaging segment. Pension plans and other post-retirement benefit plans for other segments are not material and are not included in our disclosures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364" w:name="Tc_v0hjJjU0qk6-d_U_wZE1Yw_10_17"/>
      <w:bookmarkStart w:id="2365" w:name="Tc_QvS7jBObhUm388S3XIT6bw_10_14"/>
      <w:bookmarkStart w:id="2366" w:name="Tc_tK0HF6xeHU2IC6irfUJ0TQ_10_11"/>
      <w:bookmarkStart w:id="2367" w:name="Tc_1I6JGWMNyE-gcwou9lzzjg_10_8"/>
      <w:bookmarkStart w:id="2368" w:name="Tc_jd5u-k4aIUi0Pexs-EisWw_10_5"/>
      <w:bookmarkStart w:id="2369" w:name="Tc_ojKamxN9G0Kg4vtNrU8huQ_10_2"/>
      <w:bookmarkStart w:id="2370" w:name="Tc_-3VHxPb16UemTFOf_iX4rQ_9_0"/>
      <w:bookmarkStart w:id="2371" w:name="Tc_qju71yL01UaT3ZeZB-G8sA_8_3"/>
      <w:bookmarkStart w:id="2372" w:name="Tc_emkstvcRA0KVbt612zkIzw_8_0"/>
      <w:bookmarkStart w:id="2373" w:name="Tc_AAgiv3Qn8kaJ40l4MGJjuA_7_3"/>
      <w:bookmarkStart w:id="2374" w:name="Tc_fU6k7Rog6E-tKMfEzUXXxQ_7_0"/>
      <w:bookmarkStart w:id="2375" w:name="Tc_6eTgdLHObUOn4SPRZiDvQQ_6_0"/>
      <w:bookmarkStart w:id="2376" w:name="Tc_EWmu2USgl0ilvOP2CsFdVA_5_17"/>
      <w:bookmarkStart w:id="2377" w:name="Tc_DrBCDZaVQkCysRFNzz4cyw_5_14"/>
      <w:bookmarkStart w:id="2378" w:name="Tc_ghphnIYMN0uDvIpIn6ZLbw_5_11"/>
      <w:bookmarkStart w:id="2379" w:name="Tc_D3yTbhpjuUWvOfDgwAr2Qw_5_8"/>
      <w:bookmarkStart w:id="2380" w:name="Tc_EUa8e6EVOk-0ktSpFUyPyQ_5_5"/>
      <w:bookmarkStart w:id="2381" w:name="Tc_3JcfzCsm_UaaPHWJnFK7FQ_5_2"/>
      <w:bookmarkStart w:id="2382" w:name="Tc_GpfflrdGxUif2Cr13COJoQ_5_0"/>
      <w:bookmarkStart w:id="2383" w:name="Tc_G6MbXrAi3k6zUQLhE41e-g_4_0"/>
      <w:bookmarkStart w:id="2384" w:name="Tc_wnRihG1z_EGvgOWGosk7XQ_3_2"/>
      <w:bookmarkStart w:id="2385" w:name="Tc_AyR-1eILrUCVke2WUHfFUQ_2_17"/>
      <w:bookmarkStart w:id="2386" w:name="Tc_s5_bWt0PDUixxgOmb0lrGA_2_14"/>
      <w:bookmarkStart w:id="2387" w:name="Tc_XDuaQqLSjESOo82qnAyzCw_2_11"/>
      <w:bookmarkStart w:id="2388" w:name="Tc_FGE0sMHIYE-xBKdS9LdIag_2_8"/>
      <w:bookmarkStart w:id="2389" w:name="Tc_0qDrSgx-X0GjVboMl1UKAA_2_5"/>
      <w:bookmarkStart w:id="2390" w:name="Tc_z5STOyzqOE6ajNqwNNZJiQ_2_2"/>
      <w:bookmarkStart w:id="2391" w:name="Tc_D4xdrS8cuUOV2bnrDAK6kQ_1_11"/>
      <w:bookmarkStart w:id="2392" w:name="Tc_RtMeXr1kmES601YsySWa0g_1_2"/>
      <w:bookmarkStart w:id="2393" w:name="Tc_HFSRNqBJ2Uu7_dvw89OoVw_17_5"/>
      <w:bookmarkStart w:id="2394" w:name="Tc_xOfc7C-WLUGORiEz7WKueA_17_2"/>
      <w:bookmarkStart w:id="2395" w:name="Tc_kmJXPiUXGEKpOMMmofDCfg_17_0"/>
      <w:bookmarkStart w:id="2396" w:name="Tc_FLApVEYqK0CyC_yb5jnHRQ_16_0"/>
      <w:bookmarkStart w:id="2397" w:name="Tc_ycm80tQgL06nuBtyqDP7Ow_15_0"/>
      <w:bookmarkStart w:id="2398" w:name="Tc_MH3MZvRI1U-kcJDutEvaxg_14_0"/>
      <w:bookmarkStart w:id="2399" w:name="Tc_dfnufPRqD0KeS_fUJiNMFQ_13_0"/>
      <w:bookmarkStart w:id="2400" w:name="Tc_WsH2l-qzAEaDoH3koJ8T8w_12_0"/>
      <w:bookmarkStart w:id="2401" w:name="Tc_81whVZPF3U6OcPgeqqPPkw_11_0"/>
      <w:bookmarkStart w:id="2402" w:name="Tc_8luDBZrqJUueVUuWmPylzw_10_0"/>
      <w:bookmarkStart w:id="2403" w:name="Tc_Kg7FzvEMkkuohYce1R-nXA_9_0"/>
      <w:bookmarkStart w:id="2404" w:name="Tc_Jxu4tUfblUq9XLcEEc7L4g_8_0"/>
      <w:bookmarkStart w:id="2405" w:name="Tc_0IF0mJUIBUCboIvDZ4UMOg_7_0"/>
      <w:bookmarkStart w:id="2406" w:name="Tc_hFaGE2nlY02ofSzxuG6k5A_6_0"/>
      <w:bookmarkStart w:id="2407" w:name="Tc_tGPykvGDYkOoGV3QTgUAsQ_5_5"/>
      <w:bookmarkStart w:id="2408" w:name="Tc_58Ofb0AWtEGFqjyYp7EJ-g_5_2"/>
      <w:bookmarkStart w:id="2409" w:name="Tc_2I0JM8-zvU2ZwvX-meE10A_5_0"/>
      <w:bookmarkStart w:id="2410" w:name="Tc__xEA9nMqs0mEgDnK0Z_0gA_4_0"/>
      <w:bookmarkStart w:id="2411" w:name="Tc_A1aDkieEz0a7eKmwoDjrrA_3_2"/>
      <w:bookmarkStart w:id="2412" w:name="Tc_o3y0mqowDEKCklsGShadBw_2_5"/>
      <w:bookmarkStart w:id="2413" w:name="Tc_yFIb0H_ISUaESIGB3egdEA_2_2"/>
      <w:bookmarkStart w:id="2414" w:name="Tc_ijy5B-I51UiQXZez8azJ0g_1_2"/>
      <w:bookmarkStart w:id="2415" w:name="Tc_BIcGSUlP6Eep3DSnqf2btA_8_9"/>
      <w:bookmarkStart w:id="2416" w:name="Tc_J8JNy5TMVEiV8KqniiZ5GA_8_8"/>
      <w:bookmarkStart w:id="2417" w:name="Tc_QY-LaYnvykaVaQfaPAu5jA_8_6"/>
      <w:bookmarkStart w:id="2418" w:name="Tc_R1drHbfM7EmrJqq-4J7qeA_8_5"/>
      <w:bookmarkStart w:id="2419" w:name="Tc_zZ1BJKDDCEe_vvck5Ifuaw_8_2"/>
      <w:bookmarkStart w:id="2420" w:name="Tc_ypcKfboH1kqwSGrrKsUiYw_7_0"/>
      <w:bookmarkStart w:id="2421" w:name="Tc_N1ScVIjqskOGLnCdxRVLbw_6_0"/>
      <w:bookmarkStart w:id="2422" w:name="Tc_SJjXOVYL-EOd9vxqfjWXJw_5_8"/>
      <w:bookmarkStart w:id="2423" w:name="Tc_cFqFxc2atkCv47r56YrBvw_5_5"/>
      <w:bookmarkStart w:id="2424" w:name="Tc_Qh7XpgGJZEGeP0d_FLAVkA_5_2"/>
      <w:bookmarkStart w:id="2425" w:name="Tc_GAUd-YxkO06Z9qARpDei5Q_5_0"/>
      <w:bookmarkStart w:id="2426" w:name="Tc_ATeJBbeG00awMtUg7QH9eg_4_2"/>
      <w:bookmarkStart w:id="2427" w:name="Tc_TEttguXSMEu7Wts8QeXxAA_3_8"/>
      <w:bookmarkStart w:id="2428" w:name="Tc_krkdaskEWk6Vvd3FksddTg_3_5"/>
      <w:bookmarkStart w:id="2429" w:name="Tc_LLWECd8UzU2XK19KcdZTZQ_3_2"/>
      <w:bookmarkStart w:id="2430" w:name="Tc_sk-XRSfJ9Em4mc8j72FGtw_2_2"/>
      <w:bookmarkStart w:id="2431" w:name="Tc_Ga-1RKNGVUm4phTwqqUoCA_1_2"/>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r>
        <w:rPr>
          <w:rFonts w:ascii="Times New Roman;Times;serif" w:hAnsi="Times New Roman;Times;serif"/>
          <w:sz w:val="20"/>
        </w:rPr>
        <w:t>Components of net periodic benefit cost (credit) are as follows:</w:t>
      </w:r>
    </w:p>
    <w:p>
      <w:pPr>
        <w:pStyle w:val="TextBody"/>
        <w:bidi w:val="0"/>
        <w:spacing w:before="0" w:after="0"/>
        <w:ind w:left="0" w:right="0" w:hanging="0"/>
        <w:jc w:val="left"/>
        <w:rPr/>
      </w:pPr>
      <w:r>
        <w:rPr/>
        <w:t>​</w:t>
      </w:r>
    </w:p>
    <w:tbl>
      <w:tblPr>
        <w:tblW w:w="6054" w:type="dxa"/>
        <w:jc w:val="left"/>
        <w:tblInd w:w="0" w:type="dxa"/>
        <w:tblLayout w:type="fixed"/>
        <w:tblCellMar>
          <w:top w:w="0" w:type="dxa"/>
          <w:left w:w="0" w:type="dxa"/>
          <w:bottom w:w="0" w:type="dxa"/>
          <w:right w:w="0" w:type="dxa"/>
        </w:tblCellMar>
      </w:tblPr>
      <w:tblGrid>
        <w:gridCol w:w="2686"/>
        <w:gridCol w:w="326"/>
        <w:gridCol w:w="266"/>
        <w:gridCol w:w="417"/>
        <w:gridCol w:w="411"/>
        <w:gridCol w:w="266"/>
        <w:gridCol w:w="436"/>
        <w:gridCol w:w="411"/>
        <w:gridCol w:w="266"/>
        <w:gridCol w:w="569"/>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1705610" cy="175260"/>
                      <wp:effectExtent l="0" t="0" r="0" b="0"/>
                      <wp:wrapNone/>
                      <wp:docPr id="726" name="Frame72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07010" cy="175260"/>
                      <wp:effectExtent l="0" t="0" r="0" b="0"/>
                      <wp:wrapNone/>
                      <wp:docPr id="727" name="Frame7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68910" cy="175260"/>
                      <wp:effectExtent l="0" t="0" r="0" b="0"/>
                      <wp:wrapNone/>
                      <wp:docPr id="728" name="Frame72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64795" cy="175260"/>
                      <wp:effectExtent l="0" t="0" r="0" b="0"/>
                      <wp:wrapNone/>
                      <wp:docPr id="729" name="Frame72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60985" cy="175260"/>
                      <wp:effectExtent l="0" t="0" r="0" b="0"/>
                      <wp:wrapNone/>
                      <wp:docPr id="730" name="Frame730"/>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68910" cy="175260"/>
                      <wp:effectExtent l="0" t="0" r="0" b="0"/>
                      <wp:wrapNone/>
                      <wp:docPr id="731" name="Frame73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76860" cy="175260"/>
                      <wp:effectExtent l="0" t="0" r="0" b="0"/>
                      <wp:wrapNone/>
                      <wp:docPr id="732" name="Frame73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60985" cy="175260"/>
                      <wp:effectExtent l="0" t="0" r="0" b="0"/>
                      <wp:wrapNone/>
                      <wp:docPr id="733" name="Frame733"/>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68910" cy="175260"/>
                      <wp:effectExtent l="0" t="0" r="0" b="0"/>
                      <wp:wrapNone/>
                      <wp:docPr id="734" name="Frame73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361315" cy="175260"/>
                      <wp:effectExtent l="0" t="0" r="0" b="0"/>
                      <wp:wrapNone/>
                      <wp:docPr id="735" name="Frame735"/>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4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 and Non-U.S. Pension Benefits</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4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11" w:type="dxa"/>
            <w:tcBorders/>
            <w:vAlign w:val="center"/>
          </w:tcPr>
          <w:p>
            <w:pPr>
              <w:pStyle w:val="TableContents"/>
              <w:bidi w:val="0"/>
              <w:spacing w:before="0" w:after="1"/>
              <w:ind w:left="0" w:right="0" w:hanging="0"/>
              <w:jc w:val="left"/>
              <w:rPr/>
            </w:pPr>
            <w:r>
              <w:rPr/>
              <w:t>    </w:t>
            </w:r>
          </w:p>
        </w:tc>
        <w:tc>
          <w:tcPr>
            <w:tcW w:w="7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411" w:type="dxa"/>
            <w:tcBorders/>
            <w:vAlign w:val="center"/>
          </w:tcPr>
          <w:p>
            <w:pPr>
              <w:pStyle w:val="TableContents"/>
              <w:bidi w:val="0"/>
              <w:spacing w:before="0" w:after="1"/>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605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42"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11"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11"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4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1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1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actuarial losses</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11"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11"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11"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disclosures for Viskase’s benefit obligations, plan assets, funded status, and recognition in the consolidated balance sheets. As pension costs for Viskase are not material to our consolidated financial position and results of operations, we do not provide information regarding their inputs and valuation assumptions.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68"/>
        <w:gridCol w:w="326"/>
        <w:gridCol w:w="381"/>
        <w:gridCol w:w="788"/>
        <w:gridCol w:w="589"/>
        <w:gridCol w:w="381"/>
        <w:gridCol w:w="872"/>
      </w:tblGrid>
      <w:tr>
        <w:trPr/>
        <w:tc>
          <w:tcPr>
            <w:tcW w:w="6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4361180" cy="175260"/>
                      <wp:effectExtent l="0" t="0" r="0" b="0"/>
                      <wp:wrapNone/>
                      <wp:docPr id="736" name="Frame736"/>
                      <a:graphic xmlns:a="http://schemas.openxmlformats.org/drawingml/2006/main">
                        <a:graphicData uri="http://schemas.microsoft.com/office/word/2010/wordprocessingShape">
                          <wps:wsp>
                            <wps:cNvSpPr txBox="1"/>
                            <wps:spPr>
                              <a:xfrm>
                                <a:off x="0" y="0"/>
                                <a:ext cx="436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7010" cy="175260"/>
                      <wp:effectExtent l="0" t="0" r="0" b="0"/>
                      <wp:wrapNone/>
                      <wp:docPr id="737" name="Frame7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41935" cy="175260"/>
                      <wp:effectExtent l="0" t="0" r="0" b="0"/>
                      <wp:wrapNone/>
                      <wp:docPr id="738" name="Frame73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500380" cy="175260"/>
                      <wp:effectExtent l="0" t="0" r="0" b="0"/>
                      <wp:wrapNone/>
                      <wp:docPr id="739" name="Frame739"/>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374015" cy="175260"/>
                      <wp:effectExtent l="0" t="0" r="0" b="0"/>
                      <wp:wrapNone/>
                      <wp:docPr id="740" name="Frame740"/>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41935" cy="175260"/>
                      <wp:effectExtent l="0" t="0" r="0" b="0"/>
                      <wp:wrapNone/>
                      <wp:docPr id="741" name="Frame741"/>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553720" cy="175260"/>
                      <wp:effectExtent l="0" t="0" r="0" b="0"/>
                      <wp:wrapNone/>
                      <wp:docPr id="742" name="Frame742"/>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 and Non-U.S. Pension Benefits</w:t>
            </w:r>
          </w:p>
        </w:tc>
      </w:tr>
      <w:tr>
        <w:trPr/>
        <w:tc>
          <w:tcPr>
            <w:tcW w:w="6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589" w:type="dxa"/>
            <w:tcBorders/>
            <w:vAlign w:val="center"/>
          </w:tcPr>
          <w:p>
            <w:pPr>
              <w:pStyle w:val="TableContents"/>
              <w:bidi w:val="0"/>
              <w:spacing w:before="0" w:after="1"/>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benefit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  </w:t>
            </w:r>
          </w:p>
        </w:tc>
        <w:tc>
          <w:tcPr>
            <w:tcW w:w="589" w:type="dxa"/>
            <w:tcBorders/>
            <w:shd w:fill="CCEEFF" w:val="clear"/>
            <w:vAlign w:val="center"/>
          </w:tcPr>
          <w:p>
            <w:pPr>
              <w:pStyle w:val="TableContents"/>
              <w:bidi w:val="0"/>
              <w:spacing w:before="0" w:after="1"/>
              <w:ind w:left="0" w:right="0" w:hanging="0"/>
              <w:jc w:val="left"/>
              <w:rPr/>
            </w:pPr>
            <w:r>
              <w:rPr/>
              <w:t>    </w:t>
            </w:r>
          </w:p>
        </w:tc>
        <w:tc>
          <w:tcPr>
            <w:tcW w:w="38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pPr>
            <w:r>
              <w:rPr/>
              <w:t>  </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obligation, beginning of year</w:t>
            </w:r>
          </w:p>
        </w:tc>
        <w:tc>
          <w:tcPr>
            <w:tcW w:w="326"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58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8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26"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8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Actuarial loss (gain)</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8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26"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589"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obligation, end of year</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589"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plan assets:</w:t>
            </w:r>
          </w:p>
        </w:tc>
        <w:tc>
          <w:tcPr>
            <w:tcW w:w="326"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  </w:t>
            </w:r>
          </w:p>
        </w:tc>
        <w:tc>
          <w:tcPr>
            <w:tcW w:w="58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872" w:type="dxa"/>
            <w:tcBorders/>
            <w:vAlign w:val="center"/>
          </w:tcPr>
          <w:p>
            <w:pPr>
              <w:pStyle w:val="TableContents"/>
              <w:bidi w:val="0"/>
              <w:spacing w:before="0" w:after="1"/>
              <w:ind w:left="0" w:right="0" w:hanging="0"/>
              <w:jc w:val="right"/>
              <w:rPr/>
            </w:pPr>
            <w:r>
              <w:rPr/>
              <w:t>  </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plan assets, beginning of year</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58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26"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8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 </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Employer contributions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8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26"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89"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plan assets, end of year</w:t>
            </w:r>
          </w:p>
        </w:tc>
        <w:tc>
          <w:tcPr>
            <w:tcW w:w="326"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589"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6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Funded status of the plan and amounts recognized in the consolidated balance sheets</w:t>
            </w:r>
          </w:p>
        </w:tc>
        <w:tc>
          <w:tcPr>
            <w:tcW w:w="326" w:type="dxa"/>
            <w:tcBorders/>
            <w:vAlign w:val="center"/>
          </w:tcPr>
          <w:p>
            <w:pPr>
              <w:pStyle w:val="TableContents"/>
              <w:bidi w:val="0"/>
              <w:spacing w:before="0" w:after="1"/>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589" w:type="dxa"/>
            <w:tcBorders/>
            <w:vAlign w:val="center"/>
          </w:tcPr>
          <w:p>
            <w:pPr>
              <w:pStyle w:val="TableContents"/>
              <w:bidi w:val="0"/>
              <w:spacing w:before="0" w:after="1"/>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Defined Benefit Plans Measured at Fair Value on a Recurring Basis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following table presents Viskase’s defined benefit plan assets measured at fair value on a recurring basis:</w:t>
      </w:r>
    </w:p>
    <w:p>
      <w:pPr>
        <w:pStyle w:val="TextBody"/>
        <w:bidi w:val="0"/>
        <w:spacing w:before="0" w:after="0"/>
        <w:ind w:left="0" w:right="0" w:hanging="0"/>
        <w:jc w:val="left"/>
        <w:rPr/>
      </w:pPr>
      <w:r>
        <w:rPr/>
        <w:t>​</w:t>
      </w:r>
    </w:p>
    <w:tbl>
      <w:tblPr>
        <w:tblW w:w="8440" w:type="dxa"/>
        <w:jc w:val="left"/>
        <w:tblInd w:w="0" w:type="dxa"/>
        <w:tblLayout w:type="fixed"/>
        <w:tblCellMar>
          <w:top w:w="0" w:type="dxa"/>
          <w:left w:w="0" w:type="dxa"/>
          <w:bottom w:w="0" w:type="dxa"/>
          <w:right w:w="0" w:type="dxa"/>
        </w:tblCellMar>
      </w:tblPr>
      <w:tblGrid>
        <w:gridCol w:w="2341"/>
        <w:gridCol w:w="326"/>
        <w:gridCol w:w="277"/>
        <w:gridCol w:w="458"/>
        <w:gridCol w:w="326"/>
        <w:gridCol w:w="277"/>
        <w:gridCol w:w="458"/>
        <w:gridCol w:w="326"/>
        <w:gridCol w:w="216"/>
        <w:gridCol w:w="355"/>
        <w:gridCol w:w="326"/>
        <w:gridCol w:w="293"/>
        <w:gridCol w:w="442"/>
        <w:gridCol w:w="326"/>
        <w:gridCol w:w="277"/>
        <w:gridCol w:w="458"/>
        <w:gridCol w:w="326"/>
        <w:gridCol w:w="211"/>
        <w:gridCol w:w="42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486535" cy="175260"/>
                      <wp:effectExtent l="0" t="0" r="0" b="0"/>
                      <wp:wrapNone/>
                      <wp:docPr id="743" name="Frame743"/>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4" name="Frame7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75895" cy="175260"/>
                      <wp:effectExtent l="0" t="0" r="0" b="0"/>
                      <wp:wrapNone/>
                      <wp:docPr id="745" name="Frame74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90830" cy="175260"/>
                      <wp:effectExtent l="0" t="0" r="0" b="0"/>
                      <wp:wrapNone/>
                      <wp:docPr id="746" name="Frame746"/>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7010" cy="175260"/>
                      <wp:effectExtent l="0" t="0" r="0" b="0"/>
                      <wp:wrapNone/>
                      <wp:docPr id="747" name="Frame7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75895" cy="175260"/>
                      <wp:effectExtent l="0" t="0" r="0" b="0"/>
                      <wp:wrapNone/>
                      <wp:docPr id="748" name="Frame74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90830" cy="175260"/>
                      <wp:effectExtent l="0" t="0" r="0" b="0"/>
                      <wp:wrapNone/>
                      <wp:docPr id="749" name="Frame74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07010" cy="175260"/>
                      <wp:effectExtent l="0" t="0" r="0" b="0"/>
                      <wp:wrapNone/>
                      <wp:docPr id="750" name="Frame7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37160" cy="175260"/>
                      <wp:effectExtent l="0" t="0" r="0" b="0"/>
                      <wp:wrapNone/>
                      <wp:docPr id="751" name="Frame75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25425" cy="175260"/>
                      <wp:effectExtent l="0" t="0" r="0" b="0"/>
                      <wp:wrapNone/>
                      <wp:docPr id="752" name="Frame75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53" name="Frame7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86055" cy="175260"/>
                      <wp:effectExtent l="0" t="0" r="0" b="0"/>
                      <wp:wrapNone/>
                      <wp:docPr id="754" name="Frame75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80670" cy="175260"/>
                      <wp:effectExtent l="0" t="0" r="0" b="0"/>
                      <wp:wrapNone/>
                      <wp:docPr id="755" name="Frame75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07010" cy="175260"/>
                      <wp:effectExtent l="0" t="0" r="0" b="0"/>
                      <wp:wrapNone/>
                      <wp:docPr id="756" name="Frame7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75895" cy="175260"/>
                      <wp:effectExtent l="0" t="0" r="0" b="0"/>
                      <wp:wrapNone/>
                      <wp:docPr id="757" name="Frame75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90830" cy="175260"/>
                      <wp:effectExtent l="0" t="0" r="0" b="0"/>
                      <wp:wrapNone/>
                      <wp:docPr id="758" name="Frame75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07010" cy="175260"/>
                      <wp:effectExtent l="0" t="0" r="0" b="0"/>
                      <wp:wrapNone/>
                      <wp:docPr id="759" name="Frame7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133985" cy="175260"/>
                      <wp:effectExtent l="0" t="0" r="0" b="0"/>
                      <wp:wrapNone/>
                      <wp:docPr id="760" name="Frame7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67335" cy="175260"/>
                      <wp:effectExtent l="0" t="0" r="0" b="0"/>
                      <wp:wrapNone/>
                      <wp:docPr id="761" name="Frame76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27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1"/>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1"/>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8440"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73" w:type="dxa"/>
            <w:gridSpan w:val="17"/>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and Non-U.S. Plans: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traded funds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3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3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2432" w:name="Tc_-Wj_iig1KUCV9TQql_MjQA_8_6"/>
      <w:bookmarkStart w:id="2433" w:name="Tc_skxT8NYsm0GkC6KF0iOz9A_8_0"/>
      <w:bookmarkStart w:id="2434" w:name="Tc_h56OJh3_BEiJB-WZvpu8QQ_7_9"/>
      <w:bookmarkStart w:id="2435" w:name="Tc_91oCDMuIKEa5VCEAyitZYQ_7_6"/>
      <w:bookmarkStart w:id="2436" w:name="Tc_OqYFYvEn8EuNvtZYT3NMIg_7_0"/>
      <w:bookmarkStart w:id="2437" w:name="Tc_QxU7TrqVJ0-35oYJFwHNsg_6_6"/>
      <w:bookmarkStart w:id="2438" w:name="Tc_Xvh1CemXk0aJXTxGmi8eFQ_6_3"/>
      <w:bookmarkStart w:id="2439" w:name="Tc_12AQm0cY302GgH_hxqBQtg_6_0"/>
      <w:bookmarkStart w:id="2440" w:name="Tc_cFXq7wbA0E-VXRcle_lxug_5_0"/>
      <w:bookmarkStart w:id="2441" w:name="Tc_BUMhsjXjhEyVyRSEil-E2g_4_8"/>
      <w:bookmarkStart w:id="2442" w:name="Tc_nIEGBy9Mq0m1AhTrh-Yn4Q_4_5"/>
      <w:bookmarkStart w:id="2443" w:name="Tc_z3yEH0rb1kCces6o9Lo6ag_4_2"/>
      <w:bookmarkStart w:id="2444" w:name="Tc_gYA2GcnFekKmNlOo4ECMyg_4_0"/>
      <w:bookmarkStart w:id="2445" w:name="Tc_jF6p3GlyTUmCeciKl49BjA_3_2"/>
      <w:bookmarkStart w:id="2446" w:name="Tc_TRMDtKz0m0SUhfNd98Ronw_2_8"/>
      <w:bookmarkStart w:id="2447" w:name="Tc_UppOHlrcpU2tdM5AvQkHMA_2_5"/>
      <w:bookmarkStart w:id="2448" w:name="Tc_l0_wjMzAiUOQxEDWD8ZApg_2_2"/>
      <w:bookmarkStart w:id="2449" w:name="Tc_5tqNS3sS5U6Ordi-HYMKzg_1_2"/>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r>
        <w:rPr>
          <w:rFonts w:ascii="Times New Roman;Times;serif" w:hAnsi="Times New Roman;Times;serif"/>
          <w:b/>
          <w:sz w:val="20"/>
        </w:rPr>
        <w:t>21. Supplemental Cash Flow Information</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Supplemental cash flow information consists of the following:</w:t>
      </w:r>
    </w:p>
    <w:p>
      <w:pPr>
        <w:pStyle w:val="TextBody"/>
        <w:bidi w:val="0"/>
        <w:spacing w:before="0" w:after="0"/>
        <w:ind w:left="0" w:right="0" w:hanging="0"/>
        <w:jc w:val="left"/>
        <w:rPr/>
      </w:pPr>
      <w:r>
        <w:rPr/>
        <w:t>​</w:t>
      </w:r>
    </w:p>
    <w:tbl>
      <w:tblPr>
        <w:tblW w:w="9445" w:type="dxa"/>
        <w:jc w:val="left"/>
        <w:tblInd w:w="0" w:type="dxa"/>
        <w:tblLayout w:type="fixed"/>
        <w:tblCellMar>
          <w:top w:w="0" w:type="dxa"/>
          <w:left w:w="0" w:type="dxa"/>
          <w:bottom w:w="0" w:type="dxa"/>
          <w:right w:w="0" w:type="dxa"/>
        </w:tblCellMar>
      </w:tblPr>
      <w:tblGrid>
        <w:gridCol w:w="6166"/>
        <w:gridCol w:w="326"/>
        <w:gridCol w:w="211"/>
        <w:gridCol w:w="541"/>
        <w:gridCol w:w="326"/>
        <w:gridCol w:w="211"/>
        <w:gridCol w:w="541"/>
        <w:gridCol w:w="326"/>
        <w:gridCol w:w="211"/>
        <w:gridCol w:w="586"/>
      </w:tblGrid>
      <w:tr>
        <w:trPr/>
        <w:tc>
          <w:tcPr>
            <w:tcW w:w="6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3915410" cy="175260"/>
                      <wp:effectExtent l="0" t="0" r="0" b="0"/>
                      <wp:wrapNone/>
                      <wp:docPr id="762" name="Frame762"/>
                      <a:graphic xmlns:a="http://schemas.openxmlformats.org/drawingml/2006/main">
                        <a:graphicData uri="http://schemas.microsoft.com/office/word/2010/wordprocessingShape">
                          <wps:wsp>
                            <wps:cNvSpPr txBox="1"/>
                            <wps:spPr>
                              <a:xfrm>
                                <a:off x="0" y="0"/>
                                <a:ext cx="391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07010" cy="175260"/>
                      <wp:effectExtent l="0" t="0" r="0" b="0"/>
                      <wp:wrapNone/>
                      <wp:docPr id="763" name="Frame7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33985" cy="175260"/>
                      <wp:effectExtent l="0" t="0" r="0" b="0"/>
                      <wp:wrapNone/>
                      <wp:docPr id="764" name="Frame7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343535" cy="175260"/>
                      <wp:effectExtent l="0" t="0" r="0" b="0"/>
                      <wp:wrapNone/>
                      <wp:docPr id="765" name="Frame7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7010" cy="175260"/>
                      <wp:effectExtent l="0" t="0" r="0" b="0"/>
                      <wp:wrapNone/>
                      <wp:docPr id="766" name="Frame7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33985" cy="175260"/>
                      <wp:effectExtent l="0" t="0" r="0" b="0"/>
                      <wp:wrapNone/>
                      <wp:docPr id="767" name="Frame7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343535" cy="175260"/>
                      <wp:effectExtent l="0" t="0" r="0" b="0"/>
                      <wp:wrapNone/>
                      <wp:docPr id="768" name="Frame76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07010" cy="175260"/>
                      <wp:effectExtent l="0" t="0" r="0" b="0"/>
                      <wp:wrapNone/>
                      <wp:docPr id="769" name="Frame7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33985" cy="175260"/>
                      <wp:effectExtent l="0" t="0" r="0" b="0"/>
                      <wp:wrapNone/>
                      <wp:docPr id="770" name="Frame7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372110" cy="175260"/>
                      <wp:effectExtent l="0" t="0" r="0" b="0"/>
                      <wp:wrapNone/>
                      <wp:docPr id="771" name="Frame7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94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net of amounts capitalized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6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receipts for income taxes,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dividends to non-controlling interests in subsidiary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r>
      <w:tr>
        <w:trPr/>
        <w:tc>
          <w:tcPr>
            <w:tcW w:w="6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Investment segment contributions from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22.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Icahn Enterprises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LP Unit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26, 2024, the Board of Directors of the general partner of Icahn Enterprises declared a quarterly distribution in the amount of $1.00 per depositary unit, which will be paid on or about April 18, 2024 to depositary unitholders of record at the close of business on March 11, 2024. Depositary unitholders will have until April 5,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12, 2024.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50" w:name="Item9ChangesInandDisagreementsWithAccoun"/>
      <w:bookmarkStart w:id="2451" w:name="_ace60a78_c0eb_4ee0_a5d7_aaa231599118"/>
      <w:bookmarkEnd w:id="2450"/>
      <w:bookmarkEnd w:id="2451"/>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2452" w:name="Item9AControlsandProcedures_361524"/>
      <w:bookmarkStart w:id="2453" w:name="_2562c5f9_2c7a_4ca1_a392_abc99f15944b"/>
      <w:bookmarkEnd w:id="2452"/>
      <w:bookmarkEnd w:id="2453"/>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our management, including our Chief Executive Officer and Chief Financial Officer, evaluated the effectiveness of the design and operation of Icahn Enterprises’ and subsidiaries’ disclosure controls and procedures pursuant to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 is required to base its assessment on the effectiveness of our internal control over financial reporting on a suitable, recognized control framework. Management has utilized the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to evaluate the effectiveness of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management has performed an assessment according to the guidelines established by COSO. Based on the assessment, management has concluded that our system of internal control over financial reporting, as of December 31, 2023, is effective.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Grant Thornton LLP, our independent registered public accounting firm (PCAOB ID Number 248), has audited and issued their report on Icahn Enterprises’ internal control over financial reporting, which appears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fourth quarter of 2023 that have materially affected, or are reasonably likely to materially affect, our internal control over financial reporting.</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54" w:name="_fa0e590a_5163_407c_88e8_b109f239a172"/>
      <w:bookmarkEnd w:id="2454"/>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Icahn Enterprises L.P.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Icahn Enterprises L.P. (a Delaware limited partnership) and subsidiaries (the “Partnership”) as of December 31, 2023,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our opinion, the Partnership maintained, in all material respects, effective internal control over financial reporting as of December 31, 2023,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Partnership as of and for the year ended December 31, 2023, and our report dated February 28, 2024 expressed an unqualified opinion on those financial statements.</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Basis </w:t>
      </w:r>
      <w:r>
        <w:rPr>
          <w:rFonts w:ascii="Times New Roman;Times;serif" w:hAnsi="Times New Roman;Times;serif"/>
          <w:b/>
          <w:sz w:val="20"/>
        </w:rPr>
        <w:t>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Definition </w:t>
      </w:r>
      <w:r>
        <w:rPr>
          <w:rFonts w:ascii="Times New Roman;Times;serif" w:hAnsi="Times New Roman;Times;serif"/>
          <w:b/>
          <w:sz w:val="20"/>
        </w:rPr>
        <w:t>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/s/GRANT THORNTON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Fort Lauderdale, Florida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28,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55" w:name="Item9BOtherInformation_186097"/>
      <w:bookmarkStart w:id="2456" w:name="_630a44eb_8071_402b_845e_1d2852696a91"/>
      <w:bookmarkEnd w:id="2455"/>
      <w:bookmarkEnd w:id="2456"/>
      <w:r>
        <w:rPr>
          <w:rFonts w:ascii="Times New Roman;Times;serif" w:hAnsi="Times New Roman;Times;serif"/>
          <w:b/>
          <w:sz w:val="20"/>
        </w:rPr>
        <w:t>Item 9B.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fourth quarter of 2023, no director or officer, as defined in Rule 16a-1(f) of the Exchange Act, adopted or terminated a “Rule 10b5-1 trading arrangement” or a “non-Rule 10b5-1 trading arrangement,” each as defined in Regulation S-K Item 408.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457" w:name="Item9CDisclosureRegardingForeignJurisdic"/>
      <w:bookmarkStart w:id="2458" w:name="_2102919c_2b5d_4f61_b5bb_a5ea80f0ccf3"/>
      <w:bookmarkEnd w:id="2457"/>
      <w:bookmarkEnd w:id="2458"/>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459" w:name="PARTIII_200542"/>
      <w:bookmarkStart w:id="2460" w:name="_0d7e0f32_3949_4262_87a8_90245531f709"/>
      <w:bookmarkEnd w:id="2459"/>
      <w:bookmarkEnd w:id="2460"/>
      <w:r>
        <w:rPr>
          <w:rFonts w:ascii="Times New Roman;Times;serif" w:hAnsi="Times New Roman;Times;serif"/>
          <w:b/>
          <w:sz w:val="20"/>
        </w:rPr>
        <w:t>PART III</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461" w:name="Item10DirectorsExecutiveOfficersandCorpo"/>
      <w:bookmarkEnd w:id="2461"/>
      <w:r>
        <w:rPr>
          <w:rFonts w:ascii="Times New Roman;Times;serif" w:hAnsi="Times New Roman;Times;serif"/>
          <w:b/>
          <w:sz w:val="20"/>
        </w:rPr>
        <w:t xml:space="preserve">Item 10. Directors, Executive Officers and Corporate Governance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names, offices held and ages of the directors, executive officers and certain significant employees of Icahn Enterprises G.P., Inc. (“Icahn Enterprises GP”), the general partner of Icahn Enterprises L.P. (“Icahn Enterprises”) are as follows: </w:t>
      </w:r>
    </w:p>
    <w:tbl>
      <w:tblPr>
        <w:tblW w:w="6880" w:type="dxa"/>
        <w:jc w:val="left"/>
        <w:tblInd w:w="0" w:type="dxa"/>
        <w:tblLayout w:type="fixed"/>
        <w:tblCellMar>
          <w:top w:w="0" w:type="dxa"/>
          <w:left w:w="0" w:type="dxa"/>
          <w:bottom w:w="0" w:type="dxa"/>
          <w:right w:w="0" w:type="dxa"/>
        </w:tblCellMar>
      </w:tblPr>
      <w:tblGrid>
        <w:gridCol w:w="1831"/>
        <w:gridCol w:w="326"/>
        <w:gridCol w:w="436"/>
        <w:gridCol w:w="326"/>
        <w:gridCol w:w="396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1162685" cy="175260"/>
                      <wp:effectExtent l="0" t="0" r="0" b="0"/>
                      <wp:wrapNone/>
                      <wp:docPr id="772" name="Frame772"/>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07010" cy="175260"/>
                      <wp:effectExtent l="0" t="0" r="0" b="0"/>
                      <wp:wrapNone/>
                      <wp:docPr id="773" name="Frame7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76860" cy="175260"/>
                      <wp:effectExtent l="0" t="0" r="0" b="0"/>
                      <wp:wrapNone/>
                      <wp:docPr id="774" name="Frame77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07010" cy="175260"/>
                      <wp:effectExtent l="0" t="0" r="0" b="0"/>
                      <wp:wrapNone/>
                      <wp:docPr id="775" name="Frame7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515235" cy="175260"/>
                      <wp:effectExtent l="0" t="0" r="0" b="0"/>
                      <wp:wrapNone/>
                      <wp:docPr id="776" name="Frame77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26" w:type="dxa"/>
            <w:tcBorders/>
            <w:vAlign w:val="center"/>
          </w:tcPr>
          <w:p>
            <w:pPr>
              <w:pStyle w:val="TableContents"/>
              <w:bidi w:val="0"/>
              <w:spacing w:before="0" w:after="1"/>
              <w:ind w:left="0" w:right="0" w:hanging="0"/>
              <w:jc w:val="left"/>
              <w:rPr/>
            </w:pPr>
            <w:r>
              <w:rPr/>
              <w:t>    </w:t>
            </w:r>
          </w:p>
        </w:tc>
        <w:tc>
          <w:tcPr>
            <w:tcW w:w="3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C. Icahn</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 of the Board</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Andrew Teno</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 </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 and Director</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Robert Flint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pPr>
            <w:r>
              <w:rPr/>
              <w:t>​</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Accounting Officer</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Brett Icahn</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1"/>
              <w:ind w:left="0" w:right="0" w:hanging="0"/>
              <w:jc w:val="left"/>
              <w:rPr/>
            </w:pPr>
            <w:r>
              <w:rPr/>
              <w:t>​</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Nevin</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 </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Stephen A. Mongillo</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left"/>
              <w:rPr/>
            </w:pPr>
            <w:r>
              <w:rPr/>
              <w:t>​</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Alvin B. Krongard</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1"/>
              <w:ind w:left="0" w:right="0" w:hanging="0"/>
              <w:jc w:val="left"/>
              <w:rPr/>
            </w:pPr>
            <w:r>
              <w:rPr/>
              <w:t>​</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Carl C. Icahn</w:t>
      </w:r>
      <w:r>
        <w:rPr>
          <w:rFonts w:ascii="Times New Roman;Times;serif" w:hAnsi="Times New Roman;Times;serif"/>
          <w:sz w:val="20"/>
        </w:rPr>
        <w:t xml:space="preserve"> has served as Chairman of the Board and a director of Starfire Holding Corporation, a privately-held holding company, and Chairman of the Board and a director of various subsidiaries of Starfire Holding Corporation,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Mr. Icahn began his career on Wall Street in 1961 and has become one of the most well-known and influential investors in America. In 1968, he formed Icahn &amp; Co., a securities firm that focused on arbitrage and options trading. In 1978, he began taking very substantial and sometimes controlling positions in individual companies. Over the years, these positions include: RJR Nabisco, Texaco, Phillips Petroleum, Western Union, Gulf &amp; Western, Viacom, Uniroyal, Dan River, Marshall Field, E- II (Culligan and Samsonite), American Can, USX, Marvel, Revlon, ImClone, Fairmont, Kerr-McGee, Time Warner, Yahoo!, Lions Gate, CIT, Motorola, Genzyme, Biogen, BEA Systems, Chesapeake Energy, El Paso, Amylin Pharmaceuticals, Regeneron, Mylan Labs, KT&amp;G, Lawson Software, MedImmune, Dell, Herbalife,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Navistar International, Transocean, Take-Two, Hain Celestial, Mentor Graphics, Netflix, Forest Laboratories, Apple, eBay, PayPal, Hertz, AIG, Cheniere Energy, Xerox, Freeport-McMoRan, Dana, Bausch, Southwest Gas, Illumina and JetBlue. As a leading shareholder activist, his efforts have unlocked billions of dollars of shareholder and bondholder value and have improved the competitiveness of American companies. He and his affiliated companies currently own businesses in a wide range of industries, including real estate, oil refining and manufacturing. Companies in which he and his affiliates currently own majority positions include CVR Energy, Viskase Companies, WestPoint Home and Pep Boys. He and his affiliated companies also own stakes in many other public companies. Icahn Enterprises LP is Mr. Icahn’s flagship company through which he has acquired many of these positions.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 88, is a graduate of Princeton University, with a degree in philosophy. He has many charitable interests, focusing primarily on medicine, education and child welfare. He is a significant benefactor to, and serves as a trustee on the boards of, the School of Medicine and the Hospital at Mt Sinai. He funded the Icahn Medical Institute Building at Mt. Sinai Hospital and the Institute of Genomics, a genomics and multiscale biology research program, at the School of Medicine. In 2012 he made a substantial pledge to the School of Medicine. In honor and recognition of $200 million of financial support by him, the School of Medicine was renamed the Icahn School of Medicine at Mt. Sinai and the Institute of Genomics was renamed the Icahn Genomics Institute. The School of Medicine also established an Icahn Scholars Program to attract a world-class group of physician-scientists to the School.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area of education, Mr. Icahn established seven Icahn Charter Schools located in The Bronx, New York, an area marked by poverty and high crime rates. The mission of the schools is based on the belief that all students deserve a rigorous academic program through which they will increase their capacity to learn. As a result, the students will graduate armed with the skills and knowledge to participate successfully in the most intense academic environments and will have a sense of personal and community responsibility. At Choate Rosemary Hall, a premiere boarding school located in Wallingford, Connecticut where he previously served on the board of trustees, he endowed the Icahn Scholars Program, which has awarded a large number of scholarships to underprivileged students, and funded the Carl C. Icahn Science Center, Choate Science Building designed by I.M. Pei. He also sponsored a genomics laboratory at Princeton University which was named the Carl C. Icahn Laboratory for Princeton University's Institute for Integrated Genomics.  Mr. Icahn is also a Charter Member of the Nassau Hall Society, which is composed of individuals who have given $5 million or more to Princeton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He has also made significant donations to the Randall's Island Sports Foundation, where he previously served as a trustee, for the construction of Icahn Stadium, a track and field stadium located on Randall’s Island. In addition, he has served as a trustee on the board of Lincoln Center.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Andrew Teno</w:t>
      </w:r>
      <w:r>
        <w:rPr>
          <w:rFonts w:ascii="Times New Roman;Times;serif" w:hAnsi="Times New Roman;Times;serif"/>
          <w:sz w:val="20"/>
        </w:rPr>
        <w:t> has served as President and Chief Executive Officer and as a director of Icahn Enterprises since February 2024. Prior to his appointment as President and Chief Executive Officer, Mr. Teno served as a portfolio manager at Icahn Capital LP, a subsidiary of Icahn Enterprises, since October 2020. Mr. Teno previously worked at Fir Tree Partners, a New York based private investment firm that invests worldwide in public and private companies, real estate and sovereign debt, from 2011 to April 2020. Prior to that, he worked at Crestview Partners from 2009 to 2011 as an associate in their private equity business, and at Gleacher Partners, a boutique mergers and acquisitions firm, from 2007 to 2009. Mr. Teno has served as a director of Southwest Gas Holdings, Inc., an entity that purchases, distributes and transports natural gas and provides utility infrastructure services across North America, since May 2022 and Illumina, Inc., a company engaged in sequencing- and array-based solutions for genetic and genomic analysis since May 2023. Mr. Teno also previously served as a director of: Crown Holdings Inc. from December 2022 to November 2023; FirstEnergy Corp. from March 2021 to December 2023; Herc Holdings Inc. from February 2021 to March 2023; and Cheniere Energy, Inc. from February 2021 to June 2022. Mr. Teno received an undergraduate business degree from the Wharton School at the University of Pennsylvania in 2007.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Ted Papapostolou</w:t>
      </w:r>
      <w:r>
        <w:rPr>
          <w:rFonts w:ascii="Times New Roman;Times;serif" w:hAnsi="Times New Roman;Times;serif"/>
          <w:sz w:val="20"/>
        </w:rPr>
        <w:t xml:space="preserve"> has served as Chief Financial Officer of Icahn Enterprises since November 2021. In addition, Mr. Papapostolou has served as director of Icahn Enterprises since December 2021 and its Secretary since April 2020. Mr. Papapostolou previously served as the Chief Accounting Officer of Icahn Enterprises from April 2020 to December 2023 and in various progressive accounting positions at Icahn Enterprises from March 2007 to March 2020. Previously, Mr. Papapostolou worked at Grant Thornton LLP in their audit practice. Mr. Papapostolou received his M.B.A. from The Peter J. Tobin College of Business at Saint John’s University and his B.B.A. from Frank G. Zarb School of Business at Hofstra University. Mr. Papapostolou has served as director of Viskase Companies, Inc., since April 2020 and CVR Energy, Inc., since March 2023. Viskase Companies, Inc. and CVR Energy, Inc. are each indirectly controlled by Carl C. Icahn.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Robert Flint</w:t>
      </w:r>
      <w:r>
        <w:rPr>
          <w:rFonts w:ascii="Times New Roman;Times;serif" w:hAnsi="Times New Roman;Times;serif"/>
          <w:sz w:val="20"/>
        </w:rPr>
        <w:t xml:space="preserve"> has served as Chief Accounting Officer of Icahn Enterprises since December 2023. In addition, Mr. Flint has served as the Director of Accounting of Icahn Enterprises since November 2021 and previously served as the Chief Audit Executive of Icahn Enterprises from March 2020 to November 2021. Mr. Flint was an independent management consultant from January 2017 to March 2020, serving a variety of clients and industries, including Icahn Automotive Group LLC, a subsidiary of Icahn Enterprises, from September 2018 to March 2020. Mr. Flint received his B.S. in Accounting and Finance from the University of Dayton.</w:t>
      </w:r>
    </w:p>
    <w:p>
      <w:pPr>
        <w:pStyle w:val="TextBody"/>
        <w:bidi w:val="0"/>
        <w:spacing w:before="0" w:after="0"/>
        <w:ind w:left="0" w:right="0" w:firstLine="360"/>
        <w:jc w:val="left"/>
        <w:rPr>
          <w:rFonts w:ascii="Calibri;Helvetica;sans-serif" w:hAnsi="Calibri;Helvetica;sans-serif"/>
          <w:sz w:val="20"/>
        </w:rPr>
      </w:pPr>
      <w:r>
        <w:rPr>
          <w:rFonts w:ascii="Times New Roman;Times;serif" w:hAnsi="Times New Roman;Times;serif"/>
          <w:b/>
          <w:i/>
          <w:sz w:val="20"/>
        </w:rPr>
        <w:t xml:space="preserve">Brett Icahn </w:t>
      </w:r>
      <w:r>
        <w:rPr>
          <w:rFonts w:ascii="Times New Roman;Times;serif" w:hAnsi="Times New Roman;Times;serif"/>
          <w:sz w:val="20"/>
        </w:rPr>
        <w:t>has served as a director of Icahn Enterprises’ general partner, Icahn Enterprises GP and has been a Portfolio Manager for Icahn Capital LP, a subsidiary of Icahn Enterprises, since October 2020. Brett Icahn was previously a consultant for Icahn Enterprises, where he exclusively provided investment advice to Carl C. Icahn with respect to the investment strategy for Icahn Enterprises’ Investment segment and with respect to capital allocation across Icahn Enterprises’ various operating subsidiaries from 2017 to 2020. From 2010 to 2017, Brett Icahn was responsible for co-executing an investment strategy across all industries as a Portfolio Manager of the Sargon Portfolio for Icahn Capital LP, the entity through which Carl C. Icahn manages investment funds. From 2002 to 2010, Brett Icahn served as an investment analyst for Icahn Capital LP and in a variety of investment advisory roles for Carl C. Icahn.</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Brett Icahn currently serves as a director of Bausch Health Companies Inc., a manufacturer and marketer of pharmaceuticals, over the counter products and medical devices since March 2021 and the Bausch + Lomb board since June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Brett Icahn was previously a director of, among others: Dana Inc. a leading supplier of fully integrated drivetrain and electrified propulsion systems for all passenger vehicles, from January 2022 to January 2023; Newell Brands Inc., a global marketer of consumer and commercial products, from March 2018 to March 2023; Nuance Communications, Inc., a provider of voice and language solutions, from October 2013 to March 2016; Take-Two Interactive Software Inc., a publisher of interactive entertainment products, from April 2010 to November 2013; and The Hain Celestial Group, Inc., a natural and organic products company, from July 2010 to November 2013. Brett Icahn is the son of Carl C. Icahn who has or previously had non-controlling interests in the aforementioned companies through the ownership of securities.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Brett Icahn brings to his service as a director his significant experience in leadership roles as director of various companies as discussed above. In addition, Brett Icahn is uniquely qualified based on his prior experience working as an investment analyst for Icahn Capital LP.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Michael Nevin</w:t>
      </w:r>
      <w:r>
        <w:rPr>
          <w:rFonts w:ascii="Times New Roman;Times;serif" w:hAnsi="Times New Roman;Times;serif"/>
          <w:sz w:val="20"/>
        </w:rPr>
        <w:t xml:space="preserve"> has served as a director of Icahn Enterprises’ general partner, Icahn Enterprises GP, since December 2018 and has served as Managing Director from June 2018 until August 2019. In addition, Mr. Nevin has served as Chief Financial Officer of Icahn Automotive Group LLC since February 2019. From July 2015 to June 2018, Mr. Nevin served as a Financial Analyst at Icahn Enterprises. Prior to joining Icahn Enterprises, Mr. Nevin was employed by Jefferies LLC as a Research Analyst from 2014 to 2015 covering the utilities sector. Mr. Nevin was also employed by JP Morgan Investment Bank in various roles from 2009 to 2014, most recently as an Associate from 2012 to 2014. Mr. Nevin has been a director of: Viskase Companies, Inc. since April 2017. Mr. Nevin was previously: a director of Conduent Incorporated, a provider of business process outsourcing services, from December 2016 through August 2019; a director of Ferrous Resources Ltd, an iron ore mining company, from December 2016 through its sale in August 2019; a director of American Railcar Industries, Inc., a railcar manufacturing company, from February 2017 through its sale in December 2018; and a director of Federal-Mogul LLC, a supplier of automotive powertrain and safety components, from February 2016 through its sale in October 2018. Viskase Companies, Inc., is indirectly controlled by Carl C. Icahn.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Ferrous Resources Ltd., American Railcar Industries, Inc. and Federal-Mogul LLC were previously indirectly controlled by Mr. Icahn. Carl C. Icahn also has a non-controlling interest in Conduent Incorporated through the ownership of securities. Mr. Nevin is married to the daughter of Carl C. Icahn.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Nevin brings to his service as a director his significant experience in leadership roles as director of various companies as discussed above. In particular, his prior service as Chief Financial Officer of Icahn Automotive enables him to understand the complex business and financial issues that we may face.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Denise Barton</w:t>
      </w:r>
      <w:r>
        <w:rPr>
          <w:rFonts w:ascii="Times New Roman;Times;serif" w:hAnsi="Times New Roman;Times;serif"/>
          <w:sz w:val="20"/>
        </w:rPr>
        <w:t xml:space="preserve"> has served as a director of Icahn Enterprises’ general partner, Icahn Enterprises GP, since September 2019 and was a member of our audit committee. from September 2019 until April 2021. In addition, Ms. Barton has served as Chief Financial Officer of IEH Auto Parts LLC since July of 2021 and both Chief Executive Officer and Chief Financial Officer of IEH Auto Parts LLC from September 2021 through April 2022. Ms. Barton has served on the board of directors and audit committee for Viskase Companies, Inc., a subsidiary of Icahn Enterprises, since May 2016 and served on the board of directors and audit committee for Trump Entertainment Resorts, Inc., a subsidiary of Icahn Enterprises, from February 2016 through June 2017. Ms. Barton served as a member of the Operating Executive Board of Gotham Private Equity Partners, LP, a New York based merchant banking firm, from March 2010 through January 2014. Ms. Barton served as the Chief Financial Officer for Land Holdings I, LLC, a company formed to develop, own and operate the Scarlet Pearl Casino Resort, from March 2012 through March 2017. In addition, Ms. Barton has over 15 years’ experience in public accounting and has served as Chief Financial Officer in both public and private companies. Ms. Barton is a certified public accountant and has been licensed by the Nevada State Gaming Control Commission, the New Jersey Casino Control Commission and the Mississippi Gaming Commission.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Ms. Barton brings to her service as a director her significant experience in leadership roles as director of various companies as discussed above. In particular, her service as Chief Financial Officer of various companies enables her to understand the complex business and financial issues that we may face.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Stephen A. Mongillo</w:t>
      </w:r>
      <w:r>
        <w:rPr>
          <w:rFonts w:ascii="Times New Roman;Times;serif" w:hAnsi="Times New Roman;Times;serif"/>
          <w:sz w:val="20"/>
        </w:rPr>
        <w:t xml:space="preserve"> has served as the director of Icahn Enterprises’ general partner, Icahn Enterprises GP, since March 2020 and is a member of our audit committee. Mr. Mongillo has served as a director of CVR Energy, Inc., a majority owned subsidiary of Icahn Enterprises, since May 2012. Mr. Mongillo is currently, and has been since April 2012, the Chairman and Chief Executive Officer of AMPF, Inc., a distributor of picture frame mouldings and supplies of which he is also the principal shareholder. Since November 2022, Mr. Mongillo has been an equity member of Manufactured Housing Partners LLC (“MHP”), a private real estate management company. Previously, Mr. Mongillo served as: a director of HERC Holdings, Inc., a publicly traded equipment rental company, from 2016 until 2018; a director of American Railcar Industries, Inc from 2009 until 2011; a director of WestPoint Home LLC, from March 2009 until January 2011; and a managing director of Icahn Capital LP, from January 2008 until January 2011. Icahn Capital LP and WestPoint Home, LLC are each indirectly controlled by Carl C. Icahn. American Railcar Industries, Inc. was previously indirectly controlled by Carl C. Icahn. Carl C. Icahn also previously had non-controlling interests in HERC Holdings, Inc through the ownership of securities. Mr. Mongillo received a B.A. from Trinity College and an M.B.A from the Amos Tuck School of Business Administration at Dartmouth College.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Mongillo brings to his service as a director his significant experience in leadership roles as director of various companies, as discussed above. In particular, his service as Chief Executive Officer of AMPF, Inc. enables him to understand the complex business and financial issues that we may face.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 xml:space="preserve">Alvin B. Krongard </w:t>
      </w:r>
      <w:r>
        <w:rPr>
          <w:rFonts w:ascii="Times New Roman;Times;serif" w:hAnsi="Times New Roman;Times;serif"/>
          <w:sz w:val="20"/>
        </w:rPr>
        <w:t xml:space="preserve">has served as a director of Icahn Enterprises’ general partner, Icahn Enterprises GP, since March 2019 and is a member of our audit committee. Mr. Krongard currently serves as a director and a member of the audit committee of the board of directors of Apollo Global Management, LLC; as a director and chairman of the corporate governance committee and the investment committee of the board of directors of Iridium Communications Inc. and previously served as the lead independent director and chairman of the audit committee of the board of directors of Under Armour, Inc from March 2019 until May 2020. He served as Executive Director of the Central Intelligence Agency from 2001 to 2004 and as counselor to the Director of the Central Intelligence Agency from 2000 to 2001. Mr. Krongard previously served in various capacities at Alex.Brown, Incorporated, including serving as Chief Executive Officer beginning in 1991 and assuming additional duties as Chairman of the board of directors in 1994. Upon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merger of Alex.Brown with Bankers Trust Corporation in 1997, Mr. Krongard became Vice Chairman of the Board of Bankers Trust and served in such capacity until joining the Central Intelligence Agency in 1998.</w:t>
      </w:r>
    </w:p>
    <w:p>
      <w:pPr>
        <w:pStyle w:val="TextBody"/>
        <w:bidi w:val="0"/>
        <w:spacing w:before="0" w:after="240"/>
        <w:ind w:left="0" w:right="0" w:firstLine="360"/>
        <w:jc w:val="both"/>
        <w:rPr>
          <w:rFonts w:ascii="Times New Roman;Times;serif" w:hAnsi="Times New Roman;Times;serif"/>
          <w:sz w:val="20"/>
        </w:rPr>
      </w:pPr>
      <w:bookmarkStart w:id="2462" w:name="_Hlk157774245"/>
      <w:bookmarkEnd w:id="2462"/>
      <w:r>
        <w:rPr>
          <w:rFonts w:ascii="Times New Roman;Times;serif" w:hAnsi="Times New Roman;Times;serif"/>
          <w:sz w:val="20"/>
        </w:rPr>
        <w:t>Mr. Krongard brings to his service as a director his significant experience in leadership roles as director of various companies as discussed above. In particular, his service as Chief Executive Officer of Alex.Brown, Incorporated enables him to understand the complex business and financial issues that we may face.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Nancy Dunlap</w:t>
      </w:r>
      <w:r>
        <w:rPr>
          <w:rFonts w:ascii="Times New Roman;Times;serif" w:hAnsi="Times New Roman;Times;serif"/>
          <w:sz w:val="20"/>
        </w:rPr>
        <w:t xml:space="preserve"> has served as a director of Icahn Enterprises’ general partner, Icahn Enterprises GP, since April 2021 and is a member of our audit committee. Ms. Dunlap currently serves as the private counsel and head of the private family office of former New Jersey Governor and United States Senator Jon S. Corzine. Since 1999, Ms. Dunlap has overseen all personal investment and legal affairs of the Corzine Family Office. As head of Mr. Corzine’s private family office, Ms. Dunlap also serves as a Trustee of the Jon S. Corzine Trust and as Director of the Jon S. Corzine Foundation. Ms. Dunlap was previously a director of: CVR Refining, LP, from July 2018 to February 2019; and Equita Sim, a private investment bank headquartered in Milan, Italy, from November 2010 to September 2015. CVR Refining, LP is a wholly-owned subsidiary of CVR Energy, which is indirectly controlled by Mr. Icahn. Ms. Dunlap was also previously a director of Amp Electric Vehicles from March 2010 to September 2012. Ms. Dunlap received a Juris Doctor from St. John’s University School of Law and a Bachelor of Arts from University of Denver.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Ms. Dunlap brings to her service as a director her significant experience in leadership roles as director of various companies as discussed above.</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Stephen A. Mongillo, Alvin B. Krongard and Nancy Dunlap serve on our audit committee. Stephen A. Mongillo is an “audit committee financial expert,” within the meaning of Item 407(d)(5) of Regulation S-K and is “independent” within the meaning of Rule 5605(a)(2) of the Nasdaq Listing Rules. We believe that each of the other audit committee members are also “independent.” A copy of the audit committee charter is available on our website at </w:t>
      </w:r>
      <w:r>
        <w:rPr>
          <w:rFonts w:ascii="Times New Roman;Times;serif" w:hAnsi="Times New Roman;Times;serif"/>
          <w:i/>
          <w:sz w:val="20"/>
        </w:rPr>
        <w:t>www.ielp.com/corporate-governance</w:t>
      </w:r>
      <w:r>
        <w:rPr>
          <w:rFonts w:ascii="Times New Roman;Times;serif" w:hAnsi="Times New Roman;Times;serif"/>
          <w:sz w:val="20"/>
        </w:rPr>
        <w:t xml:space="preserve"> or may be obtained without charge by writing to Icahn Enterprises L.P., 16690 Collins Avenue, PH-1, Sunny Isles Beach, FL 33160, Attention: Investor Relations.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audit committee has regularly scheduled meetings each year, and numerous other meetings when circumstances require. Regularly scheduled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Regularly scheduled meetings are also held with our Chief Financial Officer, 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When necessary, our audit committee holds informal meetings, meets with its independent counsel, and, when appropriate, with independent financial advisers.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Interested parties may directly communicate with the presiding director of the audit committee or with the non-management directors of the audit committee as a group by directing all inquiries to our ethics hotline at (800) 737-1213.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has confirmed that: (1) the audit committee reviewed and discussed our audited financial statements for the year ended December 31, 2023 with management; (2) the audit committee has discussed with our independent auditors the matters required to be discussed by the applicable requirements of the Public Company Accounting Oversight Board (“PCAOB”) and the SEC; (3) the audit committee has received the written disclosures and the letter from the independent accountants required by the applicable requirements of the PCAOB regarding the independent accountant’s communication with the audit committee concerning independence, and has discussed with the independent accountant the independent accountant’s independence; and (4) based on the review and discussions referred to in clauses (1), (2) and (3) above, the audit committee recommended to the board of directors that our audited financial statements for the year ended December 31, 2023 be included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is provided by the following independent directors, who constitute the audit committee: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Stephen A. Mongillo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Alvin B. Krongard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Nancy Dunlap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Code of Ethics and Business Conduct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GP’s board of directors has adopted a Code of Ethics and Business Conduct applicable to all directors, officers and employees, including our principal executive officer, principal financial officer and principal accounting officer. A copy of the Code of Ethics and Business Conduct is available on our website at </w:t>
      </w:r>
      <w:r>
        <w:rPr>
          <w:rFonts w:ascii="Times New Roman;Times;serif" w:hAnsi="Times New Roman;Times;serif"/>
          <w:i/>
          <w:sz w:val="20"/>
        </w:rPr>
        <w:t>www.ielp.com/corporate-governance</w:t>
      </w:r>
      <w:r>
        <w:rPr>
          <w:rFonts w:ascii="Times New Roman;Times;serif" w:hAnsi="Times New Roman;Times;serif"/>
          <w:sz w:val="20"/>
        </w:rPr>
        <w:t xml:space="preserve"> and may be obtained without charge by writing to Icahn Enterprises L.P., 16690 Collins Avenue, PH-1, Sunny Isles Beach, FL 33160, Attention: Investor Relations. Any amendment or waiver of the provisions of our Code of Ethics will be posted on our website.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Nasdaq Corporate Governance Compliance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Rule 5615(a)(4)(J) of the Nasdaq corporate governance requirements, in the event that an executive officer of Icahn Enterprises’, or a person performing an equivalent role, becomes aware of any noncompliance with Nasdaq’s corporate governance requirements, he or she is required to provide prompt notice to Nasdaq of such noncompliance. As of February 28, 2024, we believe that we are compliant with Nasdaq’s corporate governance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Leadership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leadership structure includes the positions of Chairman of the Board (“Chairman”) and Chief Executive Officer. Mr. Icahn serves as our Chairman and Mr. Teno serves as our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of Directors Role in Risk Oversight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board of directors met 13 times during 2023, including four regularly scheduled meetings and nine special meetings. All of the directors who served during all of 2023 attended at least 75% of the total meetings of the board of directors and each of its committees on which such director served. </w:t>
      </w:r>
    </w:p>
    <w:p>
      <w:pPr>
        <w:pStyle w:val="TextBody"/>
        <w:bidi w:val="0"/>
        <w:spacing w:before="0" w:after="240"/>
        <w:ind w:left="0" w:right="0" w:hanging="0"/>
        <w:jc w:val="left"/>
        <w:rPr>
          <w:rFonts w:ascii="Times New Roman;Times;serif" w:hAnsi="Times New Roman;Times;serif"/>
          <w:b/>
          <w:sz w:val="20"/>
        </w:rPr>
      </w:pPr>
      <w:bookmarkStart w:id="2463" w:name="Item11ExecutiveCompensation_557069"/>
      <w:bookmarkStart w:id="2464" w:name="_6a7938b9_1cb2_4872_b32a_2000654ff37a"/>
      <w:bookmarkEnd w:id="2463"/>
      <w:bookmarkEnd w:id="2464"/>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Structure and Reporting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is a master limited partnership (“MLP”) and is not subject to the proxy solicitation rules as required by Section 14A of the Exchange Act or §240.14a-20 in connection with this Annual Report on Form 10-K.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2023, whom we refer to as our named executive officers:</w:t>
      </w:r>
    </w:p>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C. Icahn, Chairman of the Board</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Willetts, Former President and Chief Executive Officer</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Papapostolou, Chief Financial Officer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Effective as of February 21, 2024, Mr. Willetts left his role as President and Chief Executive Officer of Icahn Enterprises and was succeeded by Andrew Teno.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serves as Chairman of the Board of Icahn Enterprises GP, Chairman of the Board and Chief Executive Officer of Icahn Capital LP and Chief Executive Officer of the 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below is intended to help you understand the detailed information provided in the table and put that information into context within our overall compensation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Compensation Program</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2023 consisted of salary, bonuses and deferred unit awards. See “Additional Information Regarding Executive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 Summary Compensation Table” for the compensation received by each of our named executive officers for 2023. Executive compensation levels are established based upon the recommendation of our Chairman, which are discussed with members of the Board. The Board does not delegate the authority to establish executive officer compensation to any other person and has not retained any compensation consultants to determine or recommend the amount or form of executive and director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Philosophy and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primary components of our executive compensation program are base salary and annual bonus, payable in cash, and deferred unit awards.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 Deferred unit awards are also provided to motivate future performance and retain highly qualified key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Determination of Appropriate Pay Levels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job performance, including performance against corporate and individual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job responsibilities, including unique skills necessary to support our long-term performance, including that of our subsidiaries;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teamwork, both contributions as a member of the executive management team and fostering an environment of personal and professional growth for the entire work force.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Allocation of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Components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Base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 salaries for executive officers are determined based on job performance, job responsibilities and teamwork.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serves as Chairman of the Board of Icahn Enterprises GP, Chairman of the Board and Chief Executive Officer of Icahn Capital LP and Chief Executive Officer of the Investment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2023, the base salaries for our named executive officers were as follows: Mr. Icahn: $1; Mr. Willetts: $1,000,000; and Mr. Papapostolou: $850,000. Mr. Papapostolou’s base salary was increased to its current level effective as of May 9, 2023 from its prior level of $550,000 as a result of our review of base salaries in the marketplace, including in the finance industry, and in recognition of Mr. Papapostolou’s ongoing contributions to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“Additional Information Regarding Executive Compensation - Summary Compensation Table” for detailed information on the compensation received by each of our named executive officers for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Bonus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in the finance industries generally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Deferred Unit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awards granted during 2023 for our named executive officers. Deferred unit awards are granted to key employees in order to align the interests of executives with our unitholders, provide competitive financial incentives and to promote continuity of management. Mr. Willetts and Mr. Papapostolou each received deferred unit awards in December 2021; please see below under “Additional Information Regarding Executive Compensation - Outstanding Equity Awards at Fiscal Year End 2023” for further information.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401(k) Plan and Other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2023, Messrs. Willetts and Papapostolou were our only named executive officers participating in our qualified Icahn Enterprises Holdings 401(k) Plan (the “401(k) Plan”), and thus received matching contributions for 2023. The matching contributions for each applicable named executive officer in 2023 are disclosed in our Summary Compensation Table under “All Other Compensation” and in the related footnote.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named executive officers are eligible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CEO Pay Ratio</w:t>
      </w:r>
    </w:p>
    <w:p>
      <w:pPr>
        <w:pStyle w:val="TextBody"/>
        <w:bidi w:val="0"/>
        <w:spacing w:before="0" w:after="240"/>
        <w:ind w:left="0" w:right="0" w:firstLine="360"/>
        <w:jc w:val="left"/>
        <w:rPr>
          <w:rFonts w:ascii="Times New Roman;Times;serif" w:hAnsi="Times New Roman;Times;serif"/>
          <w:sz w:val="20"/>
        </w:rPr>
      </w:pPr>
      <w:bookmarkStart w:id="2465" w:name="a5._Changes_in_Accumulated_Other_Compreh"/>
      <w:bookmarkEnd w:id="2465"/>
      <w:r>
        <w:rPr>
          <w:rFonts w:ascii="Times New Roman;Times;serif" w:hAnsi="Times New Roman;Times;serif"/>
          <w:sz w:val="20"/>
        </w:rPr>
        <w:t xml:space="preserve">Our Chief Executive Officer to median employee pay ratio (“CEO Pay Ratio”) is calculated in accordance with Regulation S-K. To determine our Chief Executive Officer pay ratio and our median employee, we utilized data as of December 31, 2023 (the “Determination Date”). As of the Determination Date, we and our consolidated subsidiaries employed approximately 15,000 full-time, part-time temporary and seasonal employees, of which approximately 20% were employed internationally. From this population of employees, as permitted by Regulation S-K, we excluded 203 employees located in Germany and 20 employees located in Italy. </w:t>
      </w:r>
    </w:p>
    <w:p>
      <w:pPr>
        <w:pStyle w:val="TextBody"/>
        <w:bidi w:val="0"/>
        <w:spacing w:before="0" w:after="0"/>
        <w:ind w:left="0" w:right="0" w:firstLine="360"/>
        <w:jc w:val="left"/>
        <w:rPr>
          <w:rFonts w:ascii="Times New Roman;Times;serif" w:hAnsi="Times New Roman;Times;serif"/>
          <w:sz w:val="20"/>
        </w:rPr>
      </w:pPr>
      <w:bookmarkStart w:id="2466" w:name="a._Property_Plant_and_Equipment_Net"/>
      <w:bookmarkEnd w:id="2466"/>
      <w:r>
        <w:rPr>
          <w:rFonts w:ascii="Times New Roman;Times;serif" w:hAnsi="Times New Roman;Times;serif"/>
          <w:sz w:val="20"/>
        </w:rPr>
        <w:t xml:space="preserve">We identified the median employee by examining the 2023 total cash compensation (inclusive of any bonuses) for all individuals, excluding our Chief Executive Officer, who were employed by us on the Determination Date. We believe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After identifying the median employee based on total cash compensation, we calculated the total annual compensation for such employee using the same methodology we use for our named executive officers as set forth in the Summary Compensation Table below.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Chief Executive Officer’s total annual compensation for 2023 was $2,555,328. The median employee’s total annual compensation for 2022 was $38,141. The ratio of our Chief Executive Officer’s total annual compensation to our median employee’s total annual compensation for 2023 was 67:1.</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2024 Management Changes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Appointment of Andrew J. Teno as President and Chief Executive Officer</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previously disclosed, on February 21, 2024, Andrew J. Teno was appointed as our President and Chief Executive Officer, succeeding Mr. Willetts. We entered into an employment agreement with Mr. Teno in connection with his appointment (the “Teno Employment Agreement”). The Teno Employment Agreement will remain in effect through March 31, 2028, unless earlier terminated.  During the term of the Teno Employment Agreement, Mr. Teno will be entitled to participate in all benefit programs and plans generally made available to our other executives. Effective as of January 1, 2024 and continuing during the term of the Teno Employment Agreement, Mr. Teno will be eligible to receive payments equal to an annualized amount of $2,600,000 (except that, for the period from January 1, 2024 through February 19, 2024, the payments will be based on an annualized amount of $1,500,000), payable in accordance with our general payroll practices, that are in the form of a salary “draw” against the NAV Incentive (as defined below).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Mr. Teno will be eligible to receive a payment (generally subject to Mr. Teno’s continued employment through the payment date, except as described below) equal to 1.375% of the increase in our Adjusted NAV (as defined in the Teno Employment Agreement) over the period from February 21, 2024 through March 31, 2028, that is in excess of a 6.75% annual rate of return on the Adjusted NAV as of the beginning of such period (which shall be based on Adjusted NAV as of December 31, 2023), as calculated pursuant to the terms of the Teno Employment Agreement (the “NAV Incentive”), and generally payable within 15 days after we first publish our indicative net asset value (“NAV”) following the end of such period (but no later than March 15, 2029). The final amount of the NAV Incentive is capped at $50,000,000, and will be reduced by the value of the salary “draw” paid to Mr. Teno, as well as the value of any cash and equity compensation actually received by Mr. Teno for service on boards of directors during the term of the arrangement, as determined by us. The NAV Incentive may be paid in cash or, in our discretion, in shares of common stock owned by certain of our affiliated funds vehicles. However, if Mr. Teno’s employment is terminated by us without “Cause” (including due to Mr. Teno’s death or disability) or by Mr. Teno with “Good Reason” (each as defined in the Teno Employment Agreement), Mr. Teno will be eligible to receive (subject to Mr. Teno’s timely execution and non-revocation of a release of claims) payment of the NAV Incentive, paid within 15 days following the date that we first publish NAV following such termination but no later than March 15 of the calendar year following the year of termination, and with Adjusted NAV calculated based on that published NAV. If, however, that termination occurs within 60 days prior to or 6 months following a “Key Man Event” (as defined in the manager agreement with Brett Icahn, as further described in “Related Party Transactions—Other Related Party Agreements”), this amount will be no less than $2,600,000.</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his compensation from us, Mr. Teno will be entitled to retain any remuneration in respect of any board of directors (or similar governing body) on which Mr. Teno sits at our (or our affiliate’s) request, unless we (or our affiliates) own voting securities that constitute at least 40% of the vote for directors of such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Teno Employment Agreement also contains customary confidentiality, cooperation and non-disparagement covenants, as well as non-solicitation and non-competition provisions.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Willetts Letter Agreement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Also on February 21, 2024, Mr. Willetts entered into a letter agreement (the “Amended Letter Agreement”) with The Pep Boys – Manny, Moe &amp; Jack LLC (“Pep Boys”) and Pep Boys – Manny, Moe &amp; Jack of Puerto Rico, Inc. (“Pep Boys Puerto Rico”), each a wholly owned subsidiary of Icahn Enterprises in our Automotive segment, appointing Mr. Willetts as the President and Chief Executive Officer of Pep Boys and Pep Boys Puerto Rico as of February 21, 2024. The Amended Letter Agreement superseded Mr. Willetts’ prior offer letter with us. Mr. Willetts’ initial base salary and target annual bonus under the Amended Letter Agreement are consistent with their levels of $1,000,000 and $1,550,000, respectively, as in effect immediately prior to the date of the Amended Letter Agreement. In addition, under the Amended Letter Agreement and in connection with Mr. Willetts’ move to Bala Cynwyd, Pennsylvania, Mr. Willetts will receive a one-time relocation bonus of $50,000 (less applicable withholding taxes) within 30 days following his commencement of employment with Pep Boys (and subject to repayment by Mr. Willetts if he resigns or is terminated for “Cause” (as defined in the Amended Letter Agreement), in each case prior to December 31, 2024). During his employment with Pep Boys, Mr. Willetts will be eligible to participate in the employee benefits made to available to employees of Pep Boys in accordance with the terms of the applicable benefit plans. Mr. Willetts’ deferred units previously granted by Icahn Enterprises on December 9, 2021 (the “Deferred Units”) will remain outstanding and eligible to vest in accordance with their terms.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if Mr. Willetts’ employment is terminated by Pep Boys without “Cause” (as defined in the Amended Letter Agreement), Mr. Willetts will be entitled to (subject to Mr. Willetts’ timely execution and non-revocation of a release of claims) (i) a pro-rata portion of the target bonus amount for the calendar year in which such termination occurs, (ii) any earned and unpaid target bonus for the calendar year preceding the year in which the termination occurs, and (iii) pro-rata vesting of the Deferred Units, pursuant to the terms of the Deferred Unit agreement.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his compensation from Pep Boys, Mr. Willetts will be entitled to retain any remuneration in respect of any board of directors (or similar governing body) on which Mr. Willetts sits at our (or our affiliate’s) request, unless we (or our affiliates) own voting securities that constitute at least 40% of the vote for directors of such company.</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Letter Agreement also contains customary confidentiality, cooperation and non-disparagement covenants, as well as 1-year post-termination non-solicitation and non-competition provisions.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is provided by the board of directors:</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Carl C. Icahn</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Andrew Teno</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Ted Papapostolou</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Brett Icahn</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Michael Nevin</w:t>
      </w:r>
    </w:p>
    <w:p>
      <w:pPr>
        <w:pStyle w:val="TextBody"/>
        <w:bidi w:val="0"/>
        <w:spacing w:before="0" w:after="240"/>
        <w:ind w:left="850" w:right="0" w:hanging="0"/>
        <w:jc w:val="left"/>
        <w:rPr>
          <w:rFonts w:ascii="Times New Roman;Times;serif" w:hAnsi="Times New Roman;Times;serif"/>
          <w:sz w:val="20"/>
        </w:rPr>
      </w:pPr>
      <w:r>
        <w:rPr>
          <w:rFonts w:ascii="Times New Roman;Times;serif" w:hAnsi="Times New Roman;Times;serif"/>
          <w:sz w:val="20"/>
        </w:rPr>
        <w:t>Stephen A. Mongillo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Alvin B. Krongard</w:t>
      </w:r>
    </w:p>
    <w:p>
      <w:pPr>
        <w:pStyle w:val="TextBody"/>
        <w:bidi w:val="0"/>
        <w:spacing w:before="0" w:after="240"/>
        <w:ind w:left="850" w:right="0" w:hanging="0"/>
        <w:jc w:val="left"/>
        <w:rPr>
          <w:rFonts w:ascii="Times New Roman;Times;serif" w:hAnsi="Times New Roman;Times;serif"/>
          <w:sz w:val="20"/>
        </w:rPr>
      </w:pPr>
      <w:r>
        <w:rPr>
          <w:rFonts w:ascii="Times New Roman;Times;serif" w:hAnsi="Times New Roman;Times;serif"/>
          <w:sz w:val="20"/>
        </w:rPr>
        <w:t>Nancy Dunlap</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Denise Barton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2023, our entire board of directors, including Mr. Icahn, participated in deliberations concerning executive compensation. During 2023, none of our executive officers served on the compensation committee (or equivalent), or the board of directors of another entity whose executive officer(s) served on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Clawback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2, 2023, the Board adopted a compensation recovery policy (the “Clawback Policy”) consistent with Nasdaq Listing Rule 5608, which requires the Company to recoup incentive-based compensation from current and former executive officers in the event of an accounting restatement, subject to certain exceptions as provided by the Listing Rule. A copy of the Clawback Policy is attached to this Annual Report on Form 10-K as exhibit 97.1.</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Regarding Executive Compensation</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in respect of the compensation earned for services to us and/or our subsidiaries by each of our named executive officers for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tbl>
      <w:tblPr>
        <w:tblW w:w="10205" w:type="dxa"/>
        <w:jc w:val="left"/>
        <w:tblInd w:w="0" w:type="dxa"/>
        <w:tblLayout w:type="fixed"/>
        <w:tblCellMar>
          <w:top w:w="0" w:type="dxa"/>
          <w:left w:w="0" w:type="dxa"/>
          <w:bottom w:w="0" w:type="dxa"/>
          <w:right w:w="0" w:type="dxa"/>
        </w:tblCellMar>
      </w:tblPr>
      <w:tblGrid>
        <w:gridCol w:w="2633"/>
        <w:gridCol w:w="326"/>
        <w:gridCol w:w="526"/>
        <w:gridCol w:w="326"/>
        <w:gridCol w:w="931"/>
        <w:gridCol w:w="326"/>
        <w:gridCol w:w="931"/>
        <w:gridCol w:w="326"/>
        <w:gridCol w:w="931"/>
        <w:gridCol w:w="326"/>
        <w:gridCol w:w="1321"/>
        <w:gridCol w:w="326"/>
        <w:gridCol w:w="976"/>
      </w:tblGrid>
      <w:tr>
        <w:trPr/>
        <w:tc>
          <w:tcPr>
            <w:tcW w:w="2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1671955" cy="175260"/>
                      <wp:effectExtent l="0" t="0" r="0" b="0"/>
                      <wp:wrapNone/>
                      <wp:docPr id="777" name="Frame777"/>
                      <a:graphic xmlns:a="http://schemas.openxmlformats.org/drawingml/2006/main">
                        <a:graphicData uri="http://schemas.microsoft.com/office/word/2010/wordprocessingShape">
                          <wps:wsp>
                            <wps:cNvSpPr txBox="1"/>
                            <wps:spPr>
                              <a:xfrm>
                                <a:off x="0" y="0"/>
                                <a:ext cx="167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07010" cy="175260"/>
                      <wp:effectExtent l="0" t="0" r="0" b="0"/>
                      <wp:wrapNone/>
                      <wp:docPr id="778" name="Frame7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334010" cy="175260"/>
                      <wp:effectExtent l="0" t="0" r="0" b="0"/>
                      <wp:wrapNone/>
                      <wp:docPr id="779" name="Frame77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07010" cy="175260"/>
                      <wp:effectExtent l="0" t="0" r="0" b="0"/>
                      <wp:wrapNone/>
                      <wp:docPr id="780" name="Frame7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591185" cy="175260"/>
                      <wp:effectExtent l="0" t="0" r="0" b="0"/>
                      <wp:wrapNone/>
                      <wp:docPr id="781" name="Frame7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07010" cy="175260"/>
                      <wp:effectExtent l="0" t="0" r="0" b="0"/>
                      <wp:wrapNone/>
                      <wp:docPr id="782" name="Frame7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591185" cy="175260"/>
                      <wp:effectExtent l="0" t="0" r="0" b="0"/>
                      <wp:wrapNone/>
                      <wp:docPr id="783" name="Frame7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07010" cy="175260"/>
                      <wp:effectExtent l="0" t="0" r="0" b="0"/>
                      <wp:wrapNone/>
                      <wp:docPr id="784" name="Frame7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591185" cy="175260"/>
                      <wp:effectExtent l="0" t="0" r="0" b="0"/>
                      <wp:wrapNone/>
                      <wp:docPr id="785" name="Frame7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07010" cy="175260"/>
                      <wp:effectExtent l="0" t="0" r="0" b="0"/>
                      <wp:wrapNone/>
                      <wp:docPr id="786" name="Frame7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838835" cy="175260"/>
                      <wp:effectExtent l="0" t="0" r="0" b="0"/>
                      <wp:wrapNone/>
                      <wp:docPr id="787" name="Frame78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07010" cy="175260"/>
                      <wp:effectExtent l="0" t="0" r="0" b="0"/>
                      <wp:wrapNone/>
                      <wp:docPr id="788" name="Frame7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619760" cy="175260"/>
                      <wp:effectExtent l="0" t="0" r="0" b="0"/>
                      <wp:wrapNone/>
                      <wp:docPr id="789" name="Frame78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46" w:type="dxa"/>
            <w:gridSpan w:val="11"/>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Annual Compensation</w:t>
            </w:r>
            <w:r>
              <w:rPr>
                <w:rFonts w:ascii="Times New Roman;Times;serif" w:hAnsi="Times New Roman;Times;serif"/>
                <w:b/>
                <w:sz w:val="15"/>
              </w:rPr>
              <w:t>(1)</w:t>
            </w:r>
          </w:p>
        </w:tc>
      </w:tr>
      <w:tr>
        <w:trPr/>
        <w:tc>
          <w:tcPr>
            <w:tcW w:w="26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Unit</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All Other</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center"/>
              <w:rPr/>
            </w:pPr>
            <w:r>
              <w:rPr/>
              <w:t>​</w:t>
            </w:r>
          </w:p>
        </w:tc>
      </w:tr>
      <w:tr>
        <w:trPr/>
        <w:tc>
          <w:tcPr>
            <w:tcW w:w="2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Salary</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Bonus</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Awards</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63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 and Principal Position</w:t>
            </w:r>
          </w:p>
        </w:tc>
        <w:tc>
          <w:tcPr>
            <w:tcW w:w="326"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263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Carl C. Icahn</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26,921</w:t>
            </w:r>
          </w:p>
        </w:tc>
      </w:tr>
      <w:tr>
        <w:trPr/>
        <w:tc>
          <w:tcPr>
            <w:tcW w:w="2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15,543</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15,544</w:t>
            </w:r>
          </w:p>
        </w:tc>
      </w:tr>
      <w:tr>
        <w:trPr/>
        <w:tc>
          <w:tcPr>
            <w:tcW w:w="263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14,636</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14,637</w:t>
            </w:r>
          </w:p>
        </w:tc>
      </w:tr>
      <w:tr>
        <w:trPr/>
        <w:tc>
          <w:tcPr>
            <w:tcW w:w="2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263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David Willetts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1,550,000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5,328</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2,555,328</w:t>
            </w:r>
          </w:p>
        </w:tc>
      </w:tr>
      <w:tr>
        <w:trPr/>
        <w:tc>
          <w:tcPr>
            <w:tcW w:w="2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Former President and Chief Executive Officer</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1,550,000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2,552,942</w:t>
            </w:r>
          </w:p>
        </w:tc>
      </w:tr>
      <w:tr>
        <w:trPr/>
        <w:tc>
          <w:tcPr>
            <w:tcW w:w="263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428,654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887,535</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3,750,000</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5,067,930</w:t>
            </w:r>
          </w:p>
        </w:tc>
      </w:tr>
      <w:tr>
        <w:trPr/>
        <w:tc>
          <w:tcPr>
            <w:tcW w:w="2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263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790,691</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14,953</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1,205,644</w:t>
            </w:r>
          </w:p>
        </w:tc>
      </w:tr>
      <w:tr>
        <w:trPr/>
        <w:tc>
          <w:tcPr>
            <w:tcW w:w="2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550,000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10,765</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660,765</w:t>
            </w:r>
          </w:p>
        </w:tc>
      </w:tr>
      <w:tr>
        <w:trPr/>
        <w:tc>
          <w:tcPr>
            <w:tcW w:w="263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1,650,000</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11,251</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2,032,251</w:t>
            </w:r>
          </w:p>
        </w:tc>
      </w:tr>
      <w:tr>
        <w:trPr/>
        <w:tc>
          <w:tcPr>
            <w:tcW w:w="2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indicated above represents compensation paid to Mr. Icahn in each of 2023, 2022 and 2021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 Mr. Icahn’s all other compensation for 2023 consists of $26,920 in dental, medical and other benefits.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2023, Mr. Willetts received a salary of $1,000,000 and a bonus of $1,550,000, which was determined based on various factors, including, but not limited, to overall job performance, including performance against corporate and individual objectives, job responsibilities and teamwork. Mr. Willetts’ all other compensation for 2023 consists of $4,248 for medical and dental benefits and $1,080 for life insurance premiums.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2023, Mr. Papapostolou received a salary of $790,691 and a bonus of $400,000, which was determined based on various factors, including, but not limited to, overall job performance, including performance against corporate and individual objectives, job responsibilities and teamwork. Mr. Papapostolou’s all other compensation for 2023 consists of $10,313 in matching contributions under our 401(k) Plan, $3,656 for medical and dental benefits and $984 for life insurance premiums.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our executive officers may perform services for affiliates of Mr. Icahn for which we receive reimbursement. See Item 13, “Certain Relationships and Related Transactions, and Director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Brett Icahn is the son of Carl C. Icahn, the Chairman of the Board of Icahn Enterprises. Mr. Nevin is married to the daughter of Carl C. Icahn. There are no other family relationships between or among any of our directors and/or executive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 Based Awards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There were no awards granted during 2023 for any of our named executive officers under the 2017 Incentive Plan.</w:t>
      </w:r>
    </w:p>
    <w:p>
      <w:pPr>
        <w:pStyle w:val="TextBody"/>
        <w:bidi w:val="0"/>
        <w:spacing w:before="0" w:after="240"/>
        <w:ind w:left="0" w:right="0" w:firstLine="36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Outstanding Equity Awards at Fiscal Year End 2023</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sets forth information in respect of outstanding equity awards held by each of our named executive officers as of December 31, 2023 under the 2017 Incentive Plan. All awards below are cash-settled deferred unit awards that cliff vest three years from the date of grant. The market value of the awards shown is based on the closing price of our depositary units on December 29, 2023, the last trading day in fiscal 2023, of $17.19. </w:t>
      </w:r>
    </w:p>
    <w:p>
      <w:pPr>
        <w:pStyle w:val="TextBody"/>
        <w:bidi w:val="0"/>
        <w:spacing w:before="0" w:after="240"/>
        <w:ind w:left="0" w:right="0" w:firstLine="360"/>
        <w:jc w:val="left"/>
        <w:rPr/>
      </w:pPr>
      <w:r>
        <w:rPr/>
        <w:t>​</w:t>
      </w:r>
    </w:p>
    <w:tbl>
      <w:tblPr>
        <w:tblW w:w="5647" w:type="dxa"/>
        <w:jc w:val="left"/>
        <w:tblInd w:w="0" w:type="dxa"/>
        <w:tblLayout w:type="fixed"/>
        <w:tblCellMar>
          <w:top w:w="0" w:type="dxa"/>
          <w:left w:w="0" w:type="dxa"/>
          <w:bottom w:w="0" w:type="dxa"/>
          <w:right w:w="0" w:type="dxa"/>
        </w:tblCellMar>
      </w:tblPr>
      <w:tblGrid>
        <w:gridCol w:w="1591"/>
        <w:gridCol w:w="326"/>
        <w:gridCol w:w="961"/>
        <w:gridCol w:w="326"/>
        <w:gridCol w:w="796"/>
        <w:gridCol w:w="326"/>
        <w:gridCol w:w="132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010285" cy="175260"/>
                      <wp:effectExtent l="0" t="0" r="0" b="0"/>
                      <wp:wrapNone/>
                      <wp:docPr id="790" name="Frame79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07010" cy="175260"/>
                      <wp:effectExtent l="0" t="0" r="0" b="0"/>
                      <wp:wrapNone/>
                      <wp:docPr id="791" name="Frame7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610235" cy="175260"/>
                      <wp:effectExtent l="0" t="0" r="0" b="0"/>
                      <wp:wrapNone/>
                      <wp:docPr id="792" name="Frame79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07010" cy="175260"/>
                      <wp:effectExtent l="0" t="0" r="0" b="0"/>
                      <wp:wrapNone/>
                      <wp:docPr id="793" name="Frame7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505460" cy="175260"/>
                      <wp:effectExtent l="0" t="0" r="0" b="0"/>
                      <wp:wrapNone/>
                      <wp:docPr id="794" name="Frame7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07010" cy="175260"/>
                      <wp:effectExtent l="0" t="0" r="0" b="0"/>
                      <wp:wrapNone/>
                      <wp:docPr id="795" name="Frame7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838835" cy="175260"/>
                      <wp:effectExtent l="0" t="0" r="0" b="0"/>
                      <wp:wrapNone/>
                      <wp:docPr id="796" name="Frame79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 Awards That Have Not Vested</w:t>
            </w:r>
          </w:p>
        </w:tc>
      </w:tr>
      <w:tr>
        <w:trPr/>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Units</w:t>
            </w:r>
          </w:p>
        </w:tc>
      </w:tr>
      <w:tr>
        <w:trPr/>
        <w:tc>
          <w:tcPr>
            <w:tcW w:w="15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Units</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Willetts</w:t>
            </w:r>
          </w:p>
        </w:tc>
        <w:tc>
          <w:tcPr>
            <w:tcW w:w="3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12/9/2021</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69,498</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1,194,671</w:t>
            </w:r>
          </w:p>
        </w:tc>
      </w:tr>
      <w:tr>
        <w:trPr/>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12/9/2021</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30,579</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525,653</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There were no awards that vested during 2023 for our named executive officers. </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December 9, 2021, Icahn Enterprises entered into an offer letter with David Willetts. Pursuant to the letter agreement with Mr. Willetts, during his term of employment with us, Mr. Willetts was paid a base salary at the rate of $1,000,000 per annum. Mr. Willetts was also eligible to receive an annual discretionary cash bonus with a target amount of $1,550,000. Mr. Willetts also received a grant as of December 9, 2021 of 69,498 deferred depositary units of Icahn Enterprises under the Icahn Enterprises 2017 Long-Term Incentive Plan (“LTIP”), determined by dividing $3,750,000 by the 180-day VWAP of depositary units ending on the trading day immediately prior to the grant date. The deferred depositary units cliff vest and cease to be deferred units on December 9, 2024 (subject to the other terms and conditions set forth in the LTIP and award agreement entered into in connection with the grant of deferred depositary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if Mr. Willetts’ employment was terminated by Icahn Enterprises without “cause” (as defined in the offer letter) at any time or in the event of his death or disability, he (or his estate in the event of death) would have been entitled to a pro-rata cash bonus of the target bonus amount for the calendar year of the termination and a pro-rata portion of the grant of the deferred depositary units would have become immediately vested and the remaining portion of the grant would have been forfeited.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However, as further described above under “Fiscal 2024 Management Changes—Willetts Letter Agreement,” on February 21, 2024, Mr. Willetts was succeeded by Andrew J. Teno as our President and Chief Executive Officer, and Mr. Willetts entered into an amended offer letter with one of our wholly owned subsidiaries which superseded the terms of the above offer letter.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December 9, 2021, Icahn Enterprises entered into an offer letter with Ted Papapostolou. Pursuant to the letter agreement with Mr. Papapostolou, Mr. Papapostolou was initially paid a base salary at the rate of $550,000 per annum. On May 9, 2023, the Board of Directors of the general partner of Icahn Enterprises approved an increase in base salary from a rate of $550,000 per annum to $850,000 per annum for Mr. Papapostolou, effective as of May 9, 2023. Mr. Papapostolou is eligible to receive an annual discretionary cash bonus with a target amount of $400,000 as a result of our review of target bonuses in the marketplace, including in the finance industry, and in recognition of Mr. Papapostolou’s ongoing contributions to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Papapostolou also received a grant of 30,579 deferred depositary units of Icahn Enterprises as of December 9, 2021 under the LTIP, determined by dividing $1,650,000 by the 180-day VWAP of depositary units ending on the trading day immediately prior to the grant date. The deferred depositary units will cliff vest and cease to be deferred units on December 9, 2024 (subject to the other terms and conditions set forth in the LTIP and award agreement entered into in connection with the grant of deferred depositary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in the event that Mr. Papapostolou’s employment is terminated by Icahn Enterprises without “cause” (as defined in the offer letter) at any time or in the event of his death or disability, he (or his estate in the case of death) will be entitled to a pro-rata cash bonus of the target bonus amount for the calendar year of the termination and a pro-rata portion of the grant of the deferred depositary units will become immediately vested and the remaining portion of the grant will be forfeited.</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We did not have any employment agreements or other arrangements pursuant to which any of our named executive officers would have received potential payments upon a termination or change in control as of December 31, 2023 except for that disclosed above.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Neither of Messrs. Willetts or Papapostolou have employment agreements. However, Messrs. Willetts and Papapostolou are eligible for certain payments in the event of involuntary termination (other than for cause, as defined in their offer letters with us), which generally provide for a pro-rated cash bonus and an acceleration of unvested deferred unit awards (also pro-rated) at the time of termination.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Messrs. Willetts and Papapostolou would have potential payouts of unvested deferred unit awards with a market value of approximately $820,450 and $360,996 respectively (based on the closing price of our depositary units on December 29, 2023, the last trading day in fiscal 2023, of $17.19), in addition to pro-rata payouts of their target bonus amounts (estimated at $1,550,000 and $100,000, respectively) if they were involuntarily terminated on December 31, 2023 and otherwise eligible for payment. However, as further described above under “ Fiscal 2024 Management Changes—Willetts Letter Agreement,” on February 21, 2024, Mr. Willetts was succeeded by Andrew J. Teno as our President and Chief Executive Officer, and Mr. Willetts entered into an amended offer letter with one of our wholly owned subsidiaries which superseded the terms of the above severance arrangements in Mr. Willetts’ former offer letter with us. </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provides compensation information for our directors in 2023, except for Messrs. Icahn, Willetts and Papapostolou (compensation information for whom is included in the Summary Compensation Table). Messrs. Icahn, Willetts and Papapostolou did not receive additional compensation for serving on our Board.</w:t>
      </w:r>
    </w:p>
    <w:tbl>
      <w:tblPr>
        <w:tblW w:w="6352" w:type="dxa"/>
        <w:jc w:val="left"/>
        <w:tblInd w:w="0" w:type="dxa"/>
        <w:tblLayout w:type="fixed"/>
        <w:tblCellMar>
          <w:top w:w="0" w:type="dxa"/>
          <w:left w:w="0" w:type="dxa"/>
          <w:bottom w:w="0" w:type="dxa"/>
          <w:right w:w="0" w:type="dxa"/>
        </w:tblCellMar>
      </w:tblPr>
      <w:tblGrid>
        <w:gridCol w:w="1831"/>
        <w:gridCol w:w="326"/>
        <w:gridCol w:w="1441"/>
        <w:gridCol w:w="326"/>
        <w:gridCol w:w="1321"/>
        <w:gridCol w:w="326"/>
        <w:gridCol w:w="78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162685" cy="175260"/>
                      <wp:effectExtent l="0" t="0" r="0" b="0"/>
                      <wp:wrapNone/>
                      <wp:docPr id="797" name="Frame79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207010" cy="175260"/>
                      <wp:effectExtent l="0" t="0" r="0" b="0"/>
                      <wp:wrapNone/>
                      <wp:docPr id="798" name="Frame7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915035" cy="175260"/>
                      <wp:effectExtent l="0" t="0" r="0" b="0"/>
                      <wp:wrapNone/>
                      <wp:docPr id="799" name="Frame79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207010" cy="175260"/>
                      <wp:effectExtent l="0" t="0" r="0" b="0"/>
                      <wp:wrapNone/>
                      <wp:docPr id="800" name="Frame8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838835" cy="175260"/>
                      <wp:effectExtent l="0" t="0" r="0" b="0"/>
                      <wp:wrapNone/>
                      <wp:docPr id="801" name="Frame80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07010" cy="175260"/>
                      <wp:effectExtent l="0" t="0" r="0" b="0"/>
                      <wp:wrapNone/>
                      <wp:docPr id="802" name="Frame8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495935" cy="175260"/>
                      <wp:effectExtent l="0" t="0" r="0" b="0"/>
                      <wp:wrapNone/>
                      <wp:docPr id="803" name="Frame8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Fees Earned or </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All Other</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r>
      <w:tr>
        <w:trPr/>
        <w:tc>
          <w:tcPr>
            <w:tcW w:w="1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 in Cash</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1"/>
              <w:ind w:left="0" w:right="0" w:hanging="0"/>
              <w:jc w:val="left"/>
              <w:rPr/>
            </w:pPr>
            <w:r>
              <w:rPr/>
              <w:t>​</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Brett Icahn</w:t>
            </w:r>
          </w:p>
        </w:tc>
        <w:tc>
          <w:tcPr>
            <w:tcW w:w="32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Nevin</w:t>
            </w:r>
          </w:p>
        </w:tc>
        <w:tc>
          <w:tcPr>
            <w:tcW w:w="32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Stephen A. Mongillo</w:t>
            </w:r>
          </w:p>
        </w:tc>
        <w:tc>
          <w:tcPr>
            <w:tcW w:w="32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Alvin B. Krongard</w:t>
            </w:r>
          </w:p>
        </w:tc>
        <w:tc>
          <w:tcPr>
            <w:tcW w:w="32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32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32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35,000</w:t>
            </w:r>
          </w:p>
        </w:tc>
      </w:tr>
    </w:tbl>
    <w:p>
      <w:pPr>
        <w:pStyle w:val="TextBody"/>
        <w:bidi w:val="0"/>
        <w:spacing w:before="0" w:after="24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During 2023, the fees earned or paid in cash for Messrs. Mongillo and Krongard and Mses. Barton and Dunlap, were in respect of their services rendered as members of our Board. With respect to Mr. Mongillo, the fees earned or paid in cash included $5,000 for serving as the chairman of the audit committee. Brett Icahn and Mr. Nevin did not receive compensation in respect of their services rendered as a member of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Directors receive only cash compensation, if applicable, and currently are not granted any options, units or other equity-based awards.</w:t>
      </w:r>
    </w:p>
    <w:p>
      <w:pPr>
        <w:pStyle w:val="TextBody"/>
        <w:bidi w:val="0"/>
        <w:spacing w:before="0" w:after="240"/>
        <w:ind w:left="0" w:right="0" w:hanging="0"/>
        <w:jc w:val="left"/>
        <w:rPr>
          <w:rFonts w:ascii="Times New Roman;Times;serif" w:hAnsi="Times New Roman;Times;serif"/>
          <w:b/>
          <w:sz w:val="20"/>
        </w:rPr>
      </w:pPr>
      <w:bookmarkStart w:id="2467" w:name="Item12SecurityOwnershipofCertainBenefici"/>
      <w:bookmarkStart w:id="2468" w:name="_f133c50a_a39a_4c84_a0b2_d4b09cf335b2"/>
      <w:bookmarkEnd w:id="2467"/>
      <w:bookmarkEnd w:id="2468"/>
      <w:r>
        <w:rPr>
          <w:rFonts w:ascii="Times New Roman;Times;serif" w:hAnsi="Times New Roman;Times;serif"/>
          <w:b/>
          <w:sz w:val="20"/>
        </w:rPr>
        <w:t>Item 12. Security Ownership of Certain Beneficial Owners and Management and Related Security Holder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February 28, 2024, Mr. Icahn and his affiliates owned 367,879,902 of Icahn Enterprises’ depositary units, or approximately 86%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Thus, since Mr. Icahn, through affiliates, holds approximately 86% of Icahn Enterprises’ outstanding depositary units as of February 28, 2024,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as of February 28, 2024, as to the beneficial ownership of the depositary units for each director and named executive officer of Icahn Enterprises GP and all directors and named executive officers of Icahn Enterprises GP, as a group. Except for Mr. Icahn, none of our named executive officers, directors or other unitholders beneficially own more than 5% of Icahn Enterprises’ depositary units.</w:t>
      </w:r>
    </w:p>
    <w:tbl>
      <w:tblPr>
        <w:tblW w:w="10021" w:type="dxa"/>
        <w:jc w:val="left"/>
        <w:tblInd w:w="0" w:type="dxa"/>
        <w:tblLayout w:type="fixed"/>
        <w:tblCellMar>
          <w:top w:w="0" w:type="dxa"/>
          <w:left w:w="0" w:type="dxa"/>
          <w:bottom w:w="0" w:type="dxa"/>
          <w:right w:w="0" w:type="dxa"/>
        </w:tblCellMar>
      </w:tblPr>
      <w:tblGrid>
        <w:gridCol w:w="5131"/>
        <w:gridCol w:w="326"/>
        <w:gridCol w:w="2131"/>
        <w:gridCol w:w="661"/>
        <w:gridCol w:w="1456"/>
        <w:gridCol w:w="31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3258185" cy="175260"/>
                      <wp:effectExtent l="0" t="0" r="0" b="0"/>
                      <wp:wrapNone/>
                      <wp:docPr id="804" name="Frame804"/>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207010" cy="175260"/>
                      <wp:effectExtent l="0" t="0" r="0" b="0"/>
                      <wp:wrapNone/>
                      <wp:docPr id="805" name="Frame8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1353185" cy="175260"/>
                      <wp:effectExtent l="0" t="0" r="0" b="0"/>
                      <wp:wrapNone/>
                      <wp:docPr id="806" name="Frame80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419735" cy="175260"/>
                      <wp:effectExtent l="0" t="0" r="0" b="0"/>
                      <wp:wrapNone/>
                      <wp:docPr id="807" name="Frame8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924560" cy="175260"/>
                      <wp:effectExtent l="0" t="0" r="0" b="0"/>
                      <wp:wrapNone/>
                      <wp:docPr id="808" name="Frame80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00660" cy="175260"/>
                      <wp:effectExtent l="0" t="0" r="0" b="0"/>
                      <wp:wrapNone/>
                      <wp:docPr id="809" name="Frame8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Beneficial Ownership of</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5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Icahn Enterprises’</w:t>
            </w:r>
          </w:p>
        </w:tc>
        <w:tc>
          <w:tcPr>
            <w:tcW w:w="66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51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 of Beneficial Owner</w:t>
            </w:r>
          </w:p>
        </w:tc>
        <w:tc>
          <w:tcPr>
            <w:tcW w:w="326" w:type="dxa"/>
            <w:tcBorders/>
            <w:vAlign w:val="center"/>
          </w:tcPr>
          <w:p>
            <w:pPr>
              <w:pStyle w:val="TableContents"/>
              <w:bidi w:val="0"/>
              <w:spacing w:before="0" w:after="1"/>
              <w:ind w:left="0" w:right="0" w:hanging="0"/>
              <w:jc w:val="left"/>
              <w:rPr/>
            </w:pPr>
            <w:r>
              <w:rPr/>
              <w:t>​</w:t>
            </w:r>
          </w:p>
        </w:tc>
        <w:tc>
          <w:tcPr>
            <w:tcW w:w="213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20"/>
              </w:rPr>
              <w:t>Depositary Units</w:t>
            </w:r>
          </w:p>
        </w:tc>
        <w:tc>
          <w:tcPr>
            <w:tcW w:w="661" w:type="dxa"/>
            <w:tcBorders/>
            <w:vAlign w:val="center"/>
          </w:tcPr>
          <w:p>
            <w:pPr>
              <w:pStyle w:val="TableContents"/>
              <w:bidi w:val="0"/>
              <w:spacing w:before="0" w:after="1"/>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Percent of Class</w:t>
            </w:r>
          </w:p>
        </w:tc>
        <w:tc>
          <w:tcPr>
            <w:tcW w:w="316" w:type="dxa"/>
            <w:tcBorders/>
            <w:vAlign w:val="center"/>
          </w:tcPr>
          <w:p>
            <w:pPr>
              <w:pStyle w:val="TableContents"/>
              <w:bidi w:val="0"/>
              <w:spacing w:before="0" w:after="1"/>
              <w:ind w:left="0" w:right="0" w:hanging="0"/>
              <w:jc w:val="center"/>
              <w:rPr/>
            </w:pPr>
            <w:r>
              <w:rPr/>
              <w:t> </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C. Icahn</w:t>
            </w:r>
          </w:p>
        </w:tc>
        <w:tc>
          <w:tcPr>
            <w:tcW w:w="32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367,879,902</w:t>
            </w:r>
          </w:p>
        </w:tc>
        <w:tc>
          <w:tcPr>
            <w:tcW w:w="6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(a) (b) (c)</w:t>
            </w:r>
            <w:r>
              <w:rPr>
                <w:rFonts w:ascii="Times New Roman;Times;serif" w:hAnsi="Times New Roman;Times;serif"/>
                <w:sz w:val="20"/>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Andrew Teno</w:t>
            </w:r>
          </w:p>
        </w:tc>
        <w:tc>
          <w:tcPr>
            <w:tcW w:w="32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32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30,579</w:t>
            </w:r>
          </w:p>
        </w:tc>
        <w:tc>
          <w:tcPr>
            <w:tcW w:w="66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Willetts</w:t>
            </w:r>
          </w:p>
        </w:tc>
        <w:tc>
          <w:tcPr>
            <w:tcW w:w="326" w:type="dxa"/>
            <w:tcBorders/>
            <w:vAlign w:val="center"/>
          </w:tcPr>
          <w:p>
            <w:pPr>
              <w:pStyle w:val="TableContents"/>
              <w:bidi w:val="0"/>
              <w:spacing w:before="0" w:after="1"/>
              <w:ind w:left="0" w:right="0" w:hanging="0"/>
              <w:jc w:val="left"/>
              <w:rPr/>
            </w:pPr>
            <w:r>
              <w:rPr/>
              <w:t>​</w:t>
            </w:r>
          </w:p>
        </w:tc>
        <w:tc>
          <w:tcPr>
            <w:tcW w:w="21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69,498</w:t>
            </w:r>
          </w:p>
        </w:tc>
        <w:tc>
          <w:tcPr>
            <w:tcW w:w="66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Brett Icahn</w:t>
            </w:r>
          </w:p>
        </w:tc>
        <w:tc>
          <w:tcPr>
            <w:tcW w:w="32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379,940</w:t>
            </w:r>
          </w:p>
        </w:tc>
        <w:tc>
          <w:tcPr>
            <w:tcW w:w="66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Nevin</w:t>
            </w:r>
          </w:p>
        </w:tc>
        <w:tc>
          <w:tcPr>
            <w:tcW w:w="32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Stephen A. Mongillo</w:t>
            </w:r>
          </w:p>
        </w:tc>
        <w:tc>
          <w:tcPr>
            <w:tcW w:w="32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Alvin B. Krongard</w:t>
            </w:r>
          </w:p>
        </w:tc>
        <w:tc>
          <w:tcPr>
            <w:tcW w:w="32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41,008</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32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6,649</w:t>
            </w:r>
          </w:p>
        </w:tc>
        <w:tc>
          <w:tcPr>
            <w:tcW w:w="66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32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 (nine persons)</w:t>
            </w:r>
          </w:p>
        </w:tc>
        <w:tc>
          <w:tcPr>
            <w:tcW w:w="326" w:type="dxa"/>
            <w:tcBorders/>
            <w:shd w:fill="CCEEFF" w:val="clear"/>
            <w:vAlign w:val="center"/>
          </w:tcPr>
          <w:p>
            <w:pPr>
              <w:pStyle w:val="TableContents"/>
              <w:bidi w:val="0"/>
              <w:spacing w:before="0" w:after="1"/>
              <w:ind w:left="0" w:right="0" w:hanging="0"/>
              <w:jc w:val="center"/>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368,407,576</w:t>
            </w:r>
          </w:p>
        </w:tc>
        <w:tc>
          <w:tcPr>
            <w:tcW w:w="6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(c)</w:t>
            </w:r>
            <w:r>
              <w:rPr>
                <w:rFonts w:ascii="Times New Roman;Times;serif" w:hAnsi="Times New Roman;Times;serif"/>
                <w:sz w:val="20"/>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6152" w:type="dxa"/>
        <w:jc w:val="left"/>
        <w:tblInd w:w="0" w:type="dxa"/>
        <w:tblLayout w:type="fixed"/>
        <w:tblCellMar>
          <w:top w:w="0" w:type="dxa"/>
          <w:left w:w="0" w:type="dxa"/>
          <w:bottom w:w="0" w:type="dxa"/>
          <w:right w:w="0" w:type="dxa"/>
        </w:tblCellMar>
      </w:tblPr>
      <w:tblGrid>
        <w:gridCol w:w="226"/>
        <w:gridCol w:w="592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59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 of total outstanding depositary units of Icahn Enterprises.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exclusive of a 1.99% ownership interest which Icahn Enterprises GP holds by virtue of its 1% general partner interest in each of us and Icahn Enterprises Holdings.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13D/A filed with the SEC on December 29, 2023 by CCI Onshore LLC, Gascon Partners, High Coast Limited Partnership, Highcrest Investors LLC, Thornwood Associates Limited Partnership, Barberry Corp., Starfire Holding Corporation, Little Meadow Corp. and Mr. Icahn. Mr. Icahn, by virtue of his relationship to such entities, may be deemed to beneficially own such Depositary Units. Mr. Icahn disclaims beneficial ownership of such Depositary Units except to the extent of his pecuniary interest therein. The principal business address of Mr. Icahn and the other filers of the Schedule 13D/A is 16690 Collins Avenue, PH-1, Sunny Isles Beach, FL 33160.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352,677,938 depositary units pledged as collateral to secure certain personal indebtedness. The number of depositary units pledged to secure these loans fluctuates in certain years and from time to time as a result of changes in the amount of outstanding principal amount of the loans, the market price of the depositary units, and other factors. The terms of the Loan Agreement (as defined in Item 1A, Risk Factors, in this Annual Report on Form 10-K)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 For purposes of the loan-to-value ratio set forth in the Loan Agreement, the value of the pledged depositary units will be calculated based upon the Company’s indicative net asset value rather than the market price of the depositary units.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Securities Authorized for Issuance Under Equity Compensation Plans</w:t>
      </w:r>
    </w:p>
    <w:tbl>
      <w:tblPr>
        <w:tblW w:w="9202" w:type="dxa"/>
        <w:jc w:val="left"/>
        <w:tblInd w:w="0" w:type="dxa"/>
        <w:tblLayout w:type="fixed"/>
        <w:tblCellMar>
          <w:top w:w="0" w:type="dxa"/>
          <w:left w:w="0" w:type="dxa"/>
          <w:bottom w:w="0" w:type="dxa"/>
          <w:right w:w="0" w:type="dxa"/>
        </w:tblCellMar>
      </w:tblPr>
      <w:tblGrid>
        <w:gridCol w:w="1756"/>
        <w:gridCol w:w="326"/>
        <w:gridCol w:w="2116"/>
        <w:gridCol w:w="326"/>
        <w:gridCol w:w="1891"/>
        <w:gridCol w:w="326"/>
        <w:gridCol w:w="246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115060" cy="175260"/>
                      <wp:effectExtent l="0" t="0" r="0" b="0"/>
                      <wp:wrapNone/>
                      <wp:docPr id="810" name="Frame810"/>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207010" cy="175260"/>
                      <wp:effectExtent l="0" t="0" r="0" b="0"/>
                      <wp:wrapNone/>
                      <wp:docPr id="811" name="Frame8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1343660" cy="175260"/>
                      <wp:effectExtent l="0" t="0" r="0" b="0"/>
                      <wp:wrapNone/>
                      <wp:docPr id="812" name="Frame812"/>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207010" cy="175260"/>
                      <wp:effectExtent l="0" t="0" r="0" b="0"/>
                      <wp:wrapNone/>
                      <wp:docPr id="813" name="Frame8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1200785" cy="175260"/>
                      <wp:effectExtent l="0" t="0" r="0" b="0"/>
                      <wp:wrapNone/>
                      <wp:docPr id="814" name="Frame81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07010" cy="175260"/>
                      <wp:effectExtent l="0" t="0" r="0" b="0"/>
                      <wp:wrapNone/>
                      <wp:docPr id="815" name="Frame8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562735" cy="175260"/>
                      <wp:effectExtent l="0" t="0" r="0" b="0"/>
                      <wp:wrapNone/>
                      <wp:docPr id="816" name="Frame816"/>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8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Securities</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Remaining Available for</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Securities</w:t>
            </w:r>
          </w:p>
        </w:tc>
        <w:tc>
          <w:tcPr>
            <w:tcW w:w="32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Weighted-Average</w:t>
            </w:r>
          </w:p>
        </w:tc>
        <w:tc>
          <w:tcPr>
            <w:tcW w:w="32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Future Issuance Under</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Issued Upon Exercise of</w:t>
            </w:r>
          </w:p>
        </w:tc>
        <w:tc>
          <w:tcPr>
            <w:tcW w:w="32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 Price of</w:t>
            </w:r>
          </w:p>
        </w:tc>
        <w:tc>
          <w:tcPr>
            <w:tcW w:w="32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 Compensation</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Outstanding Options,</w:t>
            </w:r>
          </w:p>
        </w:tc>
        <w:tc>
          <w:tcPr>
            <w:tcW w:w="32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Outstanding Options,</w:t>
            </w:r>
          </w:p>
        </w:tc>
        <w:tc>
          <w:tcPr>
            <w:tcW w:w="32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Plans (Excluding Securities</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Warrants and Rights</w:t>
            </w:r>
          </w:p>
        </w:tc>
        <w:tc>
          <w:tcPr>
            <w:tcW w:w="32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Warrants and Rights</w:t>
            </w:r>
          </w:p>
        </w:tc>
        <w:tc>
          <w:tcPr>
            <w:tcW w:w="32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Reflected in Column (a))</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Plan Category</w:t>
            </w:r>
          </w:p>
        </w:tc>
        <w:tc>
          <w:tcPr>
            <w:tcW w:w="326" w:type="dxa"/>
            <w:tcBorders/>
            <w:vAlign w:val="center"/>
          </w:tcPr>
          <w:p>
            <w:pPr>
              <w:pStyle w:val="TableContents"/>
              <w:bidi w:val="0"/>
              <w:spacing w:before="0" w:after="1"/>
              <w:ind w:left="0" w:right="0" w:hanging="0"/>
              <w:jc w:val="left"/>
              <w:rPr/>
            </w:pPr>
            <w:r>
              <w:rPr/>
              <w:t>​</w:t>
            </w:r>
          </w:p>
        </w:tc>
        <w:tc>
          <w:tcPr>
            <w:tcW w:w="21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1"/>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26" w:type="dxa"/>
            <w:tcBorders/>
            <w:vAlign w:val="center"/>
          </w:tcPr>
          <w:p>
            <w:pPr>
              <w:pStyle w:val="TableContents"/>
              <w:bidi w:val="0"/>
              <w:spacing w:before="0" w:after="1"/>
              <w:ind w:left="0" w:right="0" w:hanging="0"/>
              <w:jc w:val="left"/>
              <w:rPr/>
            </w:pPr>
            <w:r>
              <w:rPr/>
              <w:t>​</w:t>
            </w:r>
          </w:p>
        </w:tc>
        <w:tc>
          <w:tcPr>
            <w:tcW w:w="24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2017 Incentive Plan</w:t>
            </w:r>
          </w:p>
        </w:tc>
        <w:tc>
          <w:tcPr>
            <w:tcW w:w="326" w:type="dxa"/>
            <w:tcBorders/>
            <w:shd w:fill="CCEEFF" w:val="clear"/>
            <w:vAlign w:val="center"/>
          </w:tcPr>
          <w:p>
            <w:pPr>
              <w:pStyle w:val="TableContents"/>
              <w:bidi w:val="0"/>
              <w:spacing w:before="0" w:after="1"/>
              <w:ind w:left="0" w:right="0" w:hanging="0"/>
              <w:jc w:val="left"/>
              <w:rPr/>
            </w:pPr>
            <w:r>
              <w:rPr/>
              <w:t> </w:t>
            </w:r>
          </w:p>
        </w:tc>
        <w:tc>
          <w:tcPr>
            <w:tcW w:w="21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1"/>
              <w:ind w:left="0" w:right="0" w:hanging="0"/>
              <w:jc w:val="left"/>
              <w:rPr/>
            </w:pPr>
            <w:r>
              <w:rPr/>
              <w:t> </w:t>
            </w:r>
          </w:p>
        </w:tc>
        <w:tc>
          <w:tcPr>
            <w:tcW w:w="246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931,508</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first quarter of 2017, the board of directors of the general partner of Icahn Enterprises unanimously approved and adopted the 2017 Incentive Plan, which was subsequently approved by holders of a majority of Icahn Enterprises’ depository units and, became effective during the first quarter of 2017.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 </w:t>
      </w:r>
    </w:p>
    <w:p>
      <w:pPr>
        <w:pStyle w:val="TextBody"/>
        <w:bidi w:val="0"/>
        <w:spacing w:before="0" w:after="240"/>
        <w:ind w:left="0" w:right="0" w:hanging="0"/>
        <w:jc w:val="left"/>
        <w:rPr>
          <w:rFonts w:ascii="Times New Roman;Times;serif" w:hAnsi="Times New Roman;Times;serif"/>
          <w:b/>
          <w:sz w:val="20"/>
        </w:rPr>
      </w:pPr>
      <w:bookmarkStart w:id="2469" w:name="Item13CertainRelationshipsandRelatedTran"/>
      <w:bookmarkStart w:id="2470" w:name="_15e3ffb5_1586_42b9_9548_8bbeb8769c5d"/>
      <w:bookmarkEnd w:id="2469"/>
      <w:bookmarkEnd w:id="2470"/>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Our General Partner and Its Affiliates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Mr. Icahn, in his capacity as majority unitholder, will not receive any additional benefit with respect to distributions and allocations of profits and losses not shared on a pro-rata basis by all other unitholders. In addition, Mr. Icahn has confirmed to us that neither he nor any of his affiliates will receive any fees from us in consideration for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2023, we declared four quarterly distributions aggregating $6.00 per depositary unit. Depositary unitholders were given the option to make an election to receive the distributions in either cash or additional depositary units; if a holder did not make a timely election to receive cash, it was automatically deemed to have elected to receive the distributions in additional depositary units. As a result of the above declared distributions, during 2023 we distributed an aggregate of 72,060,733 of Icahn Enterprises’ depositary units to those depositary unitholders who elected to receive or were deemed to have elected to receive such distributions in additional depositary units, of which an aggregate of 67,882,278 depositary units were distributed to Mr. Icahn and his affiliates. As a result, Mr. Icahn and his affiliates owned approximately 86% of Icahn Enterprises’ outstanding depositary units as of December 31, 2023. Mr. Icahn and his affiliates may in the future elect to receive all or a portion of their distributions in cash or in additional depositary units. Pursuant to registration rights agreements, Mr. Icahn has certain registration rights with regard to the depositary units beneficially owned by him.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26, 2023, the Board of Directors of the general partner of Icahn Enterprises declared a quarterly distribution in the amount of $1.00 per depositary unit, which will be paid on or about April 18, 2024 to depositary unitholders of record at the close of business on March 11, 2024. Depositary unitholders will have until April 5, 2024 to make a timely election to receive either cash or additional depositary units. If a unitholder does not make a timely election, it will automatically be deemed to have elected to receive the distribution in additional depositary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make investments in the Investment Funds. As of December 31, 2023, the total fair market value of investments in the Investment Funds made by Mr. Icahn and his affiliates (excluding us and Brett Icahn) was approximately $2.1 billion, representing approximately 39% of the Investment Funds’ assets under management. Mr. Icahn and his affiliates (excluding us and Brett Icahn) redeemed $2.0 billion from the Investment Funds in the year ended December 31, 2023. In addition, in December 2023, the Investment Funds issued a pro-rata distribution, including $158 million to Mr. Icahn and his affiliates (excluding us and Brett Icahn).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Capital LP, a wholly-owned subsidiary of ours, paid for salaries and benefits of certain employees who may also perform various functions on behalf of certain other entities beneficially owned by Mr. Icahn, including administrative and investment services.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Capital LP pays for expenses pertaining to the operation, administration and investment activities of our Investment segment for the benefit of the Investment Funds (including salaries, benefits and rent). Icahn Capital LP shall be allocated pro-rata for such expenses in accordance with each investor’s capital accounts in the Investment Funds. Effective April 1, 2011, based on an expense-sharing arrangement, certain expenses borne by Icahn Capital LP are reimbursed by the Investment Funds, generally when such expenses are paid. During 2023, $18 million was allocated to the Investment Funds based on this expense-sharing arrangement.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$17 million in the year ended December 31, 2023. As of December 31, 2023, Brett Icahn had investments in the Investment Funds with a total fair market value of $28 million. We also entered into a guaranty agreement with an affiliate of Brett Icahn, pursuant to which we guaranteed the payment of certain amounts required to be distributed by the Investment Funds to such affiliate pursuant to the terms and conditions of the manager agreement.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Section 6.15 of our partnership agreement provides that the general partner, its affiliates, and all officers, directors, employees and agents of the general partner and its affiliates (individually, an “IEP Indemnitee”), to the fullest extent permitted by law, will be indemnified and held harmless from and against any and all losses, claims, demands, costs, damages, liabilities, joint and several, expenses of any nature (including attorneys’ fees and disbursements), judgments, fines, settlements, and other amounts arising from any and all claims, demands, actions, suits or proceedings, whether civil, criminal, administrative or investigative, in which the IEP Indemnitee may be involved, or threatened to be involved, as a party or otherwise by reason of its status as (x) the general partner or an affiliate thereof or (y) a partner, shareholder, director, officer, employee or agent of the general partner or an affiliate thereof or (z) a Person serving at the request of Icahn Enterprises in another entity in a similar capacity, which relate to, arise out of or are incidental to Icahn Enterprises, its property, business or affairs, including, without limitation, liabilities under the federal and state securities laws, regardless of whether the IEP Indemnitee continues to be a general partner, an affiliate, or an officer, director, employee or agent of the general partner or of an affiliate thereof at the time any such liability or expense is paid or incurred, if (i) the IEP Indemnitee acted in good faith and in a manner it believed to be in, or not opposed to, the best interests of Icahn Enterprises, and, with respect to any criminal proceeding, had no reasonable cause to believe its conduct was unlawful and (ii) the IEP Indemnitee’s conduct did not constitute willful misconduct. The partnership agreement further provides that an IEP Indemnitee shall not be denied indemnification in whole or in part under Section 6.15 by reason of the fact that the IEP Indemnitee had an interest in the transaction with respect to which the indemnification applies if the transaction was otherwise permitted by the terms of the partnership agreement. Any indemnification under Section 6.15 shall be satisfied solely out of the assets of Icahn Enterprises. The record holders shall not be subject to personal liability by reason of the indemnification provision.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 Pension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Icahn Enterprises’ outstanding depositary units as of December 31, 2023.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December 31, 2023. If the plans were voluntarily terminated, they would be underfunded by an aggregate of approximately $34 million as of December 31, 2023.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Mongillo and Krongard and Ms. Dunlap are “independent” as defined in the currently applicable listing rules of Nasdaq. Ms. Barton and Messrs. Krongard and Mongillo serve as members of our audit committee, which consists entirely of these independent directors. </w:t>
      </w:r>
    </w:p>
    <w:p>
      <w:pPr>
        <w:pStyle w:val="TextBody"/>
        <w:bidi w:val="0"/>
        <w:spacing w:before="0" w:after="240"/>
        <w:ind w:left="0" w:right="0" w:hanging="0"/>
        <w:jc w:val="left"/>
        <w:rPr>
          <w:rFonts w:ascii="Times New Roman;Times;serif" w:hAnsi="Times New Roman;Times;serif"/>
          <w:b/>
          <w:sz w:val="20"/>
        </w:rPr>
      </w:pPr>
      <w:bookmarkStart w:id="2471" w:name="Item14PrincipalAccountantFeesandServices"/>
      <w:bookmarkStart w:id="2472" w:name="_80e02285_1bbb_4b3c_ae61_eb687c3a586b"/>
      <w:bookmarkEnd w:id="2471"/>
      <w:bookmarkEnd w:id="2472"/>
      <w:r>
        <w:rPr>
          <w:rFonts w:ascii="Times New Roman;Times;serif" w:hAnsi="Times New Roman;Times;serif"/>
          <w:b/>
          <w:sz w:val="20"/>
        </w:rPr>
        <w:t>Item 14. Principal Accountant Fees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incurred $6,144,252 and $5,849,121 in audit fees and expenses from Grant Thornton LLP for 2023 and 2022,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incurred $162,849 and $300,129 in audit-related fees and expenses from Grant Thornton LLP for 2023 and 2022, respectively, relating primarily to services provided in connection with employee benefit plans and certain other agreed upon procedures for both 2023 and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incurred $2,978 and $2,936 in tax-related fees and expenses for 2023 and 2022, respectively, from Grant Thornton LLP for property tax compliance services.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Charter of the audit committee of the Board of Directors of Icahn Enterprises GP, the general partner of Icahn Enterprises, the audit committee is required to approve in advance any and all audit services and permitted non-audit services provided to Icahn Enterprises and its consolidated subsidiaries by their independent auditors (subject to the de minimis exception of Section 10A (i) (1) (B) of the ‘34 Act), all as required by applicable law or listing standards. All of the fees in 2023 and 2022 were pre-approved by the audit committee.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73" w:name="PARTIV_693017"/>
      <w:bookmarkStart w:id="2474" w:name="_17351fd7_031d_43c9_8984_ba40f39416a3"/>
      <w:bookmarkEnd w:id="2473"/>
      <w:bookmarkEnd w:id="2474"/>
      <w:r>
        <w:rPr>
          <w:rFonts w:ascii="Times New Roman;Times;serif" w:hAnsi="Times New Roman;Times;serif"/>
          <w:b/>
          <w:sz w:val="20"/>
        </w:rPr>
        <w:t xml:space="preserve">PART IV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475" w:name="Item15ExhibitsandFinancialStatementSched"/>
      <w:bookmarkEnd w:id="2475"/>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(a)(1)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financial statements of Icahn Enterprises L.P., and subsidiaries, are included in Part II, Item 8 of this Report: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78740" cy="175260"/>
                      <wp:effectExtent l="0" t="0" r="0" b="0"/>
                      <wp:wrapNone/>
                      <wp:docPr id="817" name="Frame8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97790" cy="175260"/>
                      <wp:effectExtent l="0" t="0" r="0" b="0"/>
                      <wp:wrapNone/>
                      <wp:docPr id="818" name="Frame8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78740" cy="175260"/>
                      <wp:effectExtent l="0" t="0" r="0" b="0"/>
                      <wp:wrapNone/>
                      <wp:docPr id="819" name="Frame8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97790" cy="931545"/>
                      <wp:effectExtent l="0" t="0" r="0" b="0"/>
                      <wp:wrapNone/>
                      <wp:docPr id="820" name="Frame820"/>
                      <a:graphic xmlns:a="http://schemas.openxmlformats.org/drawingml/2006/main">
                        <a:graphicData uri="http://schemas.microsoft.com/office/word/2010/wordprocessingShape">
                          <wps:wsp>
                            <wps:cNvSpPr txBox="1"/>
                            <wps:spPr>
                              <a:xfrm>
                                <a:off x="0" y="0"/>
                                <a:ext cx="97790" cy="93154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3.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78740" cy="692150"/>
                      <wp:effectExtent l="0" t="0" r="0" b="0"/>
                      <wp:wrapNone/>
                      <wp:docPr id="821" name="Frame821"/>
                      <a:graphic xmlns:a="http://schemas.openxmlformats.org/drawingml/2006/main">
                        <a:graphicData uri="http://schemas.microsoft.com/office/word/2010/wordprocessingShape">
                          <wps:wsp>
                            <wps:cNvSpPr txBox="1"/>
                            <wps:spPr>
                              <a:xfrm>
                                <a:off x="0" y="0"/>
                                <a:ext cx="78740" cy="692150"/>
                              </a:xfrm>
                              <a:prstGeom prst="rect"/>
                              <a:solidFill>
                                <a:srgbClr val="FFFFFF"/>
                              </a:solidFill>
                            </wps:spPr>
                            <wps:txbx>
                              <w:txbxContent>
                                <w:p>
                                  <w:pPr>
                                    <w:pStyle w:val="TableContents"/>
                                    <w:bidi w:val="0"/>
                                    <w:spacing w:before="0" w:after="30"/>
                                    <w:ind w:left="0" w:right="0" w:hanging="0"/>
                                    <w:jc w:val="left"/>
                                    <w:rPr/>
                                  </w:pPr>
                                  <w:hyperlink w:anchor="BALANCESHEETS_124396">
                                    <w:r>
                                      <w:rPr>
                                        <w:rStyle w:val="InternetLink"/>
                                        <w:rFonts w:ascii="Times New Roman;Times;serif" w:hAnsi="Times New Roman;Times;serif"/>
                                        <w:b w:val="false"/>
                                        <w:i w:val="false"/>
                                        <w:caps w:val="false"/>
                                        <w:smallCaps w:val="false"/>
                                        <w:sz w:val="20"/>
                                      </w:rPr>
                                      <w:t>Consolidated Balance Sheets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BALANCESHEETS_124396">
                              <w:r>
                                <w:rPr>
                                  <w:rStyle w:val="InternetLink"/>
                                  <w:rFonts w:ascii="Times New Roman;Times;serif" w:hAnsi="Times New Roman;Times;serif"/>
                                  <w:b w:val="false"/>
                                  <w:i w:val="false"/>
                                  <w:caps w:val="false"/>
                                  <w:smallCaps w:val="false"/>
                                  <w:sz w:val="20"/>
                                </w:rPr>
                                <w:t>Consolidated Balance Sheets</w:t>
                              </w:r>
                            </w:hyperlink>
                          </w:p>
                        </w:txbxContent>
                      </v:textbox>
                      <w10:wrap type="none"/>
                    </v:rect>
                  </w:pict>
                </mc:Fallback>
              </mc:AlternateContent>
            </w:r>
          </w:p>
        </w:tc>
        <w:tc>
          <w:tcPr>
            <w:tcW w:w="154"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97790" cy="293370"/>
                      <wp:effectExtent l="0" t="0" r="0" b="0"/>
                      <wp:wrapNone/>
                      <wp:docPr id="822" name="Frame82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60</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78740" cy="483235"/>
                      <wp:effectExtent l="0" t="0" r="0" b="0"/>
                      <wp:wrapNone/>
                      <wp:docPr id="823" name="Frame823"/>
                      <a:graphic xmlns:a="http://schemas.openxmlformats.org/drawingml/2006/main">
                        <a:graphicData uri="http://schemas.microsoft.com/office/word/2010/wordprocessingShape">
                          <wps:wsp>
                            <wps:cNvSpPr txBox="1"/>
                            <wps:spPr>
                              <a:xfrm>
                                <a:off x="0" y="0"/>
                                <a:ext cx="78740" cy="483235"/>
                              </a:xfrm>
                              <a:prstGeom prst="rect"/>
                              <a:solidFill>
                                <a:srgbClr val="FFFFFF"/>
                              </a:solidFill>
                            </wps:spPr>
                            <wps:txbx>
                              <w:txbxContent>
                                <w:p>
                                  <w:pPr>
                                    <w:pStyle w:val="TableContents"/>
                                    <w:bidi w:val="0"/>
                                    <w:spacing w:before="0" w:after="30"/>
                                    <w:ind w:left="0" w:right="0" w:hanging="0"/>
                                    <w:jc w:val="left"/>
                                    <w:rPr/>
                                  </w:pPr>
                                  <w:hyperlink w:anchor="STATEMENTSOFOPERATIONS_770807">
                                    <w:r>
                                      <w:rPr>
                                        <w:rStyle w:val="InternetLink"/>
                                        <w:rFonts w:ascii="Times New Roman;Times;serif" w:hAnsi="Times New Roman;Times;serif"/>
                                        <w:b w:val="false"/>
                                        <w:i w:val="false"/>
                                        <w:caps w:val="false"/>
                                        <w:smallCaps w:val="false"/>
                                        <w:sz w:val="20"/>
                                      </w:rPr>
                                      <w:t>Consolidated Statements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STATEMENTSOFOPERATIONS_770807">
                              <w:r>
                                <w:rPr>
                                  <w:rStyle w:val="InternetLink"/>
                                  <w:rFonts w:ascii="Times New Roman;Times;serif" w:hAnsi="Times New Roman;Times;serif"/>
                                  <w:b w:val="false"/>
                                  <w:i w:val="false"/>
                                  <w:caps w:val="false"/>
                                  <w:smallCaps w:val="false"/>
                                  <w:sz w:val="20"/>
                                </w:rPr>
                                <w:t>Consolidated Statements of Operations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97790" cy="293370"/>
                      <wp:effectExtent l="0" t="0" r="0" b="0"/>
                      <wp:wrapNone/>
                      <wp:docPr id="824" name="Frame824"/>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61</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78740" cy="274320"/>
                      <wp:effectExtent l="0" t="0" r="0" b="0"/>
                      <wp:wrapNone/>
                      <wp:docPr id="825" name="Frame825"/>
                      <a:graphic xmlns:a="http://schemas.openxmlformats.org/drawingml/2006/main">
                        <a:graphicData uri="http://schemas.microsoft.com/office/word/2010/wordprocessingShape">
                          <wps:wsp>
                            <wps:cNvSpPr txBox="1"/>
                            <wps:spPr>
                              <a:xfrm>
                                <a:off x="0" y="0"/>
                                <a:ext cx="78740" cy="274320"/>
                              </a:xfrm>
                              <a:prstGeom prst="rect"/>
                              <a:solidFill>
                                <a:srgbClr val="FFFFFF"/>
                              </a:solidFill>
                            </wps:spPr>
                            <wps:txbx>
                              <w:txbxContent>
                                <w:p>
                                  <w:pPr>
                                    <w:pStyle w:val="TableContents"/>
                                    <w:bidi w:val="0"/>
                                    <w:spacing w:before="0" w:after="30"/>
                                    <w:ind w:left="0" w:right="0" w:hanging="0"/>
                                    <w:jc w:val="left"/>
                                    <w:rPr/>
                                  </w:pPr>
                                  <w:hyperlink w:anchor="COMPREHENSIVEINCOMELOSS_916205">
                                    <w:r>
                                      <w:rPr>
                                        <w:rStyle w:val="InternetLink"/>
                                        <w:rFonts w:ascii="Times New Roman;Times;serif" w:hAnsi="Times New Roman;Times;serif"/>
                                        <w:b w:val="false"/>
                                        <w:i w:val="false"/>
                                        <w:caps w:val="false"/>
                                        <w:smallCaps w:val="false"/>
                                        <w:sz w:val="20"/>
                                      </w:rPr>
                                      <w:t>Consolidated Statements of Comprehensive Income (Loss)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OMPREHENSIVEINCOMELOSS_916205">
                              <w:r>
                                <w:rPr>
                                  <w:rStyle w:val="InternetLink"/>
                                  <w:rFonts w:ascii="Times New Roman;Times;serif" w:hAnsi="Times New Roman;Times;serif"/>
                                  <w:b w:val="false"/>
                                  <w:i w:val="false"/>
                                  <w:caps w:val="false"/>
                                  <w:smallCaps w:val="false"/>
                                  <w:sz w:val="20"/>
                                </w:rPr>
                                <w:t>Consolidated Statements of Comprehensive Income (Loss)</w:t>
                              </w:r>
                            </w:hyperlink>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97790" cy="274320"/>
                      <wp:effectExtent l="0" t="0" r="0" b="0"/>
                      <wp:wrapNone/>
                      <wp:docPr id="826" name="Frame826"/>
                      <a:graphic xmlns:a="http://schemas.openxmlformats.org/drawingml/2006/main">
                        <a:graphicData uri="http://schemas.microsoft.com/office/word/2010/wordprocessingShape">
                          <wps:wsp>
                            <wps:cNvSpPr txBox="1"/>
                            <wps:spPr>
                              <a:xfrm>
                                <a:off x="0" y="0"/>
                                <a:ext cx="97790" cy="2743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78740" cy="5280660"/>
                      <wp:effectExtent l="0" t="0" r="0" b="0"/>
                      <wp:wrapNone/>
                      <wp:docPr id="827" name="Frame827"/>
                      <a:graphic xmlns:a="http://schemas.openxmlformats.org/drawingml/2006/main">
                        <a:graphicData uri="http://schemas.microsoft.com/office/word/2010/wordprocessingShape">
                          <wps:wsp>
                            <wps:cNvSpPr txBox="1"/>
                            <wps:spPr>
                              <a:xfrm>
                                <a:off x="0" y="0"/>
                                <a:ext cx="78740" cy="5280660"/>
                              </a:xfrm>
                              <a:prstGeom prst="rect"/>
                              <a:solidFill>
                                <a:srgbClr val="FFFFFF"/>
                              </a:solidFill>
                            </wps:spPr>
                            <wps:txbx>
                              <w:txbxContent>
                                <w:p>
                                  <w:pPr>
                                    <w:pStyle w:val="TableContents"/>
                                    <w:bidi w:val="0"/>
                                    <w:spacing w:before="0" w:after="30"/>
                                    <w:ind w:left="0" w:right="0" w:hanging="0"/>
                                    <w:jc w:val="left"/>
                                    <w:rPr/>
                                  </w:pPr>
                                  <w:hyperlink w:anchor="CHANGESINEQUITY_806278">
                                    <w:r>
                                      <w:rPr>
                                        <w:rStyle w:val="InternetLink"/>
                                        <w:rFonts w:ascii="Times New Roman;Times;serif" w:hAnsi="Times New Roman;Times;serif"/>
                                        <w:b w:val="false"/>
                                        <w:i w:val="false"/>
                                        <w:caps w:val="false"/>
                                        <w:smallCaps w:val="false"/>
                                        <w:sz w:val="20"/>
                                      </w:rPr>
                                      <w:t>Consolidated Statement of Changes in Equity</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15.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HANGESINEQUITY_806278">
                              <w:r>
                                <w:rPr>
                                  <w:rStyle w:val="InternetLink"/>
                                  <w:rFonts w:ascii="Times New Roman;Times;serif" w:hAnsi="Times New Roman;Times;serif"/>
                                  <w:b w:val="false"/>
                                  <w:i w:val="false"/>
                                  <w:caps w:val="false"/>
                                  <w:smallCaps w:val="false"/>
                                  <w:sz w:val="20"/>
                                </w:rPr>
                                <w:t>Consolidated Statement of Changes in Equity</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97790" cy="293370"/>
                      <wp:effectExtent l="0" t="0" r="0" b="0"/>
                      <wp:wrapNone/>
                      <wp:docPr id="828" name="Frame82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63</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78740" cy="4693920"/>
                      <wp:effectExtent l="0" t="0" r="0" b="0"/>
                      <wp:wrapNone/>
                      <wp:docPr id="829" name="Frame829"/>
                      <a:graphic xmlns:a="http://schemas.openxmlformats.org/drawingml/2006/main">
                        <a:graphicData uri="http://schemas.microsoft.com/office/word/2010/wordprocessingShape">
                          <wps:wsp>
                            <wps:cNvSpPr txBox="1"/>
                            <wps:spPr>
                              <a:xfrm>
                                <a:off x="0" y="0"/>
                                <a:ext cx="78740" cy="4693920"/>
                              </a:xfrm>
                              <a:prstGeom prst="rect"/>
                              <a:solidFill>
                                <a:srgbClr val="FFFFFF"/>
                              </a:solidFill>
                            </wps:spPr>
                            <wps:txbx>
                              <w:txbxContent>
                                <w:p>
                                  <w:pPr>
                                    <w:pStyle w:val="TableContents"/>
                                    <w:bidi w:val="0"/>
                                    <w:spacing w:before="0" w:after="30"/>
                                    <w:ind w:left="0" w:right="0" w:hanging="0"/>
                                    <w:jc w:val="left"/>
                                    <w:rPr/>
                                  </w:pPr>
                                  <w:hyperlink w:anchor="CASHFLOWS_636712">
                                    <w:r>
                                      <w:rPr>
                                        <w:rStyle w:val="InternetLink"/>
                                        <w:rFonts w:ascii="Times New Roman;Times;serif" w:hAnsi="Times New Roman;Times;serif"/>
                                        <w:b w:val="false"/>
                                        <w:i w:val="false"/>
                                        <w:caps w:val="false"/>
                                        <w:smallCaps w:val="false"/>
                                        <w:sz w:val="20"/>
                                      </w:rPr>
                                      <w:t>Consolidated Statements of Cash Flows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ASHFLOWS_636712">
                              <w:r>
                                <w:rPr>
                                  <w:rStyle w:val="InternetLink"/>
                                  <w:rFonts w:ascii="Times New Roman;Times;serif" w:hAnsi="Times New Roman;Times;serif"/>
                                  <w:b w:val="false"/>
                                  <w:i w:val="false"/>
                                  <w:caps w:val="false"/>
                                  <w:smallCaps w:val="false"/>
                                  <w:sz w:val="20"/>
                                </w:rPr>
                                <w:t>Consolidated Statements of Cash Flows</w:t>
                              </w:r>
                            </w:hyperlink>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97790" cy="293370"/>
                      <wp:effectExtent l="0" t="0" r="0" b="0"/>
                      <wp:wrapNone/>
                      <wp:docPr id="830" name="Frame83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78740" cy="5427345"/>
                      <wp:effectExtent l="0" t="0" r="0" b="0"/>
                      <wp:wrapNone/>
                      <wp:docPr id="831" name="Frame831"/>
                      <a:graphic xmlns:a="http://schemas.openxmlformats.org/drawingml/2006/main">
                        <a:graphicData uri="http://schemas.microsoft.com/office/word/2010/wordprocessingShape">
                          <wps:wsp>
                            <wps:cNvSpPr txBox="1"/>
                            <wps:spPr>
                              <a:xfrm>
                                <a:off x="0" y="0"/>
                                <a:ext cx="78740" cy="5427345"/>
                              </a:xfrm>
                              <a:prstGeom prst="rect"/>
                              <a:solidFill>
                                <a:srgbClr val="FFFFFF"/>
                              </a:solidFill>
                            </wps:spPr>
                            <wps:txbx>
                              <w:txbxContent>
                                <w:p>
                                  <w:pPr>
                                    <w:pStyle w:val="TableContents"/>
                                    <w:bidi w:val="0"/>
                                    <w:spacing w:before="0" w:after="30"/>
                                    <w:ind w:left="0" w:right="0" w:hanging="0"/>
                                    <w:jc w:val="left"/>
                                    <w:rPr/>
                                  </w:pPr>
                                  <w:hyperlink w:anchor="a1DescriptionofBusiness_452019">
                                    <w:r>
                                      <w:rPr>
                                        <w:rStyle w:val="InternetLink"/>
                                        <w:rFonts w:ascii="Times New Roman;Times;serif" w:hAnsi="Times New Roman;Times;serif"/>
                                        <w:b w:val="false"/>
                                        <w:i w:val="false"/>
                                        <w:caps w:val="false"/>
                                        <w:smallCaps w:val="false"/>
                                        <w:sz w:val="20"/>
                                      </w:rPr>
                                      <w:t>Notes to Consolidated 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27.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a1DescriptionofBusiness_452019">
                              <w:r>
                                <w:rPr>
                                  <w:rStyle w:val="InternetLink"/>
                                  <w:rFonts w:ascii="Times New Roman;Times;serif" w:hAnsi="Times New Roman;Times;serif"/>
                                  <w:b w:val="false"/>
                                  <w:i w:val="false"/>
                                  <w:caps w:val="false"/>
                                  <w:smallCaps w:val="false"/>
                                  <w:sz w:val="20"/>
                                </w:rPr>
                                <w:t>Notes to Consolidated Financial Statements</w:t>
                              </w:r>
                            </w:hyperlink>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97790" cy="293370"/>
                      <wp:effectExtent l="0" t="0" r="0" b="0"/>
                      <wp:wrapNone/>
                      <wp:docPr id="832" name="Frame83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66</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(a)(2) Financial Statement Schedules</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78740" cy="175260"/>
                      <wp:effectExtent l="0" t="0" r="0" b="0"/>
                      <wp:wrapNone/>
                      <wp:docPr id="833" name="Frame83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97790" cy="175260"/>
                      <wp:effectExtent l="0" t="0" r="0" b="0"/>
                      <wp:wrapNone/>
                      <wp:docPr id="834" name="Frame8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78740" cy="175260"/>
                      <wp:effectExtent l="0" t="0" r="0" b="0"/>
                      <wp:wrapNone/>
                      <wp:docPr id="835" name="Frame83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97790" cy="1466850"/>
                      <wp:effectExtent l="0" t="0" r="0" b="0"/>
                      <wp:wrapNone/>
                      <wp:docPr id="836" name="Frame836"/>
                      <a:graphic xmlns:a="http://schemas.openxmlformats.org/drawingml/2006/main">
                        <a:graphicData uri="http://schemas.microsoft.com/office/word/2010/wordprocessingShape">
                          <wps:wsp>
                            <wps:cNvSpPr txBox="1"/>
                            <wps:spPr>
                              <a:xfrm>
                                <a:off x="0" y="0"/>
                                <a:ext cx="97790" cy="146685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78740" cy="6747510"/>
                      <wp:effectExtent l="0" t="0" r="0" b="0"/>
                      <wp:wrapNone/>
                      <wp:docPr id="837" name="Frame837"/>
                      <a:graphic xmlns:a="http://schemas.openxmlformats.org/drawingml/2006/main">
                        <a:graphicData uri="http://schemas.microsoft.com/office/word/2010/wordprocessingShape">
                          <wps:wsp>
                            <wps:cNvSpPr txBox="1"/>
                            <wps:spPr>
                              <a:xfrm>
                                <a:off x="0" y="0"/>
                                <a:ext cx="78740" cy="6747510"/>
                              </a:xfrm>
                              <a:prstGeom prst="rect"/>
                              <a:solidFill>
                                <a:srgbClr val="FFFFFF"/>
                              </a:solidFill>
                            </wps:spPr>
                            <wps:txbx>
                              <w:txbxContent>
                                <w:p>
                                  <w:pPr>
                                    <w:pStyle w:val="TableContents"/>
                                    <w:bidi w:val="0"/>
                                    <w:spacing w:before="0" w:after="30"/>
                                    <w:ind w:left="0" w:right="0" w:hanging="0"/>
                                    <w:jc w:val="left"/>
                                    <w:rPr/>
                                  </w:pPr>
                                  <w:hyperlink w:anchor="ICAHNENTERPRISESLP_903054">
                                    <w:r>
                                      <w:rPr>
                                        <w:rStyle w:val="InternetLink"/>
                                        <w:rFonts w:ascii="Times New Roman;Times;serif" w:hAnsi="Times New Roman;Times;serif"/>
                                        <w:b w:val="false"/>
                                        <w:i w:val="false"/>
                                        <w:caps w:val="false"/>
                                        <w:smallCaps w:val="false"/>
                                        <w:sz w:val="20"/>
                                      </w:rPr>
                                      <w:t>Schedule I - Condensed Financial Information of Parent</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CAHNENTERPRISESLP_903054">
                              <w:r>
                                <w:rPr>
                                  <w:rStyle w:val="InternetLink"/>
                                  <w:rFonts w:ascii="Times New Roman;Times;serif" w:hAnsi="Times New Roman;Times;serif"/>
                                  <w:b w:val="false"/>
                                  <w:i w:val="false"/>
                                  <w:caps w:val="false"/>
                                  <w:smallCaps w:val="false"/>
                                  <w:sz w:val="20"/>
                                </w:rPr>
                                <w:t>Schedule I - Condensed Financial Information of Parent</w:t>
                              </w:r>
                            </w:hyperlink>
                          </w:p>
                        </w:txbxContent>
                      </v:textbox>
                      <w10:wrap type="none"/>
                    </v:rect>
                  </w:pict>
                </mc:Fallback>
              </mc:AlternateContent>
            </w:r>
          </w:p>
        </w:tc>
        <w:tc>
          <w:tcPr>
            <w:tcW w:w="1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97790" cy="440055"/>
                      <wp:effectExtent l="0" t="0" r="0" b="0"/>
                      <wp:wrapNone/>
                      <wp:docPr id="838" name="Frame838"/>
                      <a:graphic xmlns:a="http://schemas.openxmlformats.org/drawingml/2006/main">
                        <a:graphicData uri="http://schemas.microsoft.com/office/word/2010/wordprocessingShape">
                          <wps:wsp>
                            <wps:cNvSpPr txBox="1"/>
                            <wps:spPr>
                              <a:xfrm>
                                <a:off x="0" y="0"/>
                                <a:ext cx="97790" cy="44005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144</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other financial statement schedules have been omitted because the required financial information is not applicable, immaterial or the information is shown in the consolidated financial statements or notes thereto.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(a)(3)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list of exhibits required by Item 601 of Regulation S-K and filed as part of this Report is set forth in the Exhibit Index.</w:t>
      </w:r>
    </w:p>
    <w:p>
      <w:pPr>
        <w:pStyle w:val="TextBody"/>
        <w:bidi w:val="0"/>
        <w:spacing w:before="0" w:after="240"/>
        <w:ind w:left="0" w:right="0" w:hanging="0"/>
        <w:jc w:val="left"/>
        <w:rPr>
          <w:rFonts w:ascii="Times New Roman;Times;serif" w:hAnsi="Times New Roman;Times;serif"/>
          <w:b/>
          <w:sz w:val="20"/>
        </w:rPr>
      </w:pPr>
      <w:bookmarkStart w:id="2476" w:name="Item16Form10KSummary_621161"/>
      <w:bookmarkStart w:id="2477" w:name="_b7403f94_a84d_4c3e_895e_c6ef0edcaa7c"/>
      <w:bookmarkEnd w:id="2476"/>
      <w:bookmarkEnd w:id="2477"/>
      <w:r>
        <w:rPr>
          <w:rFonts w:ascii="Times New Roman;Times;serif" w:hAnsi="Times New Roman;Times;serif"/>
          <w:b/>
          <w:sz w:val="20"/>
        </w:rPr>
        <w:t>Item 16. Form 10-K Summary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78" w:name="Tc_w9hW_BOdN0C5OAdYhrfh8g_19_5"/>
      <w:bookmarkStart w:id="2479" w:name="Tc_xeQSKi_UlU6tp2QaYN_5fQ_19_2"/>
      <w:bookmarkStart w:id="2480" w:name="Tc_5vHVBraNjkypk0uAfQAbJA_19_0"/>
      <w:bookmarkStart w:id="2481" w:name="Tc_go8pis7s0k6i2iQ4lhEh2w_18_0"/>
      <w:bookmarkStart w:id="2482" w:name="Tc_tdGyx92W302elcAaPcDSQA_17_0"/>
      <w:bookmarkStart w:id="2483" w:name="Tc_cMZGyt8G2UG8F1lXxTNtUg_16_0"/>
      <w:bookmarkStart w:id="2484" w:name="Tc_kbQeSVTAt0Kvp2AfjFNL4g_15_0"/>
      <w:bookmarkStart w:id="2485" w:name="Tc_xFOSvSlyD0CnuCISK6-OTQ_13_0"/>
      <w:bookmarkStart w:id="2486" w:name="Tc_LnJhXt_ZEEmBbKQ8JkMqOQ_10_0"/>
      <w:bookmarkStart w:id="2487" w:name="Tc_ZZIz4CZqzEq3VcLmH20w1w_9_5"/>
      <w:bookmarkStart w:id="2488" w:name="Tc_WVo87PscB0yVrr9MZIjy7A_9_2"/>
      <w:bookmarkStart w:id="2489" w:name="Tc_5O6RIHklJESCO4a_B7GWDA_9_0"/>
      <w:bookmarkStart w:id="2490" w:name="Tc_Px5SCUMsnk2UAxN8zevy5g_8_0"/>
      <w:bookmarkStart w:id="2491" w:name="Tc_qChOp94sWE-WgGLRhpSffA_6_5"/>
      <w:bookmarkStart w:id="2492" w:name="Tc_OjKkBpP9HEKUU8l47rw2Fg_6_2"/>
      <w:bookmarkStart w:id="2493" w:name="Tc_Yft4nMW4mE2fLSS-NrICrA_6_0"/>
      <w:bookmarkStart w:id="2494" w:name="Tc_gyHwEi1pe0CxTQmJSEusnA_5_5"/>
      <w:bookmarkStart w:id="2495" w:name="Tc_SQRTDrtLeUuJz6x4sr3YIg_5_2"/>
      <w:bookmarkStart w:id="2496" w:name="Tc_eoJGPUlnc0SXkTBN3fScpA_5_0"/>
      <w:bookmarkStart w:id="2497" w:name="Tc_OO3K0L_oYEaoMQ9eLw5GeA_4_0"/>
      <w:bookmarkStart w:id="2498" w:name="Tc_F7jBUDAOBUaS1N7RGTLTFg_3_2"/>
      <w:bookmarkStart w:id="2499" w:name="Tc_va17GCrMUEudOibqY9OoaQ_2_5"/>
      <w:bookmarkStart w:id="2500" w:name="Tc_zqLJ7zMY8k2AkeVzMV74QQ_2_2"/>
      <w:bookmarkStart w:id="2501" w:name="Tc_oavAmE-lIEqUt2Q4rj2rrw_1_2"/>
      <w:bookmarkStart w:id="2502" w:name="_6e65d555_db54_43e2_81ca_62a7f4a4d7b7"/>
      <w:bookmarkStart w:id="2503" w:name="ICAHNENTERPRISESLP_903054"/>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tbl>
      <w:tblPr>
        <w:tblW w:w="10205" w:type="dxa"/>
        <w:jc w:val="left"/>
        <w:tblInd w:w="0" w:type="dxa"/>
        <w:tblLayout w:type="fixed"/>
        <w:tblCellMar>
          <w:top w:w="0" w:type="dxa"/>
          <w:left w:w="0" w:type="dxa"/>
          <w:bottom w:w="0" w:type="dxa"/>
          <w:right w:w="0" w:type="dxa"/>
        </w:tblCellMar>
      </w:tblPr>
      <w:tblGrid>
        <w:gridCol w:w="7643"/>
        <w:gridCol w:w="326"/>
        <w:gridCol w:w="236"/>
        <w:gridCol w:w="639"/>
        <w:gridCol w:w="365"/>
        <w:gridCol w:w="236"/>
        <w:gridCol w:w="760"/>
      </w:tblGrid>
      <w:tr>
        <w:trPr/>
        <w:tc>
          <w:tcPr>
            <w:tcW w:w="7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4853305" cy="175260"/>
                      <wp:effectExtent l="0" t="0" r="0" b="0"/>
                      <wp:wrapNone/>
                      <wp:docPr id="839" name="Frame839"/>
                      <a:graphic xmlns:a="http://schemas.openxmlformats.org/drawingml/2006/main">
                        <a:graphicData uri="http://schemas.microsoft.com/office/word/2010/wordprocessingShape">
                          <wps:wsp>
                            <wps:cNvSpPr txBox="1"/>
                            <wps:spPr>
                              <a:xfrm>
                                <a:off x="0" y="0"/>
                                <a:ext cx="4853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07010" cy="175260"/>
                      <wp:effectExtent l="0" t="0" r="0" b="0"/>
                      <wp:wrapNone/>
                      <wp:docPr id="840" name="Frame8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49860" cy="175260"/>
                      <wp:effectExtent l="0" t="0" r="0" b="0"/>
                      <wp:wrapNone/>
                      <wp:docPr id="841" name="Frame84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405765" cy="175260"/>
                      <wp:effectExtent l="0" t="0" r="0" b="0"/>
                      <wp:wrapNone/>
                      <wp:docPr id="842" name="Frame842"/>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231775" cy="175260"/>
                      <wp:effectExtent l="0" t="0" r="0" b="0"/>
                      <wp:wrapNone/>
                      <wp:docPr id="843" name="Frame84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49860" cy="175260"/>
                      <wp:effectExtent l="0" t="0" r="0" b="0"/>
                      <wp:wrapNone/>
                      <wp:docPr id="844" name="Frame84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482600" cy="175260"/>
                      <wp:effectExtent l="0" t="0" r="0" b="0"/>
                      <wp:wrapNone/>
                      <wp:docPr id="845" name="Frame845"/>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6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5" w:type="dxa"/>
            <w:tcBorders/>
            <w:vAlign w:val="center"/>
          </w:tcPr>
          <w:p>
            <w:pPr>
              <w:pStyle w:val="TableContents"/>
              <w:bidi w:val="0"/>
              <w:spacing w:before="0" w:after="1"/>
              <w:ind w:left="0" w:right="0" w:hanging="0"/>
              <w:jc w:val="left"/>
              <w:rPr/>
            </w:pPr>
            <w:r>
              <w:rPr/>
              <w:t>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6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643"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0" w:type="dxa"/>
            <w:tcBorders/>
            <w:shd w:fill="CCEEFF" w:val="clear"/>
            <w:vAlign w:val="center"/>
          </w:tcPr>
          <w:p>
            <w:pPr>
              <w:pStyle w:val="TableContents"/>
              <w:bidi w:val="0"/>
              <w:spacing w:before="0" w:after="1"/>
              <w:ind w:left="0" w:right="0" w:hanging="0"/>
              <w:jc w:val="right"/>
              <w:rPr/>
            </w:pPr>
            <w:r>
              <w:rPr/>
              <w:t>  </w:t>
            </w:r>
          </w:p>
        </w:tc>
      </w:tr>
      <w:tr>
        <w:trPr/>
        <w:tc>
          <w:tcPr>
            <w:tcW w:w="76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 net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8,092</w:t>
            </w:r>
          </w:p>
        </w:tc>
        <w:tc>
          <w:tcPr>
            <w:tcW w:w="365"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9,260</w:t>
            </w:r>
          </w:p>
        </w:tc>
      </w:tr>
      <w:tr>
        <w:trPr/>
        <w:tc>
          <w:tcPr>
            <w:tcW w:w="76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8,092</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9,260</w:t>
            </w:r>
          </w:p>
        </w:tc>
      </w:tr>
      <w:tr>
        <w:trPr/>
        <w:tc>
          <w:tcPr>
            <w:tcW w:w="76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0" w:type="dxa"/>
            <w:tcBorders/>
            <w:vAlign w:val="center"/>
          </w:tcPr>
          <w:p>
            <w:pPr>
              <w:pStyle w:val="TableContents"/>
              <w:bidi w:val="0"/>
              <w:spacing w:before="0" w:after="1"/>
              <w:ind w:left="0" w:right="0" w:hanging="0"/>
              <w:jc w:val="left"/>
              <w:rPr/>
            </w:pPr>
            <w:r>
              <w:rPr/>
              <w:t>​</w:t>
            </w:r>
          </w:p>
        </w:tc>
      </w:tr>
      <w:tr>
        <w:trPr/>
        <w:tc>
          <w:tcPr>
            <w:tcW w:w="7643"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639" w:type="dxa"/>
            <w:tcBorders/>
            <w:shd w:fill="CCEEFF" w:val="clear"/>
            <w:vAlign w:val="center"/>
          </w:tcPr>
          <w:p>
            <w:pPr>
              <w:pStyle w:val="TableContents"/>
              <w:bidi w:val="0"/>
              <w:spacing w:before="0" w:after="1"/>
              <w:ind w:left="0" w:right="0" w:hanging="0"/>
              <w:jc w:val="righ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0" w:type="dxa"/>
            <w:tcBorders/>
            <w:shd w:fill="CCEEFF" w:val="clear"/>
            <w:vAlign w:val="center"/>
          </w:tcPr>
          <w:p>
            <w:pPr>
              <w:pStyle w:val="TableContents"/>
              <w:bidi w:val="0"/>
              <w:spacing w:before="0" w:after="1"/>
              <w:ind w:left="0" w:right="0" w:hanging="0"/>
              <w:jc w:val="right"/>
              <w:rPr/>
            </w:pPr>
            <w:r>
              <w:rPr/>
              <w:t>  </w:t>
            </w:r>
          </w:p>
        </w:tc>
      </w:tr>
      <w:tr>
        <w:trPr/>
        <w:tc>
          <w:tcPr>
            <w:tcW w:w="76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5"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6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4,847</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5,309</w:t>
            </w:r>
          </w:p>
        </w:tc>
      </w:tr>
      <w:tr>
        <w:trPr/>
        <w:tc>
          <w:tcPr>
            <w:tcW w:w="76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4,884</w:t>
            </w:r>
          </w:p>
        </w:tc>
        <w:tc>
          <w:tcPr>
            <w:tcW w:w="365"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5,360</w:t>
            </w:r>
          </w:p>
        </w:tc>
      </w:tr>
      <w:tr>
        <w:trPr/>
        <w:tc>
          <w:tcPr>
            <w:tcW w:w="764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0" w:type="dxa"/>
            <w:tcBorders/>
            <w:shd w:fill="CCEEFF" w:val="clear"/>
            <w:vAlign w:val="center"/>
          </w:tcPr>
          <w:p>
            <w:pPr>
              <w:pStyle w:val="TableContents"/>
              <w:bidi w:val="0"/>
              <w:spacing w:before="0" w:after="1"/>
              <w:ind w:left="0" w:right="0" w:hanging="0"/>
              <w:jc w:val="left"/>
              <w:rPr/>
            </w:pPr>
            <w:r>
              <w:rPr/>
              <w:t>​</w:t>
            </w:r>
          </w:p>
        </w:tc>
      </w:tr>
      <w:tr>
        <w:trPr/>
        <w:tc>
          <w:tcPr>
            <w:tcW w:w="76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3)</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639" w:type="dxa"/>
            <w:tcBorders/>
            <w:vAlign w:val="center"/>
          </w:tcPr>
          <w:p>
            <w:pPr>
              <w:pStyle w:val="TableContents"/>
              <w:bidi w:val="0"/>
              <w:spacing w:before="0" w:after="1"/>
              <w:ind w:left="0" w:right="0" w:hanging="0"/>
              <w:jc w:val="right"/>
              <w:rPr/>
            </w:pPr>
            <w:r>
              <w:rPr/>
              <w:t>  </w:t>
            </w:r>
          </w:p>
        </w:tc>
        <w:tc>
          <w:tcPr>
            <w:tcW w:w="365"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0" w:type="dxa"/>
            <w:tcBorders/>
            <w:vAlign w:val="center"/>
          </w:tcPr>
          <w:p>
            <w:pPr>
              <w:pStyle w:val="TableContents"/>
              <w:bidi w:val="0"/>
              <w:spacing w:before="0" w:after="1"/>
              <w:ind w:left="0" w:right="0" w:hanging="0"/>
              <w:jc w:val="right"/>
              <w:rPr/>
            </w:pPr>
            <w:r>
              <w:rPr/>
              <w:t>  </w:t>
            </w:r>
          </w:p>
        </w:tc>
      </w:tr>
      <w:tr>
        <w:trPr/>
        <w:tc>
          <w:tcPr>
            <w:tcW w:w="764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0" w:type="dxa"/>
            <w:tcBorders/>
            <w:shd w:fill="CCEEFF" w:val="clear"/>
            <w:vAlign w:val="center"/>
          </w:tcPr>
          <w:p>
            <w:pPr>
              <w:pStyle w:val="TableContents"/>
              <w:bidi w:val="0"/>
              <w:spacing w:before="0" w:after="1"/>
              <w:ind w:left="0" w:right="0" w:hanging="0"/>
              <w:jc w:val="left"/>
              <w:rPr/>
            </w:pPr>
            <w:r>
              <w:rPr/>
              <w:t>​</w:t>
            </w:r>
          </w:p>
        </w:tc>
      </w:tr>
      <w:tr>
        <w:trPr/>
        <w:tc>
          <w:tcPr>
            <w:tcW w:w="76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639" w:type="dxa"/>
            <w:tcBorders/>
            <w:vAlign w:val="center"/>
          </w:tcPr>
          <w:p>
            <w:pPr>
              <w:pStyle w:val="TableContents"/>
              <w:bidi w:val="0"/>
              <w:spacing w:before="0" w:after="1"/>
              <w:ind w:left="0" w:right="0" w:hanging="0"/>
              <w:jc w:val="right"/>
              <w:rPr/>
            </w:pPr>
            <w:r>
              <w:rPr/>
              <w:t>  </w:t>
            </w:r>
          </w:p>
        </w:tc>
        <w:tc>
          <w:tcPr>
            <w:tcW w:w="365"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0" w:type="dxa"/>
            <w:tcBorders/>
            <w:vAlign w:val="center"/>
          </w:tcPr>
          <w:p>
            <w:pPr>
              <w:pStyle w:val="TableContents"/>
              <w:bidi w:val="0"/>
              <w:spacing w:before="0" w:after="1"/>
              <w:ind w:left="0" w:right="0" w:hanging="0"/>
              <w:jc w:val="right"/>
              <w:rPr/>
            </w:pPr>
            <w:r>
              <w:rPr/>
              <w:t>  </w:t>
            </w:r>
          </w:p>
        </w:tc>
      </w:tr>
      <w:tr>
        <w:trPr/>
        <w:tc>
          <w:tcPr>
            <w:tcW w:w="7643" w:type="dxa"/>
            <w:tcBorders/>
            <w:shd w:fill="CCEEFF" w:val="cle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0"/>
              </w:rPr>
              <w:t>Limited partners: Depositary units: 429,033,241</w:t>
            </w:r>
            <w:r>
              <w:rPr>
                <w:rFonts w:ascii="Times New Roman;Times;serif" w:hAnsi="Times New Roman;Times;serif"/>
                <w:sz w:val="24"/>
              </w:rPr>
              <w:t xml:space="preserve"> </w:t>
            </w:r>
            <w:r>
              <w:rPr>
                <w:rFonts w:ascii="Times New Roman;Times;serif" w:hAnsi="Times New Roman;Times;serif"/>
                <w:sz w:val="20"/>
              </w:rPr>
              <w:t xml:space="preserve">units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4"/>
              </w:rPr>
              <w:t xml:space="preserve"> </w:t>
            </w:r>
            <w:r>
              <w:rPr>
                <w:rFonts w:ascii="Times New Roman;Times;serif" w:hAnsi="Times New Roman;Times;serif"/>
                <w:sz w:val="20"/>
              </w:rPr>
              <w:t>at December 31, 2023 and 353,572,182</w:t>
            </w:r>
            <w:r>
              <w:rPr>
                <w:rFonts w:ascii="Times New Roman;Times;serif" w:hAnsi="Times New Roman;Times;serif"/>
                <w:sz w:val="24"/>
              </w:rPr>
              <w:t xml:space="preserve"> </w:t>
            </w:r>
            <w:r>
              <w:rPr>
                <w:rFonts w:ascii="Times New Roman;Times;serif" w:hAnsi="Times New Roman;Times;serif"/>
                <w:sz w:val="20"/>
              </w:rPr>
              <w:t xml:space="preserve">units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4"/>
              </w:rPr>
              <w:t xml:space="preserve"> </w:t>
            </w:r>
            <w:r>
              <w:rPr>
                <w:rFonts w:ascii="Times New Roman;Times;serif" w:hAnsi="Times New Roman;Times;serif"/>
                <w:sz w:val="20"/>
              </w:rPr>
              <w:t>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4,647</w:t>
            </w:r>
          </w:p>
        </w:tc>
      </w:tr>
      <w:tr>
        <w:trPr/>
        <w:tc>
          <w:tcPr>
            <w:tcW w:w="76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w:t>
            </w:r>
          </w:p>
        </w:tc>
        <w:tc>
          <w:tcPr>
            <w:tcW w:w="365"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76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3,208</w:t>
            </w:r>
          </w:p>
        </w:tc>
        <w:tc>
          <w:tcPr>
            <w:tcW w:w="365"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76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8,092</w:t>
            </w:r>
          </w:p>
        </w:tc>
        <w:tc>
          <w:tcPr>
            <w:tcW w:w="365"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9,260</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04" w:name="Tc_3TVpyRIp5U6knlnCycpjnA_11_8"/>
      <w:bookmarkStart w:id="2505" w:name="Tc_Xsa1UeTL4U2_nsO3_Gfp8w_11_5"/>
      <w:bookmarkStart w:id="2506" w:name="Tc_uJgWD51wlkyyyJYDRky_bg_11_2"/>
      <w:bookmarkStart w:id="2507" w:name="Tc_yDLksMFktEmzpkjMsUJcfg_10_0"/>
      <w:bookmarkStart w:id="2508" w:name="Tc_lvP02LKH3ky_okGicJuWGg_9_8"/>
      <w:bookmarkStart w:id="2509" w:name="Tc_h3zBIQQ5w0Sa5tuQrt2stQ_9_5"/>
      <w:bookmarkStart w:id="2510" w:name="Tc_LVy7J46Jlkq9ZAHm3pDUuA_9_2"/>
      <w:bookmarkStart w:id="2511" w:name="Tc_2I_VGqFNqkStSM8YJNtDRg_9_0"/>
      <w:bookmarkStart w:id="2512" w:name="Tc_hyY6hv8BBUKIvYETa6PKLQ_8_0"/>
      <w:bookmarkStart w:id="2513" w:name="Tc_tCZE2yuD_U-kN6Ly5horgg_7_8"/>
      <w:bookmarkStart w:id="2514" w:name="Tc_eJBMU_LyGUmT0nxdmhmtsg_7_5"/>
      <w:bookmarkStart w:id="2515" w:name="Tc_33hqgm0my06oyd_itfuKVQ_7_2"/>
      <w:bookmarkStart w:id="2516" w:name="Tc_5vtIxQS4PUq95lHDFsB7eQ_7_0"/>
      <w:bookmarkStart w:id="2517" w:name="Tc_T7hqQwqmN0qGmPFIuefeFA_6_0"/>
      <w:bookmarkStart w:id="2518" w:name="Tc_TCxUD3J0U06n2bot_4JOMw_5_0"/>
      <w:bookmarkStart w:id="2519" w:name="Tc_ISYBd_-K_UGxXf2rk11JVw_4_8"/>
      <w:bookmarkStart w:id="2520" w:name="Tc_3N0V70MOSEunq_x7B6e9cA_4_5"/>
      <w:bookmarkStart w:id="2521" w:name="Tc_Emac7acCWECTn5g6pDwSuQ_4_2"/>
      <w:bookmarkStart w:id="2522" w:name="Tc_8t6ClsKlt0yrVmjlaHyz_w_4_0"/>
      <w:bookmarkStart w:id="2523" w:name="Tc_EPkZcqo9hEiMZtGxk_KPGQ_3_2"/>
      <w:bookmarkStart w:id="2524" w:name="Tc_5kf7D5RAFUeKRdoRqWOtlQ_2_8"/>
      <w:bookmarkStart w:id="2525" w:name="Tc_CD-cjcVCCU2JGoMQ310Wig_2_5"/>
      <w:bookmarkStart w:id="2526" w:name="Tc_o6VnXf3ecU-mtdjQhRtSJQ_2_2"/>
      <w:bookmarkStart w:id="2527" w:name="Tc_eK8TISQ1vkeOn9OFX-aYzA_1_2"/>
      <w:bookmarkStart w:id="2528" w:name="_0ed87d04_d6b5_4b02_9b80_809588f5175b"/>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tbl>
      <w:tblPr>
        <w:tblW w:w="6460" w:type="dxa"/>
        <w:jc w:val="left"/>
        <w:tblInd w:w="0" w:type="dxa"/>
        <w:tblLayout w:type="fixed"/>
        <w:tblCellMar>
          <w:top w:w="0" w:type="dxa"/>
          <w:left w:w="0" w:type="dxa"/>
          <w:bottom w:w="0" w:type="dxa"/>
          <w:right w:w="0" w:type="dxa"/>
        </w:tblCellMar>
      </w:tblPr>
      <w:tblGrid>
        <w:gridCol w:w="3181"/>
        <w:gridCol w:w="326"/>
        <w:gridCol w:w="211"/>
        <w:gridCol w:w="541"/>
        <w:gridCol w:w="326"/>
        <w:gridCol w:w="211"/>
        <w:gridCol w:w="541"/>
        <w:gridCol w:w="326"/>
        <w:gridCol w:w="211"/>
        <w:gridCol w:w="58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019935" cy="175260"/>
                      <wp:effectExtent l="0" t="0" r="0" b="0"/>
                      <wp:wrapNone/>
                      <wp:docPr id="846" name="Frame84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07010" cy="175260"/>
                      <wp:effectExtent l="0" t="0" r="0" b="0"/>
                      <wp:wrapNone/>
                      <wp:docPr id="847" name="Frame8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133985" cy="175260"/>
                      <wp:effectExtent l="0" t="0" r="0" b="0"/>
                      <wp:wrapNone/>
                      <wp:docPr id="848" name="Frame8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343535" cy="175260"/>
                      <wp:effectExtent l="0" t="0" r="0" b="0"/>
                      <wp:wrapNone/>
                      <wp:docPr id="849" name="Frame84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207010" cy="175260"/>
                      <wp:effectExtent l="0" t="0" r="0" b="0"/>
                      <wp:wrapNone/>
                      <wp:docPr id="850" name="Frame8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133985" cy="175260"/>
                      <wp:effectExtent l="0" t="0" r="0" b="0"/>
                      <wp:wrapNone/>
                      <wp:docPr id="851" name="Frame8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343535" cy="175260"/>
                      <wp:effectExtent l="0" t="0" r="0" b="0"/>
                      <wp:wrapNone/>
                      <wp:docPr id="852" name="Frame85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207010" cy="175260"/>
                      <wp:effectExtent l="0" t="0" r="0" b="0"/>
                      <wp:wrapNone/>
                      <wp:docPr id="853" name="Frame8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133985" cy="175260"/>
                      <wp:effectExtent l="0" t="0" r="0" b="0"/>
                      <wp:wrapNone/>
                      <wp:docPr id="854" name="Frame8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372110" cy="175260"/>
                      <wp:effectExtent l="0" t="0" r="0" b="0"/>
                      <wp:wrapNone/>
                      <wp:docPr id="855" name="Frame8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64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(loss) gain of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allocated to:</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29" w:name="Tc_7hZ5oR8VB0y-wXCi-7t37A_24_9"/>
      <w:bookmarkStart w:id="2530" w:name="Tc_CX613gzC4EeqN9feEPZkww_24_8"/>
      <w:bookmarkStart w:id="2531" w:name="Tc_A0pLtfia_EC4TlN_3WyYZg_24_6"/>
      <w:bookmarkStart w:id="2532" w:name="Tc_6kzo3wEcf0Gwcbr64GUUrw_24_5"/>
      <w:bookmarkStart w:id="2533" w:name="Tc_1tsW4BnthUKqXIa578m-gg_24_3"/>
      <w:bookmarkStart w:id="2534" w:name="Tc_ZAiMfBZKOkCvriLAbkoGHg_24_2"/>
      <w:bookmarkStart w:id="2535" w:name="Tc_aAkHadgQHUGB4WHBMJSg0Q_24_0"/>
      <w:bookmarkStart w:id="2536" w:name="Tc_R5T1BYJ83keAqbq7_Ohxxg_23_9"/>
      <w:bookmarkStart w:id="2537" w:name="Tc_fv9i3way4UeSiuKfxIiM5Q_23_6"/>
      <w:bookmarkStart w:id="2538" w:name="Tc_CVHtSYB44kiG7K4JPXdwRg_23_3"/>
      <w:bookmarkStart w:id="2539" w:name="Tc_3QXmAq-SDUue18OtcKdrug_23_0"/>
      <w:bookmarkStart w:id="2540" w:name="Tc_gMyjYC-U4UKvOd8dOR9CXg_22_9"/>
      <w:bookmarkStart w:id="2541" w:name="Tc_qTxM7mCX2E-gaR4xpDPLTA_22_6"/>
      <w:bookmarkStart w:id="2542" w:name="Tc_sYf8vY-Zxk2ZR84IG0wATA_22_3"/>
      <w:bookmarkStart w:id="2543" w:name="Tc_nWKbqrlbdEyyeSvzkRvIbQ_22_0"/>
      <w:bookmarkStart w:id="2544" w:name="Tc_WcA5fS4iOE6SSfx4T3ugog_21_0"/>
      <w:bookmarkStart w:id="2545" w:name="Tc_SEk0VmX5U0ioLSsXAHaqcw_20_6"/>
      <w:bookmarkStart w:id="2546" w:name="Tc_RyMAzpVVlEW0fpM4zbEx0A_20_3"/>
      <w:bookmarkStart w:id="2547" w:name="Tc_hZEa6mEUkkiO-4BnGB4IyA_20_0"/>
      <w:bookmarkStart w:id="2548" w:name="Tc_aFUUApHNmEKidki5AxmRxA_19_9"/>
      <w:bookmarkStart w:id="2549" w:name="Tc_u5O9pA8oVUS9UJphJd1_Mg_19_6"/>
      <w:bookmarkStart w:id="2550" w:name="Tc_xjXCYISAmUy87ctL5Ht6pA_19_0"/>
      <w:bookmarkStart w:id="2551" w:name="Tc_D6DVK_ShHkurY8rdLrmSVg_18_0"/>
      <w:bookmarkStart w:id="2552" w:name="Tc_6TttfxqKV0GhsZHZcxQ4Pw_17_6"/>
      <w:bookmarkStart w:id="2553" w:name="Tc_YseqWdkkd024401OHfyi5A_17_0"/>
      <w:bookmarkStart w:id="2554" w:name="Tc_OFs5Fjtwok6pu_vrcXlHXg_16_0"/>
      <w:bookmarkStart w:id="2555" w:name="Tc_Yt9OR1V_MUiUk_xKsUvnbg_15_0"/>
      <w:bookmarkStart w:id="2556" w:name="Tc_Hv_d7nxJh0O1pYxis3QMZw_14_0"/>
      <w:bookmarkStart w:id="2557" w:name="Tc_EX_NDgdqEUic8hCKN3Kjnw_13_0"/>
      <w:bookmarkStart w:id="2558" w:name="Tc_JqbH-3pO1UmkWmGe92FIgQ_12_0"/>
      <w:bookmarkStart w:id="2559" w:name="Tc_Tprxx_bfa0ydvqDq58Z-ag_11_0"/>
      <w:bookmarkStart w:id="2560" w:name="Tc_CwP0Gg3pYEeral7V6pUOzw_10_0"/>
      <w:bookmarkStart w:id="2561" w:name="Tc_yDeXsS5zIEaYqjjP9M9h4w_9_0"/>
      <w:bookmarkStart w:id="2562" w:name="Tc_ps7tgj3YH0SchkRf03BmiQ_8_0"/>
      <w:bookmarkStart w:id="2563" w:name="Tc_rrIfyF9iK0S6Bnaa1Q8EGA_7_0"/>
      <w:bookmarkStart w:id="2564" w:name="Tc_k3tJFcr0HEKlmM8SZI7dtQ_6_0"/>
      <w:bookmarkStart w:id="2565" w:name="Tc_O1pqzQQesUyR8Hdk2kiXuw_5_8"/>
      <w:bookmarkStart w:id="2566" w:name="Tc_Y-y-epxd006Nzwe4QbrbPA_5_5"/>
      <w:bookmarkStart w:id="2567" w:name="Tc_Dwqxodu6hkqfjrTjZh8QLA_5_2"/>
      <w:bookmarkStart w:id="2568" w:name="Tc_UPWg3KrGaUGteDC4hHcdKw_5_0"/>
      <w:bookmarkStart w:id="2569" w:name="Tc_UPjawFWnL0y0VUK8_f3yWA_4_0"/>
      <w:bookmarkStart w:id="2570" w:name="Tc_ggnOhSSdfECjy7qoLH9c3g_3_2"/>
      <w:bookmarkStart w:id="2571" w:name="Tc_Mufy2InOr0-4rqXovLPIJQ_2_8"/>
      <w:bookmarkStart w:id="2572" w:name="Tc_fvlDDD6F5ky8owvFb6iceQ_2_5"/>
      <w:bookmarkStart w:id="2573" w:name="Tc_ZywltUW4q0Cd_JV3KrIcGA_2_2"/>
      <w:bookmarkStart w:id="2574" w:name="Tc_osbQLwTQy0G5vZFpc_3sXg_1_2"/>
      <w:bookmarkStart w:id="2575" w:name="_838593f5_60f5_4f3f_ab31_964c2eaaa58d"/>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tbl>
      <w:tblPr>
        <w:tblW w:w="10205" w:type="dxa"/>
        <w:jc w:val="left"/>
        <w:tblInd w:w="0" w:type="dxa"/>
        <w:tblLayout w:type="fixed"/>
        <w:tblCellMar>
          <w:top w:w="0" w:type="dxa"/>
          <w:left w:w="0" w:type="dxa"/>
          <w:bottom w:w="0" w:type="dxa"/>
          <w:right w:w="0" w:type="dxa"/>
        </w:tblCellMar>
      </w:tblPr>
      <w:tblGrid>
        <w:gridCol w:w="6663"/>
        <w:gridCol w:w="326"/>
        <w:gridCol w:w="211"/>
        <w:gridCol w:w="678"/>
        <w:gridCol w:w="326"/>
        <w:gridCol w:w="211"/>
        <w:gridCol w:w="528"/>
        <w:gridCol w:w="326"/>
        <w:gridCol w:w="211"/>
        <w:gridCol w:w="725"/>
      </w:tblGrid>
      <w:tr>
        <w:trPr/>
        <w:tc>
          <w:tcPr>
            <w:tcW w:w="6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4231005" cy="175260"/>
                      <wp:effectExtent l="0" t="0" r="0" b="0"/>
                      <wp:wrapNone/>
                      <wp:docPr id="856" name="Frame856"/>
                      <a:graphic xmlns:a="http://schemas.openxmlformats.org/drawingml/2006/main">
                        <a:graphicData uri="http://schemas.microsoft.com/office/word/2010/wordprocessingShape">
                          <wps:wsp>
                            <wps:cNvSpPr txBox="1"/>
                            <wps:spPr>
                              <a:xfrm>
                                <a:off x="0" y="0"/>
                                <a:ext cx="423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207010" cy="175260"/>
                      <wp:effectExtent l="0" t="0" r="0" b="0"/>
                      <wp:wrapNone/>
                      <wp:docPr id="857" name="Frame8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133985" cy="175260"/>
                      <wp:effectExtent l="0" t="0" r="0" b="0"/>
                      <wp:wrapNone/>
                      <wp:docPr id="858" name="Frame8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430530" cy="175260"/>
                      <wp:effectExtent l="0" t="0" r="0" b="0"/>
                      <wp:wrapNone/>
                      <wp:docPr id="859" name="Frame859"/>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207010" cy="175260"/>
                      <wp:effectExtent l="0" t="0" r="0" b="0"/>
                      <wp:wrapNone/>
                      <wp:docPr id="860" name="Frame8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133985" cy="175260"/>
                      <wp:effectExtent l="0" t="0" r="0" b="0"/>
                      <wp:wrapNone/>
                      <wp:docPr id="861" name="Frame8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335280" cy="175260"/>
                      <wp:effectExtent l="0" t="0" r="0" b="0"/>
                      <wp:wrapNone/>
                      <wp:docPr id="862" name="Frame862"/>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207010" cy="175260"/>
                      <wp:effectExtent l="0" t="0" r="0" b="0"/>
                      <wp:wrapNone/>
                      <wp:docPr id="863" name="Frame8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133985" cy="175260"/>
                      <wp:effectExtent l="0" t="0" r="0" b="0"/>
                      <wp:wrapNone/>
                      <wp:docPr id="864" name="Frame8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460375" cy="175260"/>
                      <wp:effectExtent l="0" t="0" r="0" b="0"/>
                      <wp:wrapNone/>
                      <wp:docPr id="865" name="Frame86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6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6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6"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(gain) loss of subsidiary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extinguishment of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pPr>
            <w:r>
              <w:rPr/>
              <w:t>  </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investment in and advances from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by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borrowings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issuance costs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change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6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6" w:name="Tc__v6KwBXmo0av0Ed0JeiC-w_10_5"/>
      <w:bookmarkStart w:id="2577" w:name="Tc_METbeGNELECcGqqZP2QY9A_10_2"/>
      <w:bookmarkStart w:id="2578" w:name="Tc_GsCTFlgeyEKGKxkAolUE7A_10_0"/>
      <w:bookmarkStart w:id="2579" w:name="Tc_HjuQmW9tgUqzTQWylxglTw_9_6"/>
      <w:bookmarkStart w:id="2580" w:name="Tc_TvjJLJCX6US9PGxWMFeLtw_9_0"/>
      <w:bookmarkStart w:id="2581" w:name="Tc_TX741TV1d0iG1I5Yn2GT7w_8_0"/>
      <w:bookmarkStart w:id="2582" w:name="Tc_wcEv-TpIgUSghUmTlSV0nQ_7_0"/>
      <w:bookmarkStart w:id="2583" w:name="Tc_ex2b8v_KYE2ktcwlCdtOqQ_6_0"/>
      <w:bookmarkStart w:id="2584" w:name="Tc_chPotiYhikaDL-KEvmGkRQ_5_0"/>
      <w:bookmarkStart w:id="2585" w:name="Tc_gOCrXR4izkeVQSYf3iS8EQ_4_3"/>
      <w:bookmarkStart w:id="2586" w:name="Tc_hVGTo1uTJkGnKeLoVA9M_w_4_0"/>
      <w:bookmarkStart w:id="2587" w:name="Tc_7oJk45iuiEC1BviCrThbag_3_2"/>
      <w:bookmarkStart w:id="2588" w:name="Tc_q96VABWvd0qvJf76BUWJVQ_2_5"/>
      <w:bookmarkStart w:id="2589" w:name="Tc_ShyJk3GWoEeIrRzB5iDshQ_2_2"/>
      <w:bookmarkStart w:id="2590" w:name="Tc_Rf0JNcVaYkSUBUZj37i_gw_1_2"/>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Description of Business and 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2023, Icahn Enterprises is engaged in the following continuing operating businesses: </w:t>
      </w:r>
      <w:r>
        <w:rPr>
          <w:rFonts w:ascii="Times New Roman;Times;serif" w:hAnsi="Times New Roman;Times;serif"/>
          <w:color w:val="231F20"/>
          <w:sz w:val="20"/>
        </w:rPr>
        <w:t>Investment, Energy, Automotive, Food Packaging, Real Estate, Home Fashion and Pharma</w:t>
      </w:r>
      <w:r>
        <w:rPr>
          <w:rFonts w:ascii="Times New Roman;Times;serif" w:hAnsi="Times New Roman;Times;serif"/>
          <w:sz w:val="20"/>
        </w:rPr>
        <w:t>. In addition, we operated a Metals business until sold in December 2021.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years ended December 31, 2023, 2022 and 2021, Icahn Enterprises received (paid) $629 million, $264 million and $(366) million, respectively, for net investment in and advances from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condensed financial statements of Icahn Enterprises should be read in conjunction with the consolidated financial statements and notes thereto included in Item 8 of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13, “Debt,” to the consolidated financial statements located in Item 8 of this Report. Icahn Enterprises’ Parent company debt consists of the following:</w:t>
      </w:r>
    </w:p>
    <w:p>
      <w:pPr>
        <w:pStyle w:val="TextBody"/>
        <w:bidi w:val="0"/>
        <w:spacing w:before="0" w:after="0"/>
        <w:ind w:left="0" w:right="0" w:hanging="0"/>
        <w:jc w:val="left"/>
        <w:rPr/>
      </w:pPr>
      <w:r>
        <w:rPr/>
        <w:t>​</w:t>
      </w:r>
    </w:p>
    <w:tbl>
      <w:tblPr>
        <w:tblW w:w="5772" w:type="dxa"/>
        <w:jc w:val="left"/>
        <w:tblInd w:w="0" w:type="dxa"/>
        <w:tblLayout w:type="fixed"/>
        <w:tblCellMar>
          <w:top w:w="0" w:type="dxa"/>
          <w:left w:w="0" w:type="dxa"/>
          <w:bottom w:w="0" w:type="dxa"/>
          <w:right w:w="0" w:type="dxa"/>
        </w:tblCellMar>
      </w:tblPr>
      <w:tblGrid>
        <w:gridCol w:w="3451"/>
        <w:gridCol w:w="326"/>
        <w:gridCol w:w="211"/>
        <w:gridCol w:w="571"/>
        <w:gridCol w:w="326"/>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2191385" cy="175260"/>
                      <wp:effectExtent l="0" t="0" r="0" b="0"/>
                      <wp:wrapNone/>
                      <wp:docPr id="866" name="Frame86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207010" cy="175260"/>
                      <wp:effectExtent l="0" t="0" r="0" b="0"/>
                      <wp:wrapNone/>
                      <wp:docPr id="867" name="Frame8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133985" cy="175260"/>
                      <wp:effectExtent l="0" t="0" r="0" b="0"/>
                      <wp:wrapNone/>
                      <wp:docPr id="868" name="Frame8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362585" cy="175260"/>
                      <wp:effectExtent l="0" t="0" r="0" b="0"/>
                      <wp:wrapNone/>
                      <wp:docPr id="869" name="Frame8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207010" cy="175260"/>
                      <wp:effectExtent l="0" t="0" r="0" b="0"/>
                      <wp:wrapNone/>
                      <wp:docPr id="870" name="Frame8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133985" cy="175260"/>
                      <wp:effectExtent l="0" t="0" r="0" b="0"/>
                      <wp:wrapNone/>
                      <wp:docPr id="871" name="Frame8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429260" cy="175260"/>
                      <wp:effectExtent l="0" t="0" r="0" b="0"/>
                      <wp:wrapNone/>
                      <wp:docPr id="872" name="Frame8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7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4.750% senior unsecured notes due 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6.375% senior unsecured notes due 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6.250% senior unsecured notes due 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5.250% senior unsecured notes due 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4.375% senior unsecured notes due 2029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9.750% senior unsecured notes due 2029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5,309</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2023, Icahn Enterprises issued $700 million in aggregate principal amount of 9.750% senior unsecured notes due 2029 at par. The net proceeds, together with $376 million of cash and cash equivalents on hand, was used to satisfy and discharge the outstanding 4.750% senior unsecured notes due 2024, along with any accrued interest associated with the notes and related fees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2022, Icahn Enterprises repaid all of its outstanding $500 million aggregate principal amount of 6.750% senior unsecured notes due 2024 at par.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19, “Commitments and Contingencies,” to the consolidated financial statements located in Item 8 of this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91" w:name="_2c3b0876_26b1_4bc6_8154_d165a80d18f2"/>
      <w:bookmarkEnd w:id="2591"/>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1081"/>
        <w:gridCol w:w="266"/>
        <w:gridCol w:w="8858"/>
      </w:tblGrid>
      <w:tr>
        <w:trPr/>
        <w:tc>
          <w:tcPr>
            <w:tcW w:w="108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266" w:type="dxa"/>
            <w:tcBorders/>
            <w:vAlign w:val="center"/>
          </w:tcPr>
          <w:p>
            <w:pPr>
              <w:pStyle w:val="TableContents"/>
              <w:bidi w:val="0"/>
              <w:spacing w:before="0" w:after="30"/>
              <w:ind w:left="0" w:right="0" w:hanging="0"/>
              <w:jc w:val="center"/>
              <w:rPr/>
            </w:pPr>
            <w:r>
              <w:rPr/>
              <w:t>   </w:t>
            </w:r>
          </w:p>
        </w:tc>
        <w:tc>
          <w:tcPr>
            <w:tcW w:w="885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8" w:space="0" w:color="000000"/>
            </w:tcBorders>
            <w:tcMar>
              <w:top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w:t>
            </w:r>
          </w:p>
        </w:tc>
        <w:tc>
          <w:tcPr>
            <w:tcW w:w="266" w:type="dxa"/>
            <w:tcBorders/>
            <w:vAlign w:val="center"/>
          </w:tcPr>
          <w:p>
            <w:pPr>
              <w:pStyle w:val="TableContents"/>
              <w:bidi w:val="0"/>
              <w:spacing w:before="0" w:after="0"/>
              <w:ind w:left="0" w:right="0" w:hanging="0"/>
              <w:jc w:val="left"/>
              <w:rPr/>
            </w:pPr>
            <w:r>
              <w:rPr/>
              <w:t>​</w:t>
            </w:r>
          </w:p>
        </w:tc>
        <w:tc>
          <w:tcPr>
            <w:tcW w:w="8858" w:type="dxa"/>
            <w:tcBorders>
              <w:top w:val="single" w:sz="8" w:space="0" w:color="000000"/>
            </w:tcBorders>
            <w:tcMar>
              <w:top w:w="28"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4"/>
                </w:rPr>
                <w:t>Agreement and Plan of Merger, dated as of September 6, 2016, by and among Federal Mogul Holdings Corporation, American Entertainment Properties Corp. and IEH FM Holdings LLC (incorporated by reference to Exhibit 2.1 to Icahn Enterprises’ Form 8-K (SEC File No. 1-9516), filed on September 7, 2016).</w:t>
              </w:r>
            </w:hyperlink>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Equity Asset and Purchase Agreement, dated as of December 16, 2016, by and among American Railcar Leasing LLC, American Entertainment Properties Corp., AEP Rail Corp., SMBC Rail Services LLC and Sumitomo Mitsui Banking Corporation (incorporated by reference to Exhibit 2.1 to Icahn Enterprises’ and Icahn Enterprises Holdings’ joint Form 8-K (SEC File Nos. 1-9516 and 333-118021-01, respectively), filed on December 19, 2016)</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2.3</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Membership Interest Purchase Agreement, dated April 10, 2018, by and among Tenneco Inc., Federal-Mogul LLC, American Entertainment Properties Corp., and Icahn Enterprises L.P. (incorporated by reference to Exhibit 2.1 to Icahn Enterprises’ and Icahn Enterprises Holdings’ joint Form 8-K (SEC File Nos. 1-9516 and 333-118021-01, respectively) filed April 10, 2018)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2.4</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Agreement and Plan of Merger, dated April 15, 2018, by and among Eldorado Resorts, Inc., Delta Merger Sub, Inc., GLP Capital, L.P. and Tropicana Entertainment Inc. (incorporated by reference to Exhibit 2.1 to Icahn Enterprises’ and Icahn Enterprises Holdings’ joint Form 8-K (SEC File Nos. 1-9516 and 333-118021-01, respectively) filed April 16, 2018)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2.5</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Agreement and Plan of Merger, dated as of October 22, 2018, by and between STL Parent Corp. and American Railcar Industries, Inc. (incorporated by reference to Exhibit 2.1 to Icahn Enterprises’ and Icahn Enterprises Holdings’ joint Form 8-K (SEC File Nos. 1-9516 and 333-118021-01, respectively) filed October 22, 2018)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266" w:type="dxa"/>
            <w:tcBorders/>
            <w:vAlign w:val="center"/>
          </w:tcPr>
          <w:p>
            <w:pPr>
              <w:pStyle w:val="TableContents"/>
              <w:bidi w:val="0"/>
              <w:spacing w:before="0" w:after="30"/>
              <w:ind w:left="0" w:right="0" w:hanging="0"/>
              <w:jc w:val="center"/>
              <w:rPr/>
            </w:pPr>
            <w:r>
              <w:rPr/>
              <w:t> </w:t>
            </w:r>
          </w:p>
        </w:tc>
        <w:tc>
          <w:tcPr>
            <w:tcW w:w="885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Limited Partnership of Icahn Enterprises L.P., f/k/a American Real Estate Partners, L.P. (“Icahn Enterprises”) dated February 17, 1987, as thereafter amended from time to time (incorporated by reference to Exhibit 3.1 to Icahn Enterprises’ Form 8-K (SEC File No. 1-9516), filed on September 20, 2007)</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c>
          <w:tcPr>
            <w:tcW w:w="266" w:type="dxa"/>
            <w:tcBorders/>
            <w:vAlign w:val="center"/>
          </w:tcPr>
          <w:p>
            <w:pPr>
              <w:pStyle w:val="TableContents"/>
              <w:bidi w:val="0"/>
              <w:spacing w:before="0" w:after="30"/>
              <w:ind w:left="0" w:right="0" w:hanging="0"/>
              <w:jc w:val="center"/>
              <w:rPr/>
            </w:pPr>
            <w:r>
              <w:rPr/>
              <w:t> </w:t>
            </w:r>
          </w:p>
        </w:tc>
        <w:tc>
          <w:tcPr>
            <w:tcW w:w="885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Limited Partnership of Icahn Enterprises Holdings L.P., f/k/a American Real Estate Holdings Limited Partnership (“Icahn Enterprises Holdings”), dated February 17, 1987, as amended pursuant to the First Amendment thereto, dated March 10, 1987 (incorporated by reference to Exhibit 3.5 to Icahn Enterprises’ Form 10-Q for the quarter ended March 31, 2004 (SEC File No. 1-9516), filed on May 10, 2004), as further amended pursuant to the Certificate of Amendment thereto, dated September 17, 2007 (incorporated by reference to Exhibit 3.9 to Icahn Enterprises’ Form 10-K for the year ended December 31, 2007 (SEC File No. 1-9516), filed on March 17, 2008)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Second Amended and Restated Agreement of Limited Partnership of Icahn Enterprises L.P., dated August 2, 2016 (incorporated by reference to Exhibit 3.1 to Icahn Enterprises’ and Icahn Enterprises Holdings’ joint Form 10-Q for the quarterly period ended June 30, 2016 (SEC File Nos. 1-9516 and 333-118021-01, respectively), filed on August 4, 2016)</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3.4</w:t>
            </w:r>
          </w:p>
        </w:tc>
        <w:tc>
          <w:tcPr>
            <w:tcW w:w="266" w:type="dxa"/>
            <w:tcBorders/>
            <w:vAlign w:val="center"/>
          </w:tcPr>
          <w:p>
            <w:pPr>
              <w:pStyle w:val="TableContents"/>
              <w:bidi w:val="0"/>
              <w:spacing w:before="0" w:after="30"/>
              <w:ind w:left="0" w:right="0" w:hanging="0"/>
              <w:jc w:val="center"/>
              <w:rPr/>
            </w:pPr>
            <w:r>
              <w:rPr/>
              <w:t> </w:t>
            </w:r>
          </w:p>
        </w:tc>
        <w:tc>
          <w:tcPr>
            <w:tcW w:w="8858"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Amended and Restated Agreement of Limited Partnership of Icahn Enterprises Holdings, dated as of July 1, 1987 (incorporated by reference to Exhibit 3.5 to Icahn Enterprises’ Form 10-Q for the quarter ended March 31, 2004 (SEC File No. 1-9516), filed on May 10, 2004)</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3.5</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Amendment No. 1 to the Amended and Restated Agreement of Limited Partnership of Icahn Enterprises Holdings, dated August 16, 1996 (incorporated by reference to Exhibit 10.2 to Icahn Enterprises’ Form 8-K (SEC File No. 1-9516), filed on August 16, 1996)</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3.6</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Amendment No. 2 to the Amended and Restated Agreement of Limited Partnership of Icahn Enterprises Holdings, dated June 14, 2002 (incorporated by reference to Exhibit 3.9 to Icahn Enterprises’ Form 10-K for the year ended December 31, 2002 (SEC File No. 1-9516), filed on March 31, 2003)</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3.7</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Amendment No. 3 to the Amended and Restated Agreement of Limited Partnership of Icahn Enterprises Holdings, dated June 29, 2005 (incorporated by reference to Exhibit 3.2 to Icahn Enterprises’ Form 10-Q for the quarter ended June 30, 2005 (SEC File No. 1-9516), filed on August 9, 2005)</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3.8</w:t>
            </w:r>
          </w:p>
        </w:tc>
        <w:tc>
          <w:tcPr>
            <w:tcW w:w="266" w:type="dxa"/>
            <w:tcBorders/>
            <w:vAlign w:val="center"/>
          </w:tcPr>
          <w:p>
            <w:pPr>
              <w:pStyle w:val="TableContents"/>
              <w:bidi w:val="0"/>
              <w:spacing w:before="0" w:after="0"/>
              <w:ind w:left="0" w:right="0" w:hanging="0"/>
              <w:jc w:val="left"/>
              <w:rPr/>
            </w:pPr>
            <w:r>
              <w:rPr/>
              <w:t>​</w:t>
            </w:r>
          </w:p>
        </w:tc>
        <w:tc>
          <w:tcPr>
            <w:tcW w:w="8858"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Amendment No. 4 to the Amended and Restated Agreement of Limited Partnership of Icahn Enterprises Holdings, dated September 17, 2007 (incorporated by reference to Exhibit 3.11 to Icahn Enterprises’ Form 10-K for the year ended December 31, 2007 (SEC File No. 1-9516), filed on March 17, 2008)</w:t>
              </w:r>
            </w:hyperlink>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46"/>
        <w:gridCol w:w="9578"/>
      </w:tblGrid>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30"/>
              <w:ind w:left="0" w:right="0" w:hanging="0"/>
              <w:jc w:val="center"/>
              <w:rPr/>
            </w:pPr>
            <w:r>
              <w:rPr/>
              <w:t>​</w:t>
            </w:r>
          </w:p>
        </w:tc>
        <w:tc>
          <w:tcPr>
            <w:tcW w:w="9578"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Description of securities (incorporated by reference to Exhibit 4.1 to Icahn Enterprises’ and Icahn Enterprises Holdings’ joint Form 10-K for the year ended December 31, 2019 (SEC File Nos. 1-9516 and 333-118021-01, respectively), filed on February 28, 2020)</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4.2</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Transfer Application (incorporated by reference to Exhibit 4.4 to Icahn Enterprises’ Form 10-K for the year ended December 31, 2004 (SEC File No. 1-9516), filed on March 16, 2005)</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4.3</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Specimen Depositary Receipt (incorporated by reference to Exhibit 4.3 to Icahn Enterprises’ Form 10-K for the year ended December 31, 2014 (SEC File No. 1-9516), filed on March 16, 2005)</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4.4</w:t>
            </w:r>
          </w:p>
        </w:tc>
        <w:tc>
          <w:tcPr>
            <w:tcW w:w="146" w:type="dxa"/>
            <w:tcBorders/>
            <w:vAlign w:val="center"/>
          </w:tcPr>
          <w:p>
            <w:pPr>
              <w:pStyle w:val="TableContents"/>
              <w:bidi w:val="0"/>
              <w:spacing w:before="0" w:after="0"/>
              <w:ind w:left="0" w:right="0" w:hanging="0"/>
              <w:jc w:val="left"/>
              <w:rPr/>
            </w:pPr>
            <w:r>
              <w:rPr/>
              <w:t>​</w:t>
            </w:r>
          </w:p>
        </w:tc>
        <w:tc>
          <w:tcPr>
            <w:tcW w:w="9578"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Specimen Depositary Certificate (incorporated by reference to Exhibit 4.1 to Icahn Enterprises’ Form 10-Q for the quarterly period ended June 30, 2016 (SEC File No. 1-9516), filed on August 4, 2016)</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4.5</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Specimen Certificate representing preferred units (incorporated by reference to Exhibit 4.9 to Icahn Enterprises’ Form S-3/A (SEC File No. 33-54767), filed on February 22, 1995)</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4.6</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Registration Rights Agreement between Icahn Enterprises and High Coast Limited Partnership (f/k/a X LP) (incorporated by reference to Exhibit 10.2 to Icahn Enterprises’ Form 10-K for the year ended December 31, 2004 (SEC File No. 1-9516), filed on March 16, 2005)</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Registration Rights Agreement, dated June 30, 2005 between Icahn Enterprises and Highcrest Investors Corp., Amos Corp., Cyprus, LLC and Gascon Partners (incorporated by reference to Exhibit 10.6 to Icahn Enterprises’ Form 10-Q (SEC File No. 1-9516), filed on August 9, 2005), as amended by Amendment No. 1 thereto, dated as of August 8, 2007 (incorporated by reference to Exhibit 10.5 to Icahn Enterprises’ Form 10-Q for the quarter ended June 30, 2007 (SEC File No. 1-9516), filed on August 9, 2007)</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4.8</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4"/>
                </w:rPr>
                <w:t>Amended and Restated Depositary Agreement among Icahn Enterprises, Icahn Enterprises GP and Computershare Inc., dated as of August 2, 2016 (incorporated by reference to Exhibit 4.1 to Icahn Enterprises’ Form 10-Q for the quarter ended June 30, 2023 (SEC File No. 1-9516), filed on August 4, 2023)</w:t>
              </w:r>
            </w:hyperlink>
            <w:r>
              <w:rPr>
                <w:rFonts w:ascii="Times New Roman;Times;serif" w:hAnsi="Times New Roman;Times;serif"/>
                <w:sz w:val="24"/>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Indenture, dated as of December 6, 2017, among Icahn Enterprises, Icahn Enterprises Finance, Icahn Enterprises Holdings, as Guarantor, and Wilmington Trust Company, as Trustee relating to the 6.375% Senior Notes Due 2025 incorporated by reference to Exhibit 4.1 to Icahn Enterprises’ and Icahn Enterprises Holdings’ joint Form 8-K (SEC File Nos. 1-9516 and 333-118021-01, respectively), filed on December 6, 2017)</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4.10</w:t>
            </w:r>
          </w:p>
        </w:tc>
        <w:tc>
          <w:tcPr>
            <w:tcW w:w="146" w:type="dxa"/>
            <w:tcBorders/>
            <w:vAlign w:val="center"/>
          </w:tcPr>
          <w:p>
            <w:pPr>
              <w:pStyle w:val="TableContents"/>
              <w:bidi w:val="0"/>
              <w:spacing w:before="0" w:after="0"/>
              <w:ind w:left="0" w:right="0" w:hanging="0"/>
              <w:jc w:val="left"/>
              <w:rPr/>
            </w:pPr>
            <w:r>
              <w:rPr/>
              <w:t>​</w:t>
            </w:r>
          </w:p>
        </w:tc>
        <w:tc>
          <w:tcPr>
            <w:tcW w:w="9578"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Indenture, dated as of May 10, 2019, among Icahn Enterprises, Icahn Enterprises Finance, Icahn Enterprises Holdings, as Guarantor, and Wilmington Trust Company, as Trustee relating to the 6.250% Senior Notes Due 2026 incorporated by reference to Exhibit 4.1 to Icahn Enterprises’ and Icahn Enterprises Holdings’ joint Form 8-K (SEC File Nos. 1-9516 and 333-118021-01, respectively), filed on May 10, 2019)</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4.11</w:t>
            </w:r>
          </w:p>
        </w:tc>
        <w:tc>
          <w:tcPr>
            <w:tcW w:w="146" w:type="dxa"/>
            <w:tcBorders/>
            <w:vAlign w:val="center"/>
          </w:tcPr>
          <w:p>
            <w:pPr>
              <w:pStyle w:val="TableContents"/>
              <w:bidi w:val="0"/>
              <w:spacing w:before="0" w:after="0"/>
              <w:ind w:left="0" w:right="0" w:hanging="0"/>
              <w:jc w:val="left"/>
              <w:rPr/>
            </w:pPr>
            <w:r>
              <w:rPr/>
              <w:t>​</w:t>
            </w:r>
          </w:p>
        </w:tc>
        <w:tc>
          <w:tcPr>
            <w:tcW w:w="9578"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Indenture, dated as of December 12, 2019, among Icahn Enterprises, Icahn Enterprises Finance, Icahn Enterprises Holdings, as Guarantor, and Wilmington Trust Company, as Trustee relating to the 5.250% Senior Notes Due 2027 incorporated by reference to Exhibit 4.1 to Icahn Enterprises’ and Icahn Enterprises Holdings’ joint Form 8-K (SEC File Nos. 1-9516 and 333-118021-01, respectively), filed on December 12, 2019)</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4.12</w:t>
            </w:r>
          </w:p>
        </w:tc>
        <w:tc>
          <w:tcPr>
            <w:tcW w:w="146" w:type="dxa"/>
            <w:tcBorders/>
            <w:vAlign w:val="center"/>
          </w:tcPr>
          <w:p>
            <w:pPr>
              <w:pStyle w:val="TableContents"/>
              <w:bidi w:val="0"/>
              <w:spacing w:before="0" w:after="0"/>
              <w:ind w:left="0" w:right="0" w:hanging="0"/>
              <w:jc w:val="left"/>
              <w:rPr>
                <w:shd w:fill="FFFF00" w:val="clear"/>
              </w:rPr>
            </w:pPr>
            <w:r>
              <w:rPr>
                <w:shd w:fill="FFFF00" w:val="clear"/>
              </w:rPr>
              <w:t>​</w:t>
            </w:r>
          </w:p>
        </w:tc>
        <w:tc>
          <w:tcPr>
            <w:tcW w:w="9578"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Indenture, dated as of January 19, 2021, among Icahn Enterprises, Icahn Enterprises Finance, Icahn Enterprises Holdings, as Guarantor, and Wilmington Trust Company, as Trustee relating to the 4.375% Senior Notes Due 2029 incorporated by reference to Exhibit 4.1 to Icahn Enterprises’ and Icahn Enterprises Holdings’ joint Form 8-K (SEC File Nos. 1-9516 and 333-118021-01, respectively), filed on January 19, 2021)</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4.13</w:t>
            </w:r>
          </w:p>
        </w:tc>
        <w:tc>
          <w:tcPr>
            <w:tcW w:w="146" w:type="dxa"/>
            <w:tcBorders/>
            <w:vAlign w:val="center"/>
          </w:tcPr>
          <w:p>
            <w:pPr>
              <w:pStyle w:val="TableContents"/>
              <w:bidi w:val="0"/>
              <w:spacing w:before="0" w:after="0"/>
              <w:ind w:left="0" w:right="0" w:hanging="0"/>
              <w:jc w:val="left"/>
              <w:rPr>
                <w:shd w:fill="FFFF00" w:val="clear"/>
              </w:rPr>
            </w:pPr>
            <w:r>
              <w:rPr>
                <w:shd w:fill="FFFF00" w:val="clear"/>
              </w:rPr>
              <w:t>​</w:t>
            </w:r>
          </w:p>
        </w:tc>
        <w:tc>
          <w:tcPr>
            <w:tcW w:w="9578"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Indenture, dated as of December 19, 2023, among Icahn Enterprises, Icahn Enterprises Finance, Icahn Enterprises Holdings, as Guarantor, and Wilmington Trust, National Association, as Trustee, relating to the 9.750% Senior Notes Due 2029 (incorporated by reference to Exhibit 4.1 to Icahn Enterprises’ Form 8-K (SEC File No. 1-9516), filed on December 19, 2023)</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4.14</w:t>
            </w:r>
          </w:p>
        </w:tc>
        <w:tc>
          <w:tcPr>
            <w:tcW w:w="146" w:type="dxa"/>
            <w:tcBorders/>
            <w:vAlign w:val="center"/>
          </w:tcPr>
          <w:p>
            <w:pPr>
              <w:pStyle w:val="TableContents"/>
              <w:bidi w:val="0"/>
              <w:spacing w:before="0" w:after="0"/>
              <w:ind w:left="0" w:right="0" w:hanging="0"/>
              <w:jc w:val="left"/>
              <w:rPr/>
            </w:pPr>
            <w:r>
              <w:rPr/>
              <w:t>​</w:t>
            </w:r>
          </w:p>
        </w:tc>
        <w:tc>
          <w:tcPr>
            <w:tcW w:w="9578"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Shareholders Agreement, dated as of October 1, 2018, by and among Icahn Enterprises L.P., Icahn Enterprises Holdings L.P., American Entertainment Properties Corp. and Tenneco Inc. (incorporated by reference to Exhibit 4.1 to Icahn Enterprises’ and Icahn Enterprises Holdings’ joint Form 8-K (SEC File Nos. 1-9516 and 333-118021-01, respectively) file October 2, 2018)</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Amended and Restated Agency Agreement (incorporated by reference to Exhibit 10.12 to Icahn Enterprises’ Form 10-K for the year ended December 31, 1994 (SEC File No. 1-9516), filed on March 31, 1995)</w:t>
              </w:r>
            </w:hyperlink>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46"/>
        <w:gridCol w:w="9473"/>
      </w:tblGrid>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w:t>
            </w:r>
          </w:p>
        </w:tc>
        <w:tc>
          <w:tcPr>
            <w:tcW w:w="146" w:type="dxa"/>
            <w:tcBorders/>
            <w:vAlign w:val="center"/>
          </w:tcPr>
          <w:p>
            <w:pPr>
              <w:pStyle w:val="TableContents"/>
              <w:bidi w:val="0"/>
              <w:spacing w:before="0" w:after="30"/>
              <w:ind w:left="0" w:right="0" w:hanging="0"/>
              <w:jc w:val="center"/>
              <w:rPr/>
            </w:pPr>
            <w:r>
              <w:rPr/>
              <w:t> </w:t>
            </w:r>
          </w:p>
        </w:tc>
        <w:tc>
          <w:tcPr>
            <w:tcW w:w="9473"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Undertaking, dated November 20, 1998, by Starfire Holding Corporation, for the benefit of Icahn Enterprises and its subsidiaries (incorporated by reference to Exhibit 10.42 to Icahn Enterprises’ Form 10-K for the year ended December 31, 2005 (SEC File No. 1-9516), filed on March 16, 2006)</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10.3</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Covered Affiliate and Shared Expenses Agreement by and among Icahn Enterprises, Icahn Partners LP, Icahn Fund Ltd., Icahn Fund II Ltd., Icahn Fund III Ltd., Icahn Partners Master Fund L.P., Icahn Partners Master Fund II L.P., Icahn Partners Master Fund III L.P., Icahn Cayman Partners, L.P. and Icahn Partners Master Fund II Feeder LP (incorporated by reference to Exhibit 10.4 to Icahn Enterprises’ Form 10-Q for the quarter ended June 30, 2007 (SEC File No. 1-9516), filed on August 9, 2007)</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Registration Rights Agreement, dated January 18, 2017,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January 18, 2017)</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10.5</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Registration Rights Agreement, dated December 6, 2017,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December 6, 2017)</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10.6</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Registration Rights Agreement, dated May 10, 2019,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May 10, 2019)</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10.7</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Registration Rights Agreement, dated June 27, 2019,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June 27, 2019)</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10.8</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Registration Rights Agreement, dated December 12, 2019,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December 12, 2019)</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10.9</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Registration Rights Agreement, dated January 9, 2020,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January 9, 2020)</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10.10</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Registration Rights Agreement, dated January 28, 2020,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January 28, 2020)</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10.11</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Registration Rights Agreement, dated January 19, 2021,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January 19, 2021)</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10.12</w:t>
            </w:r>
          </w:p>
        </w:tc>
        <w:tc>
          <w:tcPr>
            <w:tcW w:w="146" w:type="dxa"/>
            <w:tcBorders/>
            <w:vAlign w:val="center"/>
          </w:tcPr>
          <w:p>
            <w:pPr>
              <w:pStyle w:val="TableContents"/>
              <w:bidi w:val="0"/>
              <w:spacing w:before="0" w:after="0"/>
              <w:ind w:left="0" w:right="0" w:hanging="0"/>
              <w:jc w:val="left"/>
              <w:rPr/>
            </w:pPr>
            <w:r>
              <w:rPr/>
              <w:t>​</w:t>
            </w:r>
          </w:p>
        </w:tc>
        <w:tc>
          <w:tcPr>
            <w:tcW w:w="9473"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Registration Rights Agreement, dated December 19, 2023, among Icahn Enterprises, Icahn Enterprises Finance, Icahn Enterprises Holdings, as Guarantor, and Jefferies LLC, as the Initial Purchaser (incorporated by reference to Exhibit 10.1 to Icahn Enterprises’ Form 8-K (SEC File No. 1-9516), filed on December 19, 2023)</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10.13</w:t>
            </w:r>
          </w:p>
        </w:tc>
        <w:tc>
          <w:tcPr>
            <w:tcW w:w="146" w:type="dxa"/>
            <w:tcBorders/>
            <w:vAlign w:val="center"/>
          </w:tcPr>
          <w:p>
            <w:pPr>
              <w:pStyle w:val="TableContents"/>
              <w:bidi w:val="0"/>
              <w:spacing w:before="0" w:after="30"/>
              <w:ind w:left="0" w:right="0" w:hanging="0"/>
              <w:jc w:val="center"/>
              <w:rPr/>
            </w:pPr>
            <w:r>
              <w:rPr/>
              <w:t>​</w:t>
            </w:r>
          </w:p>
        </w:tc>
        <w:tc>
          <w:tcPr>
            <w:tcW w:w="9473"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Manager Agreement, dated October 1, 2020, among Icahn Enterprises, Icahn Capital LP, Icahn Partners Master Fund LP, Brett Icahn and Isthmus LLC (incorporated by reference to Exhibit 10.1 to Icahn Enterprises’ and Icahn Enterprises Holdings’ joint Form 8-K (SEC File Nos. 1-9516 and 333-118021-01, respectively), filed on October 1, 2020)</w:t>
              </w:r>
            </w:hyperlink>
            <w:r>
              <w:rPr>
                <w:rFonts w:ascii="Times New Roman;Times;serif" w:hAnsi="Times New Roman;Times;serif"/>
                <w:sz w:val="20"/>
              </w:rPr>
              <w:t>.</w:t>
            </w:r>
          </w:p>
        </w:tc>
      </w:tr>
      <w:tr>
        <w:trPr/>
        <w:tc>
          <w:tcPr>
            <w:tcW w:w="586"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10.14</w:t>
            </w:r>
          </w:p>
        </w:tc>
        <w:tc>
          <w:tcPr>
            <w:tcW w:w="146" w:type="dxa"/>
            <w:tcBorders/>
            <w:vAlign w:val="center"/>
          </w:tcPr>
          <w:p>
            <w:pPr>
              <w:pStyle w:val="TableContents"/>
              <w:bidi w:val="0"/>
              <w:spacing w:before="0" w:after="30"/>
              <w:ind w:left="0" w:right="0" w:hanging="0"/>
              <w:jc w:val="center"/>
              <w:rPr/>
            </w:pPr>
            <w:r>
              <w:rPr/>
              <w:t>​</w:t>
            </w:r>
          </w:p>
        </w:tc>
        <w:tc>
          <w:tcPr>
            <w:tcW w:w="9473"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4"/>
                </w:rPr>
                <w:t>Amendment No. 1 dated May 5, 2022 to the Management Agreement, dated October 1, 2020, among Icahn Enterprises, Icahn Capital LP, Brett Icahn, Isthmus LLC, Icahn Partners LP, and Icahn Partners Master Fund LP (incorporated by reference to Exhibit 10.1 to Icahn Enterprises’ Form 10-Q for the quarter ended March 31, 2022 (SEC File No. 1-9516) filed on May 6, 2022).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9"/>
        <w:gridCol w:w="146"/>
        <w:gridCol w:w="9410"/>
      </w:tblGrid>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10.15</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4"/>
                </w:rPr>
                <w:t>Guaranty, dated October 1, 2020, between American Entertainment Properties Corp. and Isthmus LLC (incorporated by reference to Exhibit 10.2 to Icahn Enterprises’ and Icahn Enterprises Holdings’ joint Form 8-K (SEC File Nos. 1-9516 and 333-118021-01, respectively), filed on October 1, 2020)</w:t>
              </w:r>
            </w:hyperlink>
            <w:r>
              <w:rPr>
                <w:rFonts w:ascii="Times New Roman;Times;serif" w:hAnsi="Times New Roman;Times;serif"/>
                <w:sz w:val="24"/>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10.16</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4"/>
                </w:rPr>
                <w:t>Restricted Unit Agreement, dated October 1, 2020, between Icahn Enterprises and Brett Icahn (incorporated by reference to Exhibit 10.3 to Icahn Enterprises’ and Icahn Enterprises Holdings’ joint Form 8-K (SEC File Nos. 1-9516 and 333-118021-01, respectively), filed on October 1, 2020)</w:t>
              </w:r>
            </w:hyperlink>
            <w:r>
              <w:rPr>
                <w:rFonts w:ascii="Times New Roman;Times;serif" w:hAnsi="Times New Roman;Times;serif"/>
                <w:sz w:val="24"/>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10.17</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4"/>
                </w:rPr>
                <w:t>Icahn Enterprises L.P. 2017 Long Term Incentive Plan (incorporated by reference to Exhibit 99.1 to Icahn Enterprises’ Form S-8 (SEC File No. 333-216934) filed on March 24, 2017).</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10.18</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4"/>
                </w:rPr>
                <w:t>Deferred Unit Agreement Pursuant to the Icahn Enterprises 2017 Long-Term Incentive Plan, dated December 9, 2021, among Icahn Enterprises and David Willetts (incorporated by reference to Exhibit 10.19 to Icahn Enterprises’ Annual Report on Form 10-K (SEC File No. 1-9516) filed on February 25, 2022).</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10.19</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4"/>
                </w:rPr>
                <w:t>Deferred Unit Agreement Pursuant to the Icahn Enterprises 2017 Long-Term Incentive Plan, dated December 9, 2021, among Icahn Enterprises and Ted Papapostolou(incorporated by reference to Exhibit 10.20 to Icahn Enterprises’ Annual Report on Form 10-K (SEC File No. 1-9516) filed on February 25, 2022).</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10.20</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4"/>
                </w:rPr>
                <w:t>Letter Agreement with David Willetts, dated December 9, 2021 (incorporated by reference to Exhibit 10.1 to Icahn Enterprises’ and Icahn Enterprises Holdings’ joint Form 8-K (SEC File Nos. 1-9516 and 333-118021-01, respectively), filed on December 13, 2021).</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10.21</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4"/>
                </w:rPr>
                <w:t>Letter Agreement with Ted Papapostolou, dated December 9, 2021 (incorporated by reference to Exhibit 10.2 to Icahn Enterprises’ and Icahn Enterprises Holdings’ joint Form 8-K (SEC File Nos. 1-9516 and 333-118021-01, respectively), filed on December 13, 2021).</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10.22</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4"/>
                </w:rPr>
                <w:t>Registration Rights Agreement, dated April 12, 2021, among Icahn Enterprises, Icahn Enterprises Finance, Icahn Enterprises Holdings, as Guarantor, and Jefferies LLC, as the Initial Purchaser (incorporated by reference to Exhibit 10.1 to Icahn Enterprises’ and Icahn Enterprises Holdings’ joint Form 8-K (SEC File Nos. 1-9516 and 333-118021-01, respectively), filed on April 12, 2021).</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10.23</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4"/>
                </w:rPr>
                <w:t>Employment Agreement with Andrew J. Teno, dated February 21, 2024 (incorporated by reference to Exhibit 10.1 to Icahn Enterprises’ Form 8-K (SEC File No. 1-9516), filed on February 21, 2024).</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10.24</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4"/>
                </w:rPr>
                <w:t>Letter Agreement, dated February 21, 2024, by and among David Willetts, The Pep Boys – Manny, Moe &amp; Jack LLC, and Pep Boys – Manny, Moe &amp; Jack of Puerto Rico, Inc. (incorporated by reference to Exhibit 10.2 to Icahn Enterprises’ Form 8-K (SEC File No. 1-9516), filed on February 21, 2024).</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14.1</w:t>
            </w:r>
          </w:p>
        </w:tc>
        <w:tc>
          <w:tcPr>
            <w:tcW w:w="146" w:type="dxa"/>
            <w:tcBorders/>
            <w:vAlign w:val="center"/>
          </w:tcPr>
          <w:p>
            <w:pPr>
              <w:pStyle w:val="TableContents"/>
              <w:bidi w:val="0"/>
              <w:spacing w:before="0" w:after="30"/>
              <w:ind w:left="0" w:right="0" w:hanging="0"/>
              <w:jc w:val="center"/>
              <w:rPr/>
            </w:pPr>
            <w:r>
              <w:rPr/>
              <w:t> </w:t>
            </w:r>
          </w:p>
        </w:tc>
        <w:tc>
          <w:tcPr>
            <w:tcW w:w="9410" w:type="dxa"/>
            <w:tcBorders/>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Code of Business Conduct and Ethics (incorporated by reference to Exhibit 14.1 to Icahn Enterprises’ Form 10-Q for the quarter ended September 30, 2012 (SEC File No. 1-9516), filed on November 7, 2012)</w:t>
              </w:r>
            </w:hyperlink>
            <w:r>
              <w:rPr>
                <w:rFonts w:ascii="Times New Roman;Times;serif" w:hAnsi="Times New Roman;Times;serif"/>
                <w:sz w:val="20"/>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21.1</w:t>
            </w:r>
          </w:p>
        </w:tc>
        <w:tc>
          <w:tcPr>
            <w:tcW w:w="146" w:type="dxa"/>
            <w:tcBorders/>
            <w:vAlign w:val="center"/>
          </w:tcPr>
          <w:p>
            <w:pPr>
              <w:pStyle w:val="TableContents"/>
              <w:bidi w:val="0"/>
              <w:spacing w:before="0" w:after="30"/>
              <w:ind w:left="0" w:right="0" w:hanging="0"/>
              <w:jc w:val="center"/>
              <w:rPr/>
            </w:pPr>
            <w:r>
              <w:rPr/>
              <w:t> </w:t>
            </w:r>
          </w:p>
        </w:tc>
        <w:tc>
          <w:tcPr>
            <w:tcW w:w="9410" w:type="dxa"/>
            <w:tcBorders/>
            <w:vAlign w:val="center"/>
          </w:tcPr>
          <w:p>
            <w:pPr>
              <w:pStyle w:val="TableContents"/>
              <w:bidi w:val="0"/>
              <w:spacing w:before="0" w:after="0"/>
              <w:ind w:left="0" w:right="0" w:hanging="0"/>
              <w:jc w:val="left"/>
              <w:rPr/>
            </w:pPr>
            <w:hyperlink w:anchor="tmb-20231231xex21d1.htm">
              <w:r>
                <w:rPr>
                  <w:rStyle w:val="InternetLink"/>
                  <w:rFonts w:ascii="Times New Roman;Times;serif" w:hAnsi="Times New Roman;Times;serif"/>
                  <w:b w:val="false"/>
                  <w:i w:val="false"/>
                  <w:caps w:val="false"/>
                  <w:smallCaps w:val="false"/>
                  <w:sz w:val="20"/>
                </w:rPr>
                <w:t>Subsidiaries of the Registrant</w:t>
              </w:r>
            </w:hyperlink>
            <w:r>
              <w:rPr>
                <w:rFonts w:ascii="Times New Roman;Times;serif" w:hAnsi="Times New Roman;Times;serif"/>
                <w:sz w:val="20"/>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22.1</w:t>
            </w:r>
          </w:p>
        </w:tc>
        <w:tc>
          <w:tcPr>
            <w:tcW w:w="146" w:type="dxa"/>
            <w:tcBorders/>
            <w:vAlign w:val="center"/>
          </w:tcPr>
          <w:p>
            <w:pPr>
              <w:pStyle w:val="TableContents"/>
              <w:bidi w:val="0"/>
              <w:spacing w:before="0" w:after="30"/>
              <w:ind w:left="0" w:right="0" w:hanging="0"/>
              <w:jc w:val="center"/>
              <w:rPr/>
            </w:pPr>
            <w:r>
              <w:rPr/>
              <w:t>​</w:t>
            </w:r>
          </w:p>
        </w:tc>
        <w:tc>
          <w:tcPr>
            <w:tcW w:w="9410" w:type="dxa"/>
            <w:tcBorders/>
            <w:vAlign w:val="center"/>
          </w:tcPr>
          <w:p>
            <w:pPr>
              <w:pStyle w:val="TableContents"/>
              <w:bidi w:val="0"/>
              <w:spacing w:before="0" w:after="0"/>
              <w:ind w:left="0" w:right="0" w:hanging="0"/>
              <w:jc w:val="left"/>
              <w:rPr/>
            </w:pPr>
            <w:hyperlink w:anchor="tmb-20231231xex22d1.htm">
              <w:r>
                <w:rPr>
                  <w:rStyle w:val="InternetLink"/>
                  <w:rFonts w:ascii="Times New Roman;Times;serif" w:hAnsi="Times New Roman;Times;serif"/>
                  <w:b w:val="false"/>
                  <w:i w:val="false"/>
                  <w:caps w:val="false"/>
                  <w:smallCaps w:val="false"/>
                  <w:sz w:val="24"/>
                </w:rPr>
                <w:t>Subsidiary guarantor.</w:t>
              </w:r>
            </w:hyperlink>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23.1</w:t>
            </w:r>
          </w:p>
        </w:tc>
        <w:tc>
          <w:tcPr>
            <w:tcW w:w="146" w:type="dxa"/>
            <w:tcBorders/>
            <w:vAlign w:val="center"/>
          </w:tcPr>
          <w:p>
            <w:pPr>
              <w:pStyle w:val="TableContents"/>
              <w:bidi w:val="0"/>
              <w:spacing w:before="0" w:after="30"/>
              <w:ind w:left="0" w:right="0" w:hanging="0"/>
              <w:jc w:val="center"/>
              <w:rPr/>
            </w:pPr>
            <w:r>
              <w:rPr/>
              <w:t> </w:t>
            </w:r>
          </w:p>
        </w:tc>
        <w:tc>
          <w:tcPr>
            <w:tcW w:w="9410" w:type="dxa"/>
            <w:tcBorders/>
            <w:vAlign w:val="center"/>
          </w:tcPr>
          <w:p>
            <w:pPr>
              <w:pStyle w:val="TableContents"/>
              <w:bidi w:val="0"/>
              <w:spacing w:before="0" w:after="0"/>
              <w:ind w:left="0" w:right="0" w:hanging="0"/>
              <w:jc w:val="left"/>
              <w:rPr/>
            </w:pPr>
            <w:hyperlink w:anchor="tmb-20231231xex23d1.htm">
              <w:r>
                <w:rPr>
                  <w:rStyle w:val="InternetLink"/>
                  <w:rFonts w:ascii="Times New Roman;Times;serif" w:hAnsi="Times New Roman;Times;serif"/>
                  <w:b w:val="false"/>
                  <w:i w:val="false"/>
                  <w:caps w:val="false"/>
                  <w:smallCaps w:val="false"/>
                  <w:sz w:val="20"/>
                </w:rPr>
                <w:t>Consent of Grant Thornton LLP</w:t>
              </w:r>
            </w:hyperlink>
            <w:r>
              <w:rPr>
                <w:rFonts w:ascii="Times New Roman;Times;serif" w:hAnsi="Times New Roman;Times;serif"/>
                <w:sz w:val="20"/>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30"/>
              <w:ind w:left="0" w:right="0" w:hanging="0"/>
              <w:jc w:val="center"/>
              <w:rPr/>
            </w:pPr>
            <w:r>
              <w:rPr/>
              <w:t> </w:t>
            </w:r>
          </w:p>
        </w:tc>
        <w:tc>
          <w:tcPr>
            <w:tcW w:w="9410" w:type="dxa"/>
            <w:tcBorders/>
            <w:vAlign w:val="center"/>
          </w:tcPr>
          <w:p>
            <w:pPr>
              <w:pStyle w:val="TableContents"/>
              <w:bidi w:val="0"/>
              <w:spacing w:before="0" w:after="0"/>
              <w:ind w:left="0" w:right="0" w:hanging="0"/>
              <w:jc w:val="left"/>
              <w:rPr/>
            </w:pPr>
            <w:hyperlink w:anchor="tmb-20231231xex31d1.htm">
              <w:r>
                <w:rPr>
                  <w:rStyle w:val="InternetLink"/>
                  <w:rFonts w:ascii="Times New Roman;Times;serif" w:hAnsi="Times New Roman;Times;serif"/>
                  <w:b w:val="false"/>
                  <w:i w:val="false"/>
                  <w:caps w:val="false"/>
                  <w:smallCaps w:val="false"/>
                  <w:sz w:val="20"/>
                </w:rPr>
                <w:t>Certification of Chief Executive Officer pursuant to Section 302(a) of the Sarbanes-Oxley Act of 2002 and Rule 13a-14(a) of the Securities Exchange Act of 1934</w:t>
              </w:r>
            </w:hyperlink>
            <w:r>
              <w:rPr>
                <w:rFonts w:ascii="Times New Roman;Times;serif" w:hAnsi="Times New Roman;Times;serif"/>
                <w:sz w:val="20"/>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30"/>
              <w:ind w:left="0" w:right="0" w:hanging="0"/>
              <w:jc w:val="center"/>
              <w:rPr/>
            </w:pPr>
            <w:r>
              <w:rPr/>
              <w:t> </w:t>
            </w:r>
          </w:p>
        </w:tc>
        <w:tc>
          <w:tcPr>
            <w:tcW w:w="9410" w:type="dxa"/>
            <w:tcBorders/>
            <w:vAlign w:val="center"/>
          </w:tcPr>
          <w:p>
            <w:pPr>
              <w:pStyle w:val="TableContents"/>
              <w:bidi w:val="0"/>
              <w:spacing w:before="0" w:after="0"/>
              <w:ind w:left="0" w:right="0" w:hanging="0"/>
              <w:jc w:val="left"/>
              <w:rPr/>
            </w:pPr>
            <w:hyperlink w:anchor="tmb-20231231xex31d2.htm">
              <w:r>
                <w:rPr>
                  <w:rStyle w:val="InternetLink"/>
                  <w:rFonts w:ascii="Times New Roman;Times;serif" w:hAnsi="Times New Roman;Times;serif"/>
                  <w:b w:val="false"/>
                  <w:i w:val="false"/>
                  <w:caps w:val="false"/>
                  <w:smallCaps w:val="false"/>
                  <w:sz w:val="20"/>
                </w:rPr>
                <w:t>Certification of Chief Financial Officer pursuant to Section 302(a) of the Sarbanes-Oxley Act of 2002 and Rule 13a-14(a) of the Securities Exchange Act of 1934</w:t>
              </w:r>
            </w:hyperlink>
            <w:r>
              <w:rPr>
                <w:rFonts w:ascii="Times New Roman;Times;serif" w:hAnsi="Times New Roman;Times;serif"/>
                <w:sz w:val="20"/>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32.1</w:t>
            </w:r>
          </w:p>
        </w:tc>
        <w:tc>
          <w:tcPr>
            <w:tcW w:w="146" w:type="dxa"/>
            <w:tcBorders/>
            <w:vAlign w:val="center"/>
          </w:tcPr>
          <w:p>
            <w:pPr>
              <w:pStyle w:val="TableContents"/>
              <w:bidi w:val="0"/>
              <w:spacing w:before="0" w:after="30"/>
              <w:ind w:left="0" w:right="0" w:hanging="0"/>
              <w:jc w:val="center"/>
              <w:rPr/>
            </w:pPr>
            <w:r>
              <w:rPr/>
              <w:t> </w:t>
            </w:r>
          </w:p>
        </w:tc>
        <w:tc>
          <w:tcPr>
            <w:tcW w:w="9410" w:type="dxa"/>
            <w:tcBorders/>
            <w:vAlign w:val="center"/>
          </w:tcPr>
          <w:p>
            <w:pPr>
              <w:pStyle w:val="TableContents"/>
              <w:bidi w:val="0"/>
              <w:spacing w:before="0" w:after="0"/>
              <w:ind w:left="0" w:right="0" w:hanging="0"/>
              <w:jc w:val="left"/>
              <w:rPr/>
            </w:pPr>
            <w:hyperlink w:anchor="tmb-20231231xex32d1.htm">
              <w:r>
                <w:rPr>
                  <w:rStyle w:val="InternetLink"/>
                  <w:rFonts w:ascii="Times New Roman;Times;serif" w:hAnsi="Times New Roman;Times;serif"/>
                  <w:b w:val="false"/>
                  <w:i w:val="false"/>
                  <w:caps w:val="false"/>
                  <w:smallCaps w:val="false"/>
                  <w:sz w:val="20"/>
                </w:rPr>
                <w:t>Certification of Chief Executive Officer and Chief Financial Officer pursuant to Section 906 of the Sarbanes-Oxley Act of 2002 (18 U.S.C. 1350) and Rule 13a-14(b) of the Securities Exchange Act of 1934</w:t>
              </w:r>
            </w:hyperlink>
            <w:r>
              <w:rPr>
                <w:rFonts w:ascii="Times New Roman;Times;serif" w:hAnsi="Times New Roman;Times;serif"/>
                <w:sz w:val="20"/>
              </w:rPr>
              <w: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97.1</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Icahn Enterprises L.P. Dodd-Frank </w:t>
            </w:r>
            <w:hyperlink w:anchor="tmb-20231231xex97d1.htm">
              <w:r>
                <w:rPr>
                  <w:rStyle w:val="InternetLink"/>
                  <w:rFonts w:ascii="Times New Roman;Times;serif" w:hAnsi="Times New Roman;Times;serif"/>
                  <w:b w:val="false"/>
                  <w:i w:val="false"/>
                  <w:caps w:val="false"/>
                  <w:smallCaps w:val="false"/>
                  <w:sz w:val="20"/>
                </w:rPr>
                <w:t>Clawback Policy</w:t>
              </w:r>
            </w:hyperlink>
            <w:r>
              <w:rPr>
                <w:rFonts w:ascii="Times New Roman;Times;serif" w:hAnsi="Times New Roman;Times;serif"/>
                <w:sz w:val="20"/>
              </w:rPr>
              <w:t>, effective as of December 1, 2023.</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9"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92" w:name="_9423e910_2eb1_4c0d_a748_760933f9432d"/>
      <w:bookmarkEnd w:id="2592"/>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4491" w:type="dxa"/>
        <w:jc w:val="left"/>
        <w:tblInd w:w="0" w:type="dxa"/>
        <w:tblLayout w:type="fixed"/>
        <w:tblCellMar>
          <w:top w:w="0" w:type="dxa"/>
          <w:left w:w="0" w:type="dxa"/>
          <w:bottom w:w="0" w:type="dxa"/>
          <w:right w:w="0" w:type="dxa"/>
        </w:tblCellMar>
      </w:tblPr>
      <w:tblGrid>
        <w:gridCol w:w="124"/>
        <w:gridCol w:w="406"/>
        <w:gridCol w:w="3961"/>
      </w:tblGrid>
      <w:tr>
        <w:trPr/>
        <w:tc>
          <w:tcPr>
            <w:tcW w:w="124" w:type="dxa"/>
            <w:tcBorders/>
            <w:vAlign w:val="center"/>
          </w:tcPr>
          <w:p>
            <w:pPr>
              <w:pStyle w:val="TableContents"/>
              <w:bidi w:val="0"/>
              <w:spacing w:before="0" w:after="0"/>
              <w:ind w:left="0" w:right="0" w:hanging="0"/>
              <w:jc w:val="left"/>
              <w:rPr/>
            </w:pPr>
            <w:r>
              <w:rPr/>
              <w:t>​</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Icahn Enterprises L.P.</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Icahn Enterprises G.P. Inc., its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Andrew Teno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February 28,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 </w:t>
      </w:r>
    </w:p>
    <w:tbl>
      <w:tblPr>
        <w:tblW w:w="8155" w:type="dxa"/>
        <w:jc w:val="left"/>
        <w:tblInd w:w="0" w:type="dxa"/>
        <w:tblLayout w:type="fixed"/>
        <w:tblCellMar>
          <w:top w:w="0" w:type="dxa"/>
          <w:left w:w="0" w:type="dxa"/>
          <w:bottom w:w="28" w:type="dxa"/>
          <w:right w:w="0" w:type="dxa"/>
        </w:tblCellMar>
      </w:tblPr>
      <w:tblGrid>
        <w:gridCol w:w="2071"/>
        <w:gridCol w:w="266"/>
        <w:gridCol w:w="3916"/>
        <w:gridCol w:w="266"/>
        <w:gridCol w:w="1636"/>
      </w:tblGrid>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9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16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Teno</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Ted Papapostolou</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Flint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Accounting Officer </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Flint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Icahn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Icahn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Nevin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Nevin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Denise Barton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A. Mongillo</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A. Mongillo</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Alvin B. Krongard</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Alvin B. Krongard</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Nancy Dunlap</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 C. Icahn</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0"/>
        <w:ind w:left="0" w:right="0" w:hanging="0"/>
        <w:jc w:val="left"/>
        <w:rPr>
          <w:rFonts w:ascii="Times New Roman;Times;serif" w:hAnsi="Times New Roman;Times;serif"/>
          <w:sz w:val="24"/>
        </w:rPr>
      </w:pPr>
      <w:bookmarkStart w:id="2593" w:name="tmb-20231231xex21d1.htm"/>
      <w:bookmarkStart w:id="2594" w:name="kstmb20231231xex21d1"/>
      <w:bookmarkEnd w:id="2593"/>
      <w:bookmarkEnd w:id="2594"/>
      <w:r>
        <w:rPr>
          <w:rFonts w:ascii="Times New Roman;Times;serif" w:hAnsi="Times New Roman;Times;serif"/>
          <w:sz w:val="24"/>
          <w:shd w:fill="FFFFFF" w:val="clear"/>
        </w:rPr>
        <w:tab/>
      </w:r>
      <w:r>
        <w:rPr>
          <w:rFonts w:ascii="Times New Roman;Times;serif" w:hAnsi="Times New Roman;Times;serif"/>
          <w:b/>
          <w:i w:val="false"/>
          <w:caps w:val="false"/>
          <w:smallCaps w:val="false"/>
          <w:sz w:val="20"/>
          <w:shd w:fill="FFFFFF" w:val="clear"/>
        </w:rPr>
        <w:t>EXHIBIT 21.1</w:t>
      </w:r>
      <w:r>
        <mc:AlternateContent>
          <mc:Choice Requires="wps">
            <w:drawing>
              <wp:anchor behindDoc="0" distT="0" distB="0" distL="0" distR="0" simplePos="0" locked="0" layoutInCell="1" allowOverlap="1" relativeHeight="874">
                <wp:simplePos x="0" y="0"/>
                <wp:positionH relativeFrom="page">
                  <wp:posOffset>0</wp:posOffset>
                </wp:positionH>
                <wp:positionV relativeFrom="line">
                  <wp:posOffset>635</wp:posOffset>
                </wp:positionV>
                <wp:extent cx="6480175" cy="175260"/>
                <wp:effectExtent l="0" t="0" r="0" b="0"/>
                <wp:wrapNone/>
                <wp:docPr id="873" name="Frame8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p>
      <w:pPr>
        <w:pStyle w:val="TextBody"/>
        <w:bidi w:val="0"/>
        <w:spacing w:before="0" w:after="0"/>
        <w:ind w:left="0" w:right="0" w:hanging="0"/>
        <w:jc w:val="center"/>
        <w:rPr/>
      </w:pPr>
      <w:r>
        <w:rPr/>
        <w:t>​</w:t>
      </w:r>
    </w:p>
    <w:tbl>
      <w:tblPr>
        <w:tblW w:w="4449" w:type="dxa"/>
        <w:jc w:val="center"/>
        <w:tblInd w:w="0" w:type="dxa"/>
        <w:tblLayout w:type="fixed"/>
        <w:tblCellMar>
          <w:top w:w="0" w:type="dxa"/>
          <w:left w:w="0" w:type="dxa"/>
          <w:bottom w:w="0" w:type="dxa"/>
          <w:right w:w="0" w:type="dxa"/>
        </w:tblCellMar>
      </w:tblPr>
      <w:tblGrid>
        <w:gridCol w:w="4186"/>
        <w:gridCol w:w="109"/>
        <w:gridCol w:w="154"/>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2658110" cy="525780"/>
                      <wp:effectExtent l="0" t="0" r="0" b="0"/>
                      <wp:wrapNone/>
                      <wp:docPr id="874" name="Frame874"/>
                      <a:graphic xmlns:a="http://schemas.openxmlformats.org/drawingml/2006/main">
                        <a:graphicData uri="http://schemas.microsoft.com/office/word/2010/wordprocessingShape">
                          <wps:wsp>
                            <wps:cNvSpPr txBox="1"/>
                            <wps:spPr>
                              <a:xfrm>
                                <a:off x="0" y="0"/>
                                <a:ext cx="265811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69215" cy="2804160"/>
                      <wp:effectExtent l="0" t="0" r="0" b="0"/>
                      <wp:wrapNone/>
                      <wp:docPr id="875" name="Frame875"/>
                      <a:graphic xmlns:a="http://schemas.openxmlformats.org/drawingml/2006/main">
                        <a:graphicData uri="http://schemas.microsoft.com/office/word/2010/wordprocessingShape">
                          <wps:wsp>
                            <wps:cNvSpPr txBox="1"/>
                            <wps:spPr>
                              <a:xfrm>
                                <a:off x="0" y="0"/>
                                <a:ext cx="69215" cy="280416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20.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97790" cy="175260"/>
                      <wp:effectExtent l="0" t="0" r="0" b="0"/>
                      <wp:wrapNone/>
                      <wp:docPr id="876" name="Frame8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2658110" cy="192405"/>
                      <wp:effectExtent l="0" t="0" r="0" b="0"/>
                      <wp:wrapNone/>
                      <wp:docPr id="877" name="Frame877"/>
                      <a:graphic xmlns:a="http://schemas.openxmlformats.org/drawingml/2006/main">
                        <a:graphicData uri="http://schemas.microsoft.com/office/word/2010/wordprocessingShape">
                          <wps:wsp>
                            <wps:cNvSpPr txBox="1"/>
                            <wps:spPr>
                              <a:xfrm>
                                <a:off x="0" y="0"/>
                                <a:ext cx="2658110"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b/>
                                      <w:sz w:val="20"/>
                                    </w:rPr>
                                  </w:pPr>
                                  <w:r>
                                    <w:rPr>
                                      <w:rFonts w:ascii="Times New Roman;Times;serif" w:hAnsi="Times New Roman;Times;serif"/>
                                      <w:b/>
                                      <w:sz w:val="20"/>
                                    </w:rPr>
                                    <w:t>Entity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b/>
                                <w:sz w:val="20"/>
                              </w:rPr>
                            </w:pPr>
                            <w:r>
                              <w:rPr>
                                <w:rFonts w:ascii="Times New Roman;Times;serif" w:hAnsi="Times New Roman;Times;serif"/>
                                <w:b/>
                                <w:sz w:val="20"/>
                              </w:rPr>
                              <w:t>Entity</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69215" cy="175260"/>
                      <wp:effectExtent l="0" t="0" r="0" b="0"/>
                      <wp:wrapNone/>
                      <wp:docPr id="878" name="Frame8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97790" cy="2809875"/>
                      <wp:effectExtent l="0" t="0" r="0" b="0"/>
                      <wp:wrapNone/>
                      <wp:docPr id="879" name="Frame879"/>
                      <a:graphic xmlns:a="http://schemas.openxmlformats.org/drawingml/2006/main">
                        <a:graphicData uri="http://schemas.microsoft.com/office/word/2010/wordprocessingShape">
                          <wps:wsp>
                            <wps:cNvSpPr txBox="1"/>
                            <wps:spPr>
                              <a:xfrm>
                                <a:off x="0" y="0"/>
                                <a:ext cx="97790" cy="280987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b/>
                                      <w:sz w:val="20"/>
                                    </w:rPr>
                                  </w:pPr>
                                  <w:r>
                                    <w:rPr>
                                      <w:rFonts w:ascii="Times New Roman;Times;serif" w:hAnsi="Times New Roman;Times;serif"/>
                                      <w:b/>
                                      <w:sz w:val="20"/>
                                    </w:rPr>
                                    <w:t>Jurisdiction of Formation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21.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b/>
                                <w:sz w:val="20"/>
                              </w:rPr>
                            </w:pPr>
                            <w:r>
                              <w:rPr>
                                <w:rFonts w:ascii="Times New Roman;Times;serif" w:hAnsi="Times New Roman;Times;serif"/>
                                <w:b/>
                                <w:sz w:val="20"/>
                              </w:rPr>
                              <w:t>Jurisdiction of Formation</w:t>
                            </w:r>
                          </w:p>
                        </w:txbxContent>
                      </v:textbox>
                      <w10:wrap type="none"/>
                    </v:rect>
                  </w:pict>
                </mc:Fallback>
              </mc:AlternateContent>
            </w:r>
          </w:p>
        </w:tc>
      </w:tr>
      <w:tr>
        <w:trPr/>
        <w:tc>
          <w:tcPr>
            <w:tcW w:w="4186" w:type="dxa"/>
            <w:tcBorders>
              <w:top w:val="single" w:sz="8" w:space="0" w:color="000000"/>
            </w:tcBorders>
            <w:tcMar>
              <w:top w:w="28" w:type="dxa"/>
            </w:tcMar>
            <w:vAlign w:val="center"/>
          </w:tcPr>
          <w:p>
            <w:pPr>
              <w:pStyle w:val="TableContents"/>
              <w:bidi w:val="0"/>
              <w:spacing w:lineRule="auto" w:line="249" w:before="55" w:after="30"/>
              <w:ind w:left="0" w:right="0" w:hanging="0"/>
              <w:jc w:val="left"/>
              <w:rPr>
                <w:rFonts w:ascii="Times New Roman;Times;serif" w:hAnsi="Times New Roman;Times;serif"/>
                <w:sz w:val="20"/>
              </w:rPr>
            </w:pPr>
            <w:r>
              <w:rPr>
                <w:rFonts w:ascii="Times New Roman;Times;serif" w:hAnsi="Times New Roman;Times;serif"/>
                <w:sz w:val="20"/>
              </w:rPr>
              <w:t>Icahn Enterprises Holdings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69215" cy="175260"/>
                      <wp:effectExtent l="0" t="0" r="0" b="0"/>
                      <wp:wrapNone/>
                      <wp:docPr id="880" name="Frame8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97790" cy="1052195"/>
                      <wp:effectExtent l="0" t="0" r="0" b="0"/>
                      <wp:wrapNone/>
                      <wp:docPr id="881" name="Frame881"/>
                      <a:graphic xmlns:a="http://schemas.openxmlformats.org/drawingml/2006/main">
                        <a:graphicData uri="http://schemas.microsoft.com/office/word/2010/wordprocessingShape">
                          <wps:wsp>
                            <wps:cNvSpPr txBox="1"/>
                            <wps:spPr>
                              <a:xfrm>
                                <a:off x="0" y="0"/>
                                <a:ext cx="97790" cy="1052195"/>
                              </a:xfrm>
                              <a:prstGeom prst="rect"/>
                              <a:solidFill>
                                <a:srgbClr val="FFFFFF"/>
                              </a:solidFill>
                            </wps:spPr>
                            <wps:txbx>
                              <w:txbxContent>
                                <w:p>
                                  <w:pPr>
                                    <w:pStyle w:val="TableContents"/>
                                    <w:bidi w:val="0"/>
                                    <w:spacing w:lineRule="auto" w:line="237" w:before="5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5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American Entertainment Properties Corp.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69215" cy="220980"/>
                      <wp:effectExtent l="0" t="0" r="0" b="0"/>
                      <wp:wrapNone/>
                      <wp:docPr id="882" name="Frame88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97790" cy="1064895"/>
                      <wp:effectExtent l="0" t="0" r="0" b="0"/>
                      <wp:wrapNone/>
                      <wp:docPr id="883" name="Frame88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Real Estate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69215" cy="220980"/>
                      <wp:effectExtent l="0" t="0" r="0" b="0"/>
                      <wp:wrapNone/>
                      <wp:docPr id="884" name="Frame88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97790" cy="1064895"/>
                      <wp:effectExtent l="0" t="0" r="0" b="0"/>
                      <wp:wrapNone/>
                      <wp:docPr id="885" name="Frame88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CCR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69215" cy="220980"/>
                      <wp:effectExtent l="0" t="0" r="0" b="0"/>
                      <wp:wrapNone/>
                      <wp:docPr id="886" name="Frame88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97790" cy="1064895"/>
                      <wp:effectExtent l="0" t="0" r="0" b="0"/>
                      <wp:wrapNone/>
                      <wp:docPr id="887" name="Frame88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Pinewild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69215" cy="220980"/>
                      <wp:effectExtent l="0" t="0" r="0" b="0"/>
                      <wp:wrapNone/>
                      <wp:docPr id="888" name="Frame88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97790" cy="1064895"/>
                      <wp:effectExtent l="0" t="0" r="0" b="0"/>
                      <wp:wrapNone/>
                      <wp:docPr id="889" name="Frame88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PLC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69215" cy="220980"/>
                      <wp:effectExtent l="0" t="0" r="0" b="0"/>
                      <wp:wrapNone/>
                      <wp:docPr id="890" name="Frame89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97790" cy="1064895"/>
                      <wp:effectExtent l="0" t="0" r="0" b="0"/>
                      <wp:wrapNone/>
                      <wp:docPr id="891" name="Frame89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Net Lease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69215" cy="220980"/>
                      <wp:effectExtent l="0" t="0" r="0" b="0"/>
                      <wp:wrapNone/>
                      <wp:docPr id="892" name="Frame89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97790" cy="1064895"/>
                      <wp:effectExtent l="0" t="0" r="0" b="0"/>
                      <wp:wrapNone/>
                      <wp:docPr id="893" name="Frame89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69215" cy="220980"/>
                      <wp:effectExtent l="0" t="0" r="0" b="0"/>
                      <wp:wrapNone/>
                      <wp:docPr id="894" name="Frame89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97790" cy="1064895"/>
                      <wp:effectExtent l="0" t="0" r="0" b="0"/>
                      <wp:wrapNone/>
                      <wp:docPr id="895" name="Frame89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Operating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69215" cy="220980"/>
                      <wp:effectExtent l="0" t="0" r="0" b="0"/>
                      <wp:wrapNone/>
                      <wp:docPr id="896" name="Frame89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97790" cy="1064895"/>
                      <wp:effectExtent l="0" t="0" r="0" b="0"/>
                      <wp:wrapNone/>
                      <wp:docPr id="897" name="Frame89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Properties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69215" cy="220980"/>
                      <wp:effectExtent l="0" t="0" r="0" b="0"/>
                      <wp:wrapNone/>
                      <wp:docPr id="898" name="Frame89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97790" cy="1064895"/>
                      <wp:effectExtent l="0" t="0" r="0" b="0"/>
                      <wp:wrapNone/>
                      <wp:docPr id="899" name="Frame89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69215" cy="220980"/>
                      <wp:effectExtent l="0" t="0" r="0" b="0"/>
                      <wp:wrapNone/>
                      <wp:docPr id="900" name="Frame90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97790" cy="1064895"/>
                      <wp:effectExtent l="0" t="0" r="0" b="0"/>
                      <wp:wrapNone/>
                      <wp:docPr id="901" name="Frame90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HRC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69215" cy="220980"/>
                      <wp:effectExtent l="0" t="0" r="0" b="0"/>
                      <wp:wrapNone/>
                      <wp:docPr id="902" name="Frame90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97790" cy="1064895"/>
                      <wp:effectExtent l="0" t="0" r="0" b="0"/>
                      <wp:wrapNone/>
                      <wp:docPr id="903" name="Frame90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Homes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69215" cy="220980"/>
                      <wp:effectExtent l="0" t="0" r="0" b="0"/>
                      <wp:wrapNone/>
                      <wp:docPr id="904" name="Frame90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97790" cy="1064895"/>
                      <wp:effectExtent l="0" t="0" r="0" b="0"/>
                      <wp:wrapNone/>
                      <wp:docPr id="905" name="Frame90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Home Properties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69215" cy="220980"/>
                      <wp:effectExtent l="0" t="0" r="0" b="0"/>
                      <wp:wrapNone/>
                      <wp:docPr id="906" name="Frame90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97790" cy="1064895"/>
                      <wp:effectExtent l="0" t="0" r="0" b="0"/>
                      <wp:wrapNone/>
                      <wp:docPr id="907" name="Frame90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Club Resort Properties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69215" cy="220980"/>
                      <wp:effectExtent l="0" t="0" r="0" b="0"/>
                      <wp:wrapNone/>
                      <wp:docPr id="908" name="Frame90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97790" cy="1064895"/>
                      <wp:effectExtent l="0" t="0" r="0" b="0"/>
                      <wp:wrapNone/>
                      <wp:docPr id="909" name="Frame90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Homes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69215" cy="220980"/>
                      <wp:effectExtent l="0" t="0" r="0" b="0"/>
                      <wp:wrapNone/>
                      <wp:docPr id="910" name="Frame91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97790" cy="1064895"/>
                      <wp:effectExtent l="0" t="0" r="0" b="0"/>
                      <wp:wrapNone/>
                      <wp:docPr id="911" name="Frame91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Utility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69215" cy="220980"/>
                      <wp:effectExtent l="0" t="0" r="0" b="0"/>
                      <wp:wrapNone/>
                      <wp:docPr id="912" name="Frame91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97790" cy="1064895"/>
                      <wp:effectExtent l="0" t="0" r="0" b="0"/>
                      <wp:wrapNone/>
                      <wp:docPr id="913" name="Frame91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AREP Florida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69215" cy="220980"/>
                      <wp:effectExtent l="0" t="0" r="0" b="0"/>
                      <wp:wrapNone/>
                      <wp:docPr id="914" name="Frame91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97790" cy="1064895"/>
                      <wp:effectExtent l="0" t="0" r="0" b="0"/>
                      <wp:wrapNone/>
                      <wp:docPr id="915" name="Frame91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AREP KH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69215" cy="220980"/>
                      <wp:effectExtent l="0" t="0" r="0" b="0"/>
                      <wp:wrapNone/>
                      <wp:docPr id="916" name="Frame91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97790" cy="1064895"/>
                      <wp:effectExtent l="0" t="0" r="0" b="0"/>
                      <wp:wrapNone/>
                      <wp:docPr id="917" name="Frame91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AREP New York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69215" cy="220980"/>
                      <wp:effectExtent l="0" t="0" r="0" b="0"/>
                      <wp:wrapNone/>
                      <wp:docPr id="918" name="Frame91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97790" cy="1064895"/>
                      <wp:effectExtent l="0" t="0" r="0" b="0"/>
                      <wp:wrapNone/>
                      <wp:docPr id="919" name="Frame91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AREP Real Estate Holdings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69215" cy="220980"/>
                      <wp:effectExtent l="0" t="0" r="0" b="0"/>
                      <wp:wrapNone/>
                      <wp:docPr id="920" name="Frame92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97790" cy="1064895"/>
                      <wp:effectExtent l="0" t="0" r="0" b="0"/>
                      <wp:wrapNone/>
                      <wp:docPr id="921" name="Frame92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Cottages at New Seabury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69215" cy="220980"/>
                      <wp:effectExtent l="0" t="0" r="0" b="0"/>
                      <wp:wrapNone/>
                      <wp:docPr id="922" name="Frame92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97790" cy="1064895"/>
                      <wp:effectExtent l="0" t="0" r="0" b="0"/>
                      <wp:wrapNone/>
                      <wp:docPr id="923" name="Frame92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Atlantic Coast Entertainment Holdings,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69215" cy="220980"/>
                      <wp:effectExtent l="0" t="0" r="0" b="0"/>
                      <wp:wrapNone/>
                      <wp:docPr id="924" name="Frame92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97790" cy="1304925"/>
                      <wp:effectExtent l="0" t="0" r="0" b="0"/>
                      <wp:wrapNone/>
                      <wp:docPr id="925" name="Frame925"/>
                      <a:graphic xmlns:a="http://schemas.openxmlformats.org/drawingml/2006/main">
                        <a:graphicData uri="http://schemas.microsoft.com/office/word/2010/wordprocessingShape">
                          <wps:wsp>
                            <wps:cNvSpPr txBox="1"/>
                            <wps:spPr>
                              <a:xfrm>
                                <a:off x="0" y="0"/>
                                <a:ext cx="97790" cy="130492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p>
                                  <w:pPr>
                                    <w:pStyle w:val="TableContents"/>
                                    <w:bidi w:val="0"/>
                                    <w:spacing w:lineRule="auto" w:line="237" w:before="75"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0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p>
                            <w:pPr>
                              <w:pStyle w:val="TableContents"/>
                              <w:bidi w:val="0"/>
                              <w:spacing w:lineRule="auto" w:line="237" w:before="75" w:after="30"/>
                              <w:ind w:left="0" w:right="0" w:hanging="0"/>
                              <w:jc w:val="center"/>
                              <w:rPr/>
                            </w:pPr>
                            <w:r>
                              <w:rPr/>
                              <w:t>​</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Development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69215" cy="220980"/>
                      <wp:effectExtent l="0" t="0" r="0" b="0"/>
                      <wp:wrapNone/>
                      <wp:docPr id="926" name="Frame92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97790" cy="1064895"/>
                      <wp:effectExtent l="0" t="0" r="0" b="0"/>
                      <wp:wrapNone/>
                      <wp:docPr id="927" name="Frame92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Falling Waters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69215" cy="220980"/>
                      <wp:effectExtent l="0" t="0" r="0" b="0"/>
                      <wp:wrapNone/>
                      <wp:docPr id="928" name="Frame92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97790" cy="1064895"/>
                      <wp:effectExtent l="0" t="0" r="0" b="0"/>
                      <wp:wrapNone/>
                      <wp:docPr id="929" name="Frame92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Flat Pond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69215" cy="220980"/>
                      <wp:effectExtent l="0" t="0" r="0" b="0"/>
                      <wp:wrapNone/>
                      <wp:docPr id="930" name="Frame93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97790" cy="1064895"/>
                      <wp:effectExtent l="0" t="0" r="0" b="0"/>
                      <wp:wrapNone/>
                      <wp:docPr id="931" name="Frame93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Hammond Ridge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69215" cy="220980"/>
                      <wp:effectExtent l="0" t="0" r="0" b="0"/>
                      <wp:wrapNone/>
                      <wp:docPr id="932" name="Frame93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97790" cy="1064895"/>
                      <wp:effectExtent l="0" t="0" r="0" b="0"/>
                      <wp:wrapNone/>
                      <wp:docPr id="933" name="Frame93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Pondview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69215" cy="220980"/>
                      <wp:effectExtent l="0" t="0" r="0" b="0"/>
                      <wp:wrapNone/>
                      <wp:docPr id="934" name="Frame93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97790" cy="1064895"/>
                      <wp:effectExtent l="0" t="0" r="0" b="0"/>
                      <wp:wrapNone/>
                      <wp:docPr id="935" name="Frame93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Seaside II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69215" cy="220980"/>
                      <wp:effectExtent l="0" t="0" r="0" b="0"/>
                      <wp:wrapNone/>
                      <wp:docPr id="936" name="Frame93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97790" cy="1064895"/>
                      <wp:effectExtent l="0" t="0" r="0" b="0"/>
                      <wp:wrapNone/>
                      <wp:docPr id="937" name="Frame93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GH Vero Beach Development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69215" cy="220980"/>
                      <wp:effectExtent l="0" t="0" r="0" b="0"/>
                      <wp:wrapNone/>
                      <wp:docPr id="938" name="Frame93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97790" cy="1064895"/>
                      <wp:effectExtent l="0" t="0" r="0" b="0"/>
                      <wp:wrapNone/>
                      <wp:docPr id="939" name="Frame93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GH Vero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69215" cy="220980"/>
                      <wp:effectExtent l="0" t="0" r="0" b="0"/>
                      <wp:wrapNone/>
                      <wp:docPr id="940" name="Frame94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97790" cy="1064895"/>
                      <wp:effectExtent l="0" t="0" r="0" b="0"/>
                      <wp:wrapNone/>
                      <wp:docPr id="941" name="Frame94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Grand Harbor Golf Club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69215" cy="220980"/>
                      <wp:effectExtent l="0" t="0" r="0" b="0"/>
                      <wp:wrapNone/>
                      <wp:docPr id="942" name="Frame94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97790" cy="1064895"/>
                      <wp:effectExtent l="0" t="0" r="0" b="0"/>
                      <wp:wrapNone/>
                      <wp:docPr id="943" name="Frame94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Grand Harbor North Land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69215" cy="220980"/>
                      <wp:effectExtent l="0" t="0" r="0" b="0"/>
                      <wp:wrapNone/>
                      <wp:docPr id="944" name="Frame94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97790" cy="1064895"/>
                      <wp:effectExtent l="0" t="0" r="0" b="0"/>
                      <wp:wrapNone/>
                      <wp:docPr id="945" name="Frame94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Automotive Service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69215" cy="220980"/>
                      <wp:effectExtent l="0" t="0" r="0" b="0"/>
                      <wp:wrapNone/>
                      <wp:docPr id="946" name="Frame94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97790" cy="1064895"/>
                      <wp:effectExtent l="0" t="0" r="0" b="0"/>
                      <wp:wrapNone/>
                      <wp:docPr id="947" name="Frame94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Automotive Group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69215" cy="220980"/>
                      <wp:effectExtent l="0" t="0" r="0" b="0"/>
                      <wp:wrapNone/>
                      <wp:docPr id="948" name="Frame94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97790" cy="1064895"/>
                      <wp:effectExtent l="0" t="0" r="0" b="0"/>
                      <wp:wrapNone/>
                      <wp:docPr id="949" name="Frame949"/>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767 Auto Leasing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69215" cy="220980"/>
                      <wp:effectExtent l="0" t="0" r="0" b="0"/>
                      <wp:wrapNone/>
                      <wp:docPr id="950" name="Frame95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97790" cy="1064895"/>
                      <wp:effectExtent l="0" t="0" r="0" b="0"/>
                      <wp:wrapNone/>
                      <wp:docPr id="951" name="Frame951"/>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Enterprises Onshore/Offshore Investors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69215" cy="220980"/>
                      <wp:effectExtent l="0" t="0" r="0" b="0"/>
                      <wp:wrapNone/>
                      <wp:docPr id="952" name="Frame95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97790" cy="1064895"/>
                      <wp:effectExtent l="0" t="0" r="0" b="0"/>
                      <wp:wrapNone/>
                      <wp:docPr id="953" name="Frame95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Strategy Holding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69215" cy="220980"/>
                      <wp:effectExtent l="0" t="0" r="0" b="0"/>
                      <wp:wrapNone/>
                      <wp:docPr id="954" name="Frame95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97790" cy="1010920"/>
                      <wp:effectExtent l="0" t="0" r="0" b="0"/>
                      <wp:wrapNone/>
                      <wp:docPr id="955" name="Frame955"/>
                      <a:graphic xmlns:a="http://schemas.openxmlformats.org/drawingml/2006/main">
                        <a:graphicData uri="http://schemas.microsoft.com/office/word/2010/wordprocessingShape">
                          <wps:wsp>
                            <wps:cNvSpPr txBox="1"/>
                            <wps:spPr>
                              <a:xfrm>
                                <a:off x="0" y="0"/>
                                <a:ext cx="97790" cy="101092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BioPharma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69215" cy="220980"/>
                      <wp:effectExtent l="0" t="0" r="0" b="0"/>
                      <wp:wrapNone/>
                      <wp:docPr id="956" name="Frame95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97790" cy="799465"/>
                      <wp:effectExtent l="0" t="0" r="0" b="0"/>
                      <wp:wrapNone/>
                      <wp:docPr id="957" name="Frame957"/>
                      <a:graphic xmlns:a="http://schemas.openxmlformats.org/drawingml/2006/main">
                        <a:graphicData uri="http://schemas.microsoft.com/office/word/2010/wordprocessingShape">
                          <wps:wsp>
                            <wps:cNvSpPr txBox="1"/>
                            <wps:spPr>
                              <a:xfrm>
                                <a:off x="0" y="0"/>
                                <a:ext cx="97790" cy="7994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Loop Road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69215" cy="220980"/>
                      <wp:effectExtent l="0" t="0" r="0" b="0"/>
                      <wp:wrapNone/>
                      <wp:docPr id="958" name="Frame95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97790" cy="588010"/>
                      <wp:effectExtent l="0" t="0" r="0" b="0"/>
                      <wp:wrapNone/>
                      <wp:docPr id="959" name="Frame959"/>
                      <a:graphic xmlns:a="http://schemas.openxmlformats.org/drawingml/2006/main">
                        <a:graphicData uri="http://schemas.microsoft.com/office/word/2010/wordprocessingShape">
                          <wps:wsp>
                            <wps:cNvSpPr txBox="1"/>
                            <wps:spPr>
                              <a:xfrm>
                                <a:off x="0" y="0"/>
                                <a:ext cx="97790" cy="5880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6.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Sherman Drive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69215" cy="220980"/>
                      <wp:effectExtent l="0" t="0" r="0" b="0"/>
                      <wp:wrapNone/>
                      <wp:docPr id="960" name="Frame96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97790" cy="376555"/>
                      <wp:effectExtent l="0" t="0" r="0" b="0"/>
                      <wp:wrapNone/>
                      <wp:docPr id="961" name="Frame961"/>
                      <a:graphic xmlns:a="http://schemas.openxmlformats.org/drawingml/2006/main">
                        <a:graphicData uri="http://schemas.microsoft.com/office/word/2010/wordprocessingShape">
                          <wps:wsp>
                            <wps:cNvSpPr txBox="1"/>
                            <wps:spPr>
                              <a:xfrm>
                                <a:off x="0" y="0"/>
                                <a:ext cx="97790" cy="37655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FMGI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69215" cy="220980"/>
                      <wp:effectExtent l="0" t="0" r="0" b="0"/>
                      <wp:wrapNone/>
                      <wp:docPr id="962" name="Frame96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97790" cy="1064895"/>
                      <wp:effectExtent l="0" t="0" r="0" b="0"/>
                      <wp:wrapNone/>
                      <wp:docPr id="963" name="Frame963"/>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Holdco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69215" cy="220980"/>
                      <wp:effectExtent l="0" t="0" r="0" b="0"/>
                      <wp:wrapNone/>
                      <wp:docPr id="964" name="Frame96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97790" cy="1064895"/>
                      <wp:effectExtent l="0" t="0" r="0" b="0"/>
                      <wp:wrapNone/>
                      <wp:docPr id="965" name="Frame965"/>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Energy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69215" cy="220980"/>
                      <wp:effectExtent l="0" t="0" r="0" b="0"/>
                      <wp:wrapNone/>
                      <wp:docPr id="966" name="Frame96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97790" cy="1064895"/>
                      <wp:effectExtent l="0" t="0" r="0" b="0"/>
                      <wp:wrapNone/>
                      <wp:docPr id="967" name="Frame967"/>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HorizontalLine"/>
        <w:pBdr>
          <w:bottom w:val="double" w:sz="2" w:space="0" w:color="808080"/>
        </w:pBdr>
        <w:bidi w:val="0"/>
        <w:spacing w:before="0" w:after="283"/>
        <w:jc w:val="left"/>
        <w:rPr/>
      </w:pPr>
      <w:r>
        <w:rPr/>
      </w:r>
    </w:p>
    <w:tbl>
      <w:tblPr>
        <w:tblW w:w="7074" w:type="dxa"/>
        <w:jc w:val="center"/>
        <w:tblInd w:w="0" w:type="dxa"/>
        <w:tblLayout w:type="fixed"/>
        <w:tblCellMar>
          <w:top w:w="0" w:type="dxa"/>
          <w:left w:w="0" w:type="dxa"/>
          <w:bottom w:w="0" w:type="dxa"/>
          <w:right w:w="0" w:type="dxa"/>
        </w:tblCellMar>
      </w:tblPr>
      <w:tblGrid>
        <w:gridCol w:w="6811"/>
        <w:gridCol w:w="109"/>
        <w:gridCol w:w="154"/>
      </w:tblGrid>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Ferrous Brazil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69215" cy="220980"/>
                      <wp:effectExtent l="0" t="0" r="0" b="0"/>
                      <wp:wrapNone/>
                      <wp:docPr id="968" name="Frame96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98425" cy="1064895"/>
                      <wp:effectExtent l="0" t="0" r="0" b="0"/>
                      <wp:wrapNone/>
                      <wp:docPr id="969" name="Frame96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Ferrous Brazil Sub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69215" cy="220980"/>
                      <wp:effectExtent l="0" t="0" r="0" b="0"/>
                      <wp:wrapNone/>
                      <wp:docPr id="970" name="Frame97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98425" cy="1064895"/>
                      <wp:effectExtent l="0" t="0" r="0" b="0"/>
                      <wp:wrapNone/>
                      <wp:docPr id="971" name="Frame97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AC Holdings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69215" cy="220980"/>
                      <wp:effectExtent l="0" t="0" r="0" b="0"/>
                      <wp:wrapNone/>
                      <wp:docPr id="972" name="Frame97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98425" cy="1064895"/>
                      <wp:effectExtent l="0" t="0" r="0" b="0"/>
                      <wp:wrapNone/>
                      <wp:docPr id="973" name="Frame97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AC Plaza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69215" cy="220980"/>
                      <wp:effectExtent l="0" t="0" r="0" b="0"/>
                      <wp:wrapNone/>
                      <wp:docPr id="974" name="Frame97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98425" cy="1210310"/>
                      <wp:effectExtent l="0" t="0" r="0" b="0"/>
                      <wp:wrapNone/>
                      <wp:docPr id="975" name="Frame975"/>
                      <a:graphic xmlns:a="http://schemas.openxmlformats.org/drawingml/2006/main">
                        <a:graphicData uri="http://schemas.microsoft.com/office/word/2010/wordprocessingShape">
                          <wps:wsp>
                            <wps:cNvSpPr txBox="1"/>
                            <wps:spPr>
                              <a:xfrm>
                                <a:off x="0" y="0"/>
                                <a:ext cx="98425" cy="12103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9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Atlanta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69215" cy="220980"/>
                      <wp:effectExtent l="0" t="0" r="0" b="0"/>
                      <wp:wrapNone/>
                      <wp:docPr id="976" name="Frame97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98425" cy="1064895"/>
                      <wp:effectExtent l="0" t="0" r="0" b="0"/>
                      <wp:wrapNone/>
                      <wp:docPr id="977" name="Frame97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Chester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69215" cy="220980"/>
                      <wp:effectExtent l="0" t="0" r="0" b="0"/>
                      <wp:wrapNone/>
                      <wp:docPr id="978" name="Frame97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98425" cy="1064895"/>
                      <wp:effectExtent l="0" t="0" r="0" b="0"/>
                      <wp:wrapNone/>
                      <wp:docPr id="979" name="Frame97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TERH LP,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69215" cy="220980"/>
                      <wp:effectExtent l="0" t="0" r="0" b="0"/>
                      <wp:wrapNone/>
                      <wp:docPr id="980" name="Frame98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98425" cy="1064895"/>
                      <wp:effectExtent l="0" t="0" r="0" b="0"/>
                      <wp:wrapNone/>
                      <wp:docPr id="981" name="Frame98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TTM Associates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69215" cy="220980"/>
                      <wp:effectExtent l="0" t="0" r="0" b="0"/>
                      <wp:wrapNone/>
                      <wp:docPr id="982" name="Frame98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98425" cy="1210310"/>
                      <wp:effectExtent l="0" t="0" r="0" b="0"/>
                      <wp:wrapNone/>
                      <wp:docPr id="983" name="Frame983"/>
                      <a:graphic xmlns:a="http://schemas.openxmlformats.org/drawingml/2006/main">
                        <a:graphicData uri="http://schemas.microsoft.com/office/word/2010/wordprocessingShape">
                          <wps:wsp>
                            <wps:cNvSpPr txBox="1"/>
                            <wps:spPr>
                              <a:xfrm>
                                <a:off x="0" y="0"/>
                                <a:ext cx="98425" cy="12103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9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TER Holdings I, Inc. f/k/a Trump Entertainment Resorts,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69215" cy="220980"/>
                      <wp:effectExtent l="0" t="0" r="0" b="0"/>
                      <wp:wrapNone/>
                      <wp:docPr id="984" name="Frame98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98425" cy="1064895"/>
                      <wp:effectExtent l="0" t="0" r="0" b="0"/>
                      <wp:wrapNone/>
                      <wp:docPr id="985" name="Frame98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Indianapolis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69215" cy="220980"/>
                      <wp:effectExtent l="0" t="0" r="0" b="0"/>
                      <wp:wrapNone/>
                      <wp:docPr id="986" name="Frame98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98425" cy="1064895"/>
                      <wp:effectExtent l="0" t="0" r="0" b="0"/>
                      <wp:wrapNone/>
                      <wp:docPr id="987" name="Frame98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Mesquite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69215" cy="220980"/>
                      <wp:effectExtent l="0" t="0" r="0" b="0"/>
                      <wp:wrapNone/>
                      <wp:docPr id="988" name="Frame98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98425" cy="1064895"/>
                      <wp:effectExtent l="0" t="0" r="0" b="0"/>
                      <wp:wrapNone/>
                      <wp:docPr id="989" name="Frame98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Peachtree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69215" cy="220980"/>
                      <wp:effectExtent l="0" t="0" r="0" b="0"/>
                      <wp:wrapNone/>
                      <wp:docPr id="990" name="Frame99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98425" cy="1064895"/>
                      <wp:effectExtent l="0" t="0" r="0" b="0"/>
                      <wp:wrapNone/>
                      <wp:docPr id="991" name="Frame99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Valley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3">
                      <wp:simplePos x="0" y="0"/>
                      <wp:positionH relativeFrom="character">
                        <wp:align>left</wp:align>
                      </wp:positionH>
                      <wp:positionV relativeFrom="line">
                        <wp:posOffset>635</wp:posOffset>
                      </wp:positionV>
                      <wp:extent cx="69215" cy="220980"/>
                      <wp:effectExtent l="0" t="0" r="0" b="0"/>
                      <wp:wrapNone/>
                      <wp:docPr id="992" name="Frame99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98425" cy="1064895"/>
                      <wp:effectExtent l="0" t="0" r="0" b="0"/>
                      <wp:wrapNone/>
                      <wp:docPr id="993" name="Frame99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Viga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5">
                      <wp:simplePos x="0" y="0"/>
                      <wp:positionH relativeFrom="character">
                        <wp:align>left</wp:align>
                      </wp:positionH>
                      <wp:positionV relativeFrom="line">
                        <wp:posOffset>635</wp:posOffset>
                      </wp:positionV>
                      <wp:extent cx="69215" cy="220980"/>
                      <wp:effectExtent l="0" t="0" r="0" b="0"/>
                      <wp:wrapNone/>
                      <wp:docPr id="994" name="Frame99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6">
                      <wp:simplePos x="0" y="0"/>
                      <wp:positionH relativeFrom="character">
                        <wp:align>left</wp:align>
                      </wp:positionH>
                      <wp:positionV relativeFrom="line">
                        <wp:posOffset>635</wp:posOffset>
                      </wp:positionV>
                      <wp:extent cx="98425" cy="1064895"/>
                      <wp:effectExtent l="0" t="0" r="0" b="0"/>
                      <wp:wrapNone/>
                      <wp:docPr id="995" name="Frame99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Golf Club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7">
                      <wp:simplePos x="0" y="0"/>
                      <wp:positionH relativeFrom="character">
                        <wp:align>left</wp:align>
                      </wp:positionH>
                      <wp:positionV relativeFrom="line">
                        <wp:posOffset>635</wp:posOffset>
                      </wp:positionV>
                      <wp:extent cx="69215" cy="220980"/>
                      <wp:effectExtent l="0" t="0" r="0" b="0"/>
                      <wp:wrapNone/>
                      <wp:docPr id="996" name="Frame99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8">
                      <wp:simplePos x="0" y="0"/>
                      <wp:positionH relativeFrom="character">
                        <wp:align>left</wp:align>
                      </wp:positionH>
                      <wp:positionV relativeFrom="line">
                        <wp:posOffset>635</wp:posOffset>
                      </wp:positionV>
                      <wp:extent cx="98425" cy="1064895"/>
                      <wp:effectExtent l="0" t="0" r="0" b="0"/>
                      <wp:wrapNone/>
                      <wp:docPr id="997" name="Frame99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New Seabury Properties L.L.C .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9">
                      <wp:simplePos x="0" y="0"/>
                      <wp:positionH relativeFrom="character">
                        <wp:align>left</wp:align>
                      </wp:positionH>
                      <wp:positionV relativeFrom="line">
                        <wp:posOffset>635</wp:posOffset>
                      </wp:positionV>
                      <wp:extent cx="69215" cy="220980"/>
                      <wp:effectExtent l="0" t="0" r="0" b="0"/>
                      <wp:wrapNone/>
                      <wp:docPr id="998" name="Frame99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0">
                      <wp:simplePos x="0" y="0"/>
                      <wp:positionH relativeFrom="character">
                        <wp:align>left</wp:align>
                      </wp:positionH>
                      <wp:positionV relativeFrom="line">
                        <wp:posOffset>635</wp:posOffset>
                      </wp:positionV>
                      <wp:extent cx="98425" cy="1064895"/>
                      <wp:effectExtent l="0" t="0" r="0" b="0"/>
                      <wp:wrapNone/>
                      <wp:docPr id="999" name="Frame99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Resources Management,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1">
                      <wp:simplePos x="0" y="0"/>
                      <wp:positionH relativeFrom="character">
                        <wp:align>left</wp:align>
                      </wp:positionH>
                      <wp:positionV relativeFrom="line">
                        <wp:posOffset>635</wp:posOffset>
                      </wp:positionV>
                      <wp:extent cx="69215" cy="220980"/>
                      <wp:effectExtent l="0" t="0" r="0" b="0"/>
                      <wp:wrapNone/>
                      <wp:docPr id="1000" name="Frame100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2">
                      <wp:simplePos x="0" y="0"/>
                      <wp:positionH relativeFrom="character">
                        <wp:align>left</wp:align>
                      </wp:positionH>
                      <wp:positionV relativeFrom="line">
                        <wp:posOffset>635</wp:posOffset>
                      </wp:positionV>
                      <wp:extent cx="98425" cy="1064895"/>
                      <wp:effectExtent l="0" t="0" r="0" b="0"/>
                      <wp:wrapNone/>
                      <wp:docPr id="1001" name="Frame100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Real Estate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3">
                      <wp:simplePos x="0" y="0"/>
                      <wp:positionH relativeFrom="character">
                        <wp:align>left</wp:align>
                      </wp:positionH>
                      <wp:positionV relativeFrom="line">
                        <wp:posOffset>635</wp:posOffset>
                      </wp:positionV>
                      <wp:extent cx="69215" cy="220980"/>
                      <wp:effectExtent l="0" t="0" r="0" b="0"/>
                      <wp:wrapNone/>
                      <wp:docPr id="1002" name="Frame100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4">
                      <wp:simplePos x="0" y="0"/>
                      <wp:positionH relativeFrom="character">
                        <wp:align>left</wp:align>
                      </wp:positionH>
                      <wp:positionV relativeFrom="line">
                        <wp:posOffset>635</wp:posOffset>
                      </wp:positionV>
                      <wp:extent cx="98425" cy="1064895"/>
                      <wp:effectExtent l="0" t="0" r="0" b="0"/>
                      <wp:wrapNone/>
                      <wp:docPr id="1003" name="Frame100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NS Beach Club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5">
                      <wp:simplePos x="0" y="0"/>
                      <wp:positionH relativeFrom="character">
                        <wp:align>left</wp:align>
                      </wp:positionH>
                      <wp:positionV relativeFrom="line">
                        <wp:posOffset>635</wp:posOffset>
                      </wp:positionV>
                      <wp:extent cx="69215" cy="220980"/>
                      <wp:effectExtent l="0" t="0" r="0" b="0"/>
                      <wp:wrapNone/>
                      <wp:docPr id="1004" name="Frame100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6">
                      <wp:simplePos x="0" y="0"/>
                      <wp:positionH relativeFrom="character">
                        <wp:align>left</wp:align>
                      </wp:positionH>
                      <wp:positionV relativeFrom="line">
                        <wp:posOffset>635</wp:posOffset>
                      </wp:positionV>
                      <wp:extent cx="98425" cy="1064895"/>
                      <wp:effectExtent l="0" t="0" r="0" b="0"/>
                      <wp:wrapNone/>
                      <wp:docPr id="1005" name="Frame100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Country Club of Pinehurst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7">
                      <wp:simplePos x="0" y="0"/>
                      <wp:positionH relativeFrom="character">
                        <wp:align>left</wp:align>
                      </wp:positionH>
                      <wp:positionV relativeFrom="line">
                        <wp:posOffset>635</wp:posOffset>
                      </wp:positionV>
                      <wp:extent cx="69215" cy="220980"/>
                      <wp:effectExtent l="0" t="0" r="0" b="0"/>
                      <wp:wrapNone/>
                      <wp:docPr id="1006" name="Frame100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8">
                      <wp:simplePos x="0" y="0"/>
                      <wp:positionH relativeFrom="character">
                        <wp:align>left</wp:align>
                      </wp:positionH>
                      <wp:positionV relativeFrom="line">
                        <wp:posOffset>635</wp:posOffset>
                      </wp:positionV>
                      <wp:extent cx="98425" cy="1064895"/>
                      <wp:effectExtent l="0" t="0" r="0" b="0"/>
                      <wp:wrapNone/>
                      <wp:docPr id="1007" name="Frame100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Phase 4 Land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9">
                      <wp:simplePos x="0" y="0"/>
                      <wp:positionH relativeFrom="character">
                        <wp:align>left</wp:align>
                      </wp:positionH>
                      <wp:positionV relativeFrom="line">
                        <wp:posOffset>635</wp:posOffset>
                      </wp:positionV>
                      <wp:extent cx="69215" cy="220980"/>
                      <wp:effectExtent l="0" t="0" r="0" b="0"/>
                      <wp:wrapNone/>
                      <wp:docPr id="1008" name="Frame100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0">
                      <wp:simplePos x="0" y="0"/>
                      <wp:positionH relativeFrom="character">
                        <wp:align>left</wp:align>
                      </wp:positionH>
                      <wp:positionV relativeFrom="line">
                        <wp:posOffset>635</wp:posOffset>
                      </wp:positionV>
                      <wp:extent cx="98425" cy="1064895"/>
                      <wp:effectExtent l="0" t="0" r="0" b="0"/>
                      <wp:wrapNone/>
                      <wp:docPr id="1009" name="Frame100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Phase 5 Land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1">
                      <wp:simplePos x="0" y="0"/>
                      <wp:positionH relativeFrom="character">
                        <wp:align>left</wp:align>
                      </wp:positionH>
                      <wp:positionV relativeFrom="line">
                        <wp:posOffset>635</wp:posOffset>
                      </wp:positionV>
                      <wp:extent cx="69215" cy="220980"/>
                      <wp:effectExtent l="0" t="0" r="0" b="0"/>
                      <wp:wrapNone/>
                      <wp:docPr id="1010" name="Frame101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2">
                      <wp:simplePos x="0" y="0"/>
                      <wp:positionH relativeFrom="character">
                        <wp:align>left</wp:align>
                      </wp:positionH>
                      <wp:positionV relativeFrom="line">
                        <wp:posOffset>635</wp:posOffset>
                      </wp:positionV>
                      <wp:extent cx="98425" cy="1064895"/>
                      <wp:effectExtent l="0" t="0" r="0" b="0"/>
                      <wp:wrapNone/>
                      <wp:docPr id="1011" name="Frame101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Builders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3">
                      <wp:simplePos x="0" y="0"/>
                      <wp:positionH relativeFrom="character">
                        <wp:align>left</wp:align>
                      </wp:positionH>
                      <wp:positionV relativeFrom="line">
                        <wp:posOffset>635</wp:posOffset>
                      </wp:positionV>
                      <wp:extent cx="69215" cy="220980"/>
                      <wp:effectExtent l="0" t="0" r="0" b="0"/>
                      <wp:wrapNone/>
                      <wp:docPr id="1012" name="Frame101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4">
                      <wp:simplePos x="0" y="0"/>
                      <wp:positionH relativeFrom="character">
                        <wp:align>left</wp:align>
                      </wp:positionH>
                      <wp:positionV relativeFrom="line">
                        <wp:posOffset>635</wp:posOffset>
                      </wp:positionV>
                      <wp:extent cx="98425" cy="1064895"/>
                      <wp:effectExtent l="0" t="0" r="0" b="0"/>
                      <wp:wrapNone/>
                      <wp:docPr id="1013" name="Frame101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Club Management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5">
                      <wp:simplePos x="0" y="0"/>
                      <wp:positionH relativeFrom="character">
                        <wp:align>left</wp:align>
                      </wp:positionH>
                      <wp:positionV relativeFrom="line">
                        <wp:posOffset>635</wp:posOffset>
                      </wp:positionV>
                      <wp:extent cx="69215" cy="220980"/>
                      <wp:effectExtent l="0" t="0" r="0" b="0"/>
                      <wp:wrapNone/>
                      <wp:docPr id="1014" name="Frame101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6">
                      <wp:simplePos x="0" y="0"/>
                      <wp:positionH relativeFrom="character">
                        <wp:align>left</wp:align>
                      </wp:positionH>
                      <wp:positionV relativeFrom="line">
                        <wp:posOffset>635</wp:posOffset>
                      </wp:positionV>
                      <wp:extent cx="98425" cy="919480"/>
                      <wp:effectExtent l="0" t="0" r="0" b="0"/>
                      <wp:wrapNone/>
                      <wp:docPr id="1015" name="Frame1015"/>
                      <a:graphic xmlns:a="http://schemas.openxmlformats.org/drawingml/2006/main">
                        <a:graphicData uri="http://schemas.microsoft.com/office/word/2010/wordprocessingShape">
                          <wps:wsp>
                            <wps:cNvSpPr txBox="1"/>
                            <wps:spPr>
                              <a:xfrm>
                                <a:off x="0" y="0"/>
                                <a:ext cx="98425"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Section 5 Development Monitoring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7">
                      <wp:simplePos x="0" y="0"/>
                      <wp:positionH relativeFrom="character">
                        <wp:align>left</wp:align>
                      </wp:positionH>
                      <wp:positionV relativeFrom="line">
                        <wp:posOffset>635</wp:posOffset>
                      </wp:positionV>
                      <wp:extent cx="69215" cy="220980"/>
                      <wp:effectExtent l="0" t="0" r="0" b="0"/>
                      <wp:wrapNone/>
                      <wp:docPr id="1016" name="Frame101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8">
                      <wp:simplePos x="0" y="0"/>
                      <wp:positionH relativeFrom="character">
                        <wp:align>left</wp:align>
                      </wp:positionH>
                      <wp:positionV relativeFrom="line">
                        <wp:posOffset>635</wp:posOffset>
                      </wp:positionV>
                      <wp:extent cx="98425" cy="1064895"/>
                      <wp:effectExtent l="0" t="0" r="0" b="0"/>
                      <wp:wrapNone/>
                      <wp:docPr id="1017" name="Frame101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VB Community Management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9">
                      <wp:simplePos x="0" y="0"/>
                      <wp:positionH relativeFrom="character">
                        <wp:align>left</wp:align>
                      </wp:positionH>
                      <wp:positionV relativeFrom="line">
                        <wp:posOffset>635</wp:posOffset>
                      </wp:positionV>
                      <wp:extent cx="69215" cy="220980"/>
                      <wp:effectExtent l="0" t="0" r="0" b="0"/>
                      <wp:wrapNone/>
                      <wp:docPr id="1018" name="Frame101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0">
                      <wp:simplePos x="0" y="0"/>
                      <wp:positionH relativeFrom="character">
                        <wp:align>left</wp:align>
                      </wp:positionH>
                      <wp:positionV relativeFrom="line">
                        <wp:posOffset>635</wp:posOffset>
                      </wp:positionV>
                      <wp:extent cx="98425" cy="1064895"/>
                      <wp:effectExtent l="0" t="0" r="0" b="0"/>
                      <wp:wrapNone/>
                      <wp:docPr id="1019" name="Frame101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Vero Beach Acquisition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1">
                      <wp:simplePos x="0" y="0"/>
                      <wp:positionH relativeFrom="character">
                        <wp:align>left</wp:align>
                      </wp:positionH>
                      <wp:positionV relativeFrom="line">
                        <wp:posOffset>635</wp:posOffset>
                      </wp:positionV>
                      <wp:extent cx="69215" cy="220980"/>
                      <wp:effectExtent l="0" t="0" r="0" b="0"/>
                      <wp:wrapNone/>
                      <wp:docPr id="1020" name="Frame102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2">
                      <wp:simplePos x="0" y="0"/>
                      <wp:positionH relativeFrom="character">
                        <wp:align>left</wp:align>
                      </wp:positionH>
                      <wp:positionV relativeFrom="line">
                        <wp:posOffset>635</wp:posOffset>
                      </wp:positionV>
                      <wp:extent cx="98425" cy="1064895"/>
                      <wp:effectExtent l="0" t="0" r="0" b="0"/>
                      <wp:wrapNone/>
                      <wp:docPr id="1021" name="Frame102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Eagle Beach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3">
                      <wp:simplePos x="0" y="0"/>
                      <wp:positionH relativeFrom="character">
                        <wp:align>left</wp:align>
                      </wp:positionH>
                      <wp:positionV relativeFrom="line">
                        <wp:posOffset>635</wp:posOffset>
                      </wp:positionV>
                      <wp:extent cx="69215" cy="220980"/>
                      <wp:effectExtent l="0" t="0" r="0" b="0"/>
                      <wp:wrapNone/>
                      <wp:docPr id="1022" name="Frame102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4">
                      <wp:simplePos x="0" y="0"/>
                      <wp:positionH relativeFrom="character">
                        <wp:align>left</wp:align>
                      </wp:positionH>
                      <wp:positionV relativeFrom="line">
                        <wp:posOffset>635</wp:posOffset>
                      </wp:positionV>
                      <wp:extent cx="98425" cy="1064895"/>
                      <wp:effectExtent l="0" t="0" r="0" b="0"/>
                      <wp:wrapNone/>
                      <wp:docPr id="1023" name="Frame102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Eagle Entertainment Cayman Holdings Company Ltd.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5">
                      <wp:simplePos x="0" y="0"/>
                      <wp:positionH relativeFrom="character">
                        <wp:align>left</wp:align>
                      </wp:positionH>
                      <wp:positionV relativeFrom="line">
                        <wp:posOffset>635</wp:posOffset>
                      </wp:positionV>
                      <wp:extent cx="69215" cy="220980"/>
                      <wp:effectExtent l="0" t="0" r="0" b="0"/>
                      <wp:wrapNone/>
                      <wp:docPr id="1024" name="Frame102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6">
                      <wp:simplePos x="0" y="0"/>
                      <wp:positionH relativeFrom="character">
                        <wp:align>left</wp:align>
                      </wp:positionH>
                      <wp:positionV relativeFrom="line">
                        <wp:posOffset>635</wp:posOffset>
                      </wp:positionV>
                      <wp:extent cx="98425" cy="1646555"/>
                      <wp:effectExtent l="0" t="0" r="0" b="0"/>
                      <wp:wrapNone/>
                      <wp:docPr id="1025" name="Frame1025"/>
                      <a:graphic xmlns:a="http://schemas.openxmlformats.org/drawingml/2006/main">
                        <a:graphicData uri="http://schemas.microsoft.com/office/word/2010/wordprocessingShape">
                          <wps:wsp>
                            <wps:cNvSpPr txBox="1"/>
                            <wps:spPr>
                              <a:xfrm>
                                <a:off x="0" y="0"/>
                                <a:ext cx="98425" cy="164655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Cayman Islands</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Aruba Development Corporation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7">
                      <wp:simplePos x="0" y="0"/>
                      <wp:positionH relativeFrom="character">
                        <wp:align>left</wp:align>
                      </wp:positionH>
                      <wp:positionV relativeFrom="line">
                        <wp:posOffset>635</wp:posOffset>
                      </wp:positionV>
                      <wp:extent cx="69215" cy="220980"/>
                      <wp:effectExtent l="0" t="0" r="0" b="0"/>
                      <wp:wrapNone/>
                      <wp:docPr id="1026" name="Frame102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8">
                      <wp:simplePos x="0" y="0"/>
                      <wp:positionH relativeFrom="character">
                        <wp:align>left</wp:align>
                      </wp:positionH>
                      <wp:positionV relativeFrom="line">
                        <wp:posOffset>635</wp:posOffset>
                      </wp:positionV>
                      <wp:extent cx="98425" cy="774065"/>
                      <wp:effectExtent l="0" t="0" r="0" b="0"/>
                      <wp:wrapNone/>
                      <wp:docPr id="1027" name="Frame1027"/>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Eagle Aruba Casino Operating Corporation VBA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9">
                      <wp:simplePos x="0" y="0"/>
                      <wp:positionH relativeFrom="character">
                        <wp:align>left</wp:align>
                      </wp:positionH>
                      <wp:positionV relativeFrom="line">
                        <wp:posOffset>635</wp:posOffset>
                      </wp:positionV>
                      <wp:extent cx="69215" cy="220980"/>
                      <wp:effectExtent l="0" t="0" r="0" b="0"/>
                      <wp:wrapNone/>
                      <wp:docPr id="1028" name="Frame102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0">
                      <wp:simplePos x="0" y="0"/>
                      <wp:positionH relativeFrom="character">
                        <wp:align>left</wp:align>
                      </wp:positionH>
                      <wp:positionV relativeFrom="line">
                        <wp:posOffset>635</wp:posOffset>
                      </wp:positionV>
                      <wp:extent cx="98425" cy="774065"/>
                      <wp:effectExtent l="0" t="0" r="0" b="0"/>
                      <wp:wrapNone/>
                      <wp:docPr id="1029" name="Frame1029"/>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Eagle Aruba Resort Operating Corporation VBA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1">
                      <wp:simplePos x="0" y="0"/>
                      <wp:positionH relativeFrom="character">
                        <wp:align>left</wp:align>
                      </wp:positionH>
                      <wp:positionV relativeFrom="line">
                        <wp:posOffset>635</wp:posOffset>
                      </wp:positionV>
                      <wp:extent cx="69215" cy="220980"/>
                      <wp:effectExtent l="0" t="0" r="0" b="0"/>
                      <wp:wrapNone/>
                      <wp:docPr id="1030" name="Frame103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2">
                      <wp:simplePos x="0" y="0"/>
                      <wp:positionH relativeFrom="character">
                        <wp:align>left</wp:align>
                      </wp:positionH>
                      <wp:positionV relativeFrom="line">
                        <wp:posOffset>635</wp:posOffset>
                      </wp:positionV>
                      <wp:extent cx="98425" cy="774065"/>
                      <wp:effectExtent l="0" t="0" r="0" b="0"/>
                      <wp:wrapNone/>
                      <wp:docPr id="1031" name="Frame1031"/>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Federal-Mogul Ignition Company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3">
                      <wp:simplePos x="0" y="0"/>
                      <wp:positionH relativeFrom="character">
                        <wp:align>left</wp:align>
                      </wp:positionH>
                      <wp:positionV relativeFrom="line">
                        <wp:posOffset>635</wp:posOffset>
                      </wp:positionV>
                      <wp:extent cx="69215" cy="220980"/>
                      <wp:effectExtent l="0" t="0" r="0" b="0"/>
                      <wp:wrapNone/>
                      <wp:docPr id="1032" name="Frame103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4">
                      <wp:simplePos x="0" y="0"/>
                      <wp:positionH relativeFrom="character">
                        <wp:align>left</wp:align>
                      </wp:positionH>
                      <wp:positionV relativeFrom="line">
                        <wp:posOffset>635</wp:posOffset>
                      </wp:positionV>
                      <wp:extent cx="98425" cy="919480"/>
                      <wp:effectExtent l="0" t="0" r="0" b="0"/>
                      <wp:wrapNone/>
                      <wp:docPr id="1033" name="Frame1033"/>
                      <a:graphic xmlns:a="http://schemas.openxmlformats.org/drawingml/2006/main">
                        <a:graphicData uri="http://schemas.microsoft.com/office/word/2010/wordprocessingShape">
                          <wps:wsp>
                            <wps:cNvSpPr txBox="1"/>
                            <wps:spPr>
                              <a:xfrm>
                                <a:off x="0" y="0"/>
                                <a:ext cx="98425"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Missouri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Missouri</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Federal-Mogul New Products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5">
                      <wp:simplePos x="0" y="0"/>
                      <wp:positionH relativeFrom="character">
                        <wp:align>left</wp:align>
                      </wp:positionH>
                      <wp:positionV relativeFrom="line">
                        <wp:posOffset>635</wp:posOffset>
                      </wp:positionV>
                      <wp:extent cx="69215" cy="220980"/>
                      <wp:effectExtent l="0" t="0" r="0" b="0"/>
                      <wp:wrapNone/>
                      <wp:docPr id="1034" name="Frame103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6">
                      <wp:simplePos x="0" y="0"/>
                      <wp:positionH relativeFrom="character">
                        <wp:align>left</wp:align>
                      </wp:positionH>
                      <wp:positionV relativeFrom="line">
                        <wp:posOffset>635</wp:posOffset>
                      </wp:positionV>
                      <wp:extent cx="98425" cy="1064895"/>
                      <wp:effectExtent l="0" t="0" r="0" b="0"/>
                      <wp:wrapNone/>
                      <wp:docPr id="1035" name="Frame103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Parts Acquisition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7">
                      <wp:simplePos x="0" y="0"/>
                      <wp:positionH relativeFrom="character">
                        <wp:align>left</wp:align>
                      </wp:positionH>
                      <wp:positionV relativeFrom="line">
                        <wp:posOffset>635</wp:posOffset>
                      </wp:positionV>
                      <wp:extent cx="69215" cy="220980"/>
                      <wp:effectExtent l="0" t="0" r="0" b="0"/>
                      <wp:wrapNone/>
                      <wp:docPr id="1036" name="Frame103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8">
                      <wp:simplePos x="0" y="0"/>
                      <wp:positionH relativeFrom="character">
                        <wp:align>left</wp:align>
                      </wp:positionH>
                      <wp:positionV relativeFrom="line">
                        <wp:posOffset>635</wp:posOffset>
                      </wp:positionV>
                      <wp:extent cx="98425" cy="1064895"/>
                      <wp:effectExtent l="0" t="0" r="0" b="0"/>
                      <wp:wrapNone/>
                      <wp:docPr id="1037" name="Frame103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Gator Leasing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9">
                      <wp:simplePos x="0" y="0"/>
                      <wp:positionH relativeFrom="character">
                        <wp:align>left</wp:align>
                      </wp:positionH>
                      <wp:positionV relativeFrom="line">
                        <wp:posOffset>635</wp:posOffset>
                      </wp:positionV>
                      <wp:extent cx="69215" cy="220980"/>
                      <wp:effectExtent l="0" t="0" r="0" b="0"/>
                      <wp:wrapNone/>
                      <wp:docPr id="1038" name="Frame103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0">
                      <wp:simplePos x="0" y="0"/>
                      <wp:positionH relativeFrom="character">
                        <wp:align>left</wp:align>
                      </wp:positionH>
                      <wp:positionV relativeFrom="line">
                        <wp:posOffset>635</wp:posOffset>
                      </wp:positionV>
                      <wp:extent cx="98425" cy="1064895"/>
                      <wp:effectExtent l="0" t="0" r="0" b="0"/>
                      <wp:wrapNone/>
                      <wp:docPr id="1039" name="Frame103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Enterprises Finance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1">
                      <wp:simplePos x="0" y="0"/>
                      <wp:positionH relativeFrom="character">
                        <wp:align>left</wp:align>
                      </wp:positionH>
                      <wp:positionV relativeFrom="line">
                        <wp:posOffset>635</wp:posOffset>
                      </wp:positionV>
                      <wp:extent cx="69215" cy="220980"/>
                      <wp:effectExtent l="0" t="0" r="0" b="0"/>
                      <wp:wrapNone/>
                      <wp:docPr id="1040" name="Frame104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2">
                      <wp:simplePos x="0" y="0"/>
                      <wp:positionH relativeFrom="character">
                        <wp:align>left</wp:align>
                      </wp:positionH>
                      <wp:positionV relativeFrom="line">
                        <wp:posOffset>635</wp:posOffset>
                      </wp:positionV>
                      <wp:extent cx="98425" cy="1064895"/>
                      <wp:effectExtent l="0" t="0" r="0" b="0"/>
                      <wp:wrapNone/>
                      <wp:docPr id="1041" name="Frame104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Nashville Recycling,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3">
                      <wp:simplePos x="0" y="0"/>
                      <wp:positionH relativeFrom="character">
                        <wp:align>left</wp:align>
                      </wp:positionH>
                      <wp:positionV relativeFrom="line">
                        <wp:posOffset>635</wp:posOffset>
                      </wp:positionV>
                      <wp:extent cx="69215" cy="220980"/>
                      <wp:effectExtent l="0" t="0" r="0" b="0"/>
                      <wp:wrapNone/>
                      <wp:docPr id="1042" name="Frame104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4">
                      <wp:simplePos x="0" y="0"/>
                      <wp:positionH relativeFrom="character">
                        <wp:align>left</wp:align>
                      </wp:positionH>
                      <wp:positionV relativeFrom="line">
                        <wp:posOffset>635</wp:posOffset>
                      </wp:positionV>
                      <wp:extent cx="98425" cy="1064895"/>
                      <wp:effectExtent l="0" t="0" r="0" b="0"/>
                      <wp:wrapNone/>
                      <wp:docPr id="1043" name="Frame104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IPH GP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5">
                      <wp:simplePos x="0" y="0"/>
                      <wp:positionH relativeFrom="character">
                        <wp:align>left</wp:align>
                      </wp:positionH>
                      <wp:positionV relativeFrom="line">
                        <wp:posOffset>635</wp:posOffset>
                      </wp:positionV>
                      <wp:extent cx="69215" cy="220980"/>
                      <wp:effectExtent l="0" t="0" r="0" b="0"/>
                      <wp:wrapNone/>
                      <wp:docPr id="1044" name="Frame104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6">
                      <wp:simplePos x="0" y="0"/>
                      <wp:positionH relativeFrom="character">
                        <wp:align>left</wp:align>
                      </wp:positionH>
                      <wp:positionV relativeFrom="line">
                        <wp:posOffset>635</wp:posOffset>
                      </wp:positionV>
                      <wp:extent cx="98425" cy="1019810"/>
                      <wp:effectExtent l="0" t="0" r="0" b="0"/>
                      <wp:wrapNone/>
                      <wp:docPr id="1045" name="Frame1045"/>
                      <a:graphic xmlns:a="http://schemas.openxmlformats.org/drawingml/2006/main">
                        <a:graphicData uri="http://schemas.microsoft.com/office/word/2010/wordprocessingShape">
                          <wps:wsp>
                            <wps:cNvSpPr txBox="1"/>
                            <wps:spPr>
                              <a:xfrm>
                                <a:off x="0" y="0"/>
                                <a:ext cx="98425" cy="10198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0.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Capital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7">
                      <wp:simplePos x="0" y="0"/>
                      <wp:positionH relativeFrom="character">
                        <wp:align>left</wp:align>
                      </wp:positionH>
                      <wp:positionV relativeFrom="line">
                        <wp:posOffset>635</wp:posOffset>
                      </wp:positionV>
                      <wp:extent cx="69215" cy="220980"/>
                      <wp:effectExtent l="0" t="0" r="0" b="0"/>
                      <wp:wrapNone/>
                      <wp:docPr id="1046" name="Frame104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8">
                      <wp:simplePos x="0" y="0"/>
                      <wp:positionH relativeFrom="character">
                        <wp:align>left</wp:align>
                      </wp:positionH>
                      <wp:positionV relativeFrom="line">
                        <wp:posOffset>635</wp:posOffset>
                      </wp:positionV>
                      <wp:extent cx="98425" cy="808355"/>
                      <wp:effectExtent l="0" t="0" r="0" b="0"/>
                      <wp:wrapNone/>
                      <wp:docPr id="1047" name="Frame1047"/>
                      <a:graphic xmlns:a="http://schemas.openxmlformats.org/drawingml/2006/main">
                        <a:graphicData uri="http://schemas.microsoft.com/office/word/2010/wordprocessingShape">
                          <wps:wsp>
                            <wps:cNvSpPr txBox="1"/>
                            <wps:spPr>
                              <a:xfrm>
                                <a:off x="0" y="0"/>
                                <a:ext cx="98425" cy="80835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3.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Onshore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9">
                      <wp:simplePos x="0" y="0"/>
                      <wp:positionH relativeFrom="character">
                        <wp:align>left</wp:align>
                      </wp:positionH>
                      <wp:positionV relativeFrom="line">
                        <wp:posOffset>635</wp:posOffset>
                      </wp:positionV>
                      <wp:extent cx="69215" cy="220980"/>
                      <wp:effectExtent l="0" t="0" r="0" b="0"/>
                      <wp:wrapNone/>
                      <wp:docPr id="1048" name="Frame104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0">
                      <wp:simplePos x="0" y="0"/>
                      <wp:positionH relativeFrom="character">
                        <wp:align>left</wp:align>
                      </wp:positionH>
                      <wp:positionV relativeFrom="line">
                        <wp:posOffset>635</wp:posOffset>
                      </wp:positionV>
                      <wp:extent cx="98425" cy="596900"/>
                      <wp:effectExtent l="0" t="0" r="0" b="0"/>
                      <wp:wrapNone/>
                      <wp:docPr id="1049" name="Frame1049"/>
                      <a:graphic xmlns:a="http://schemas.openxmlformats.org/drawingml/2006/main">
                        <a:graphicData uri="http://schemas.microsoft.com/office/word/2010/wordprocessingShape">
                          <wps:wsp>
                            <wps:cNvSpPr txBox="1"/>
                            <wps:spPr>
                              <a:xfrm>
                                <a:off x="0" y="0"/>
                                <a:ext cx="98425" cy="59690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Offshore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1">
                      <wp:simplePos x="0" y="0"/>
                      <wp:positionH relativeFrom="character">
                        <wp:align>left</wp:align>
                      </wp:positionH>
                      <wp:positionV relativeFrom="line">
                        <wp:posOffset>635</wp:posOffset>
                      </wp:positionV>
                      <wp:extent cx="69215" cy="220980"/>
                      <wp:effectExtent l="0" t="0" r="0" b="0"/>
                      <wp:wrapNone/>
                      <wp:docPr id="1050" name="Frame105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2">
                      <wp:simplePos x="0" y="0"/>
                      <wp:positionH relativeFrom="character">
                        <wp:align>left</wp:align>
                      </wp:positionH>
                      <wp:positionV relativeFrom="line">
                        <wp:posOffset>635</wp:posOffset>
                      </wp:positionV>
                      <wp:extent cx="98425" cy="385445"/>
                      <wp:effectExtent l="0" t="0" r="0" b="0"/>
                      <wp:wrapNone/>
                      <wp:docPr id="1051" name="Frame1051"/>
                      <a:graphic xmlns:a="http://schemas.openxmlformats.org/drawingml/2006/main">
                        <a:graphicData uri="http://schemas.microsoft.com/office/word/2010/wordprocessingShape">
                          <wps:wsp>
                            <wps:cNvSpPr txBox="1"/>
                            <wps:spPr>
                              <a:xfrm>
                                <a:off x="0" y="0"/>
                                <a:ext cx="98425" cy="38544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Pep Boys - Manny Moe &amp; Jack of Delaware LLC (189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3">
                      <wp:simplePos x="0" y="0"/>
                      <wp:positionH relativeFrom="character">
                        <wp:align>left</wp:align>
                      </wp:positionH>
                      <wp:positionV relativeFrom="line">
                        <wp:posOffset>635</wp:posOffset>
                      </wp:positionV>
                      <wp:extent cx="69215" cy="220980"/>
                      <wp:effectExtent l="0" t="0" r="0" b="0"/>
                      <wp:wrapNone/>
                      <wp:docPr id="1052" name="Frame105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4">
                      <wp:simplePos x="0" y="0"/>
                      <wp:positionH relativeFrom="character">
                        <wp:align>left</wp:align>
                      </wp:positionH>
                      <wp:positionV relativeFrom="line">
                        <wp:posOffset>635</wp:posOffset>
                      </wp:positionV>
                      <wp:extent cx="98425" cy="1064895"/>
                      <wp:effectExtent l="0" t="0" r="0" b="0"/>
                      <wp:wrapNone/>
                      <wp:docPr id="1053" name="Frame105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Pep Boys - Manny Moe &amp; Jack of Delaware LLC (189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5">
                      <wp:simplePos x="0" y="0"/>
                      <wp:positionH relativeFrom="character">
                        <wp:align>left</wp:align>
                      </wp:positionH>
                      <wp:positionV relativeFrom="line">
                        <wp:posOffset>635</wp:posOffset>
                      </wp:positionV>
                      <wp:extent cx="69215" cy="217170"/>
                      <wp:effectExtent l="0" t="0" r="0" b="0"/>
                      <wp:wrapNone/>
                      <wp:docPr id="1054" name="Frame105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6">
                      <wp:simplePos x="0" y="0"/>
                      <wp:positionH relativeFrom="character">
                        <wp:align>left</wp:align>
                      </wp:positionH>
                      <wp:positionV relativeFrom="line">
                        <wp:posOffset>635</wp:posOffset>
                      </wp:positionV>
                      <wp:extent cx="98425" cy="1047115"/>
                      <wp:effectExtent l="0" t="0" r="0" b="0"/>
                      <wp:wrapNone/>
                      <wp:docPr id="1055" name="Frame105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The Pep Boys-Manny, Moe &amp; Jack Holding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7">
                      <wp:simplePos x="0" y="0"/>
                      <wp:positionH relativeFrom="character">
                        <wp:align>left</wp:align>
                      </wp:positionH>
                      <wp:positionV relativeFrom="line">
                        <wp:posOffset>635</wp:posOffset>
                      </wp:positionV>
                      <wp:extent cx="69215" cy="217170"/>
                      <wp:effectExtent l="0" t="0" r="0" b="0"/>
                      <wp:wrapNone/>
                      <wp:docPr id="1056" name="Frame105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8">
                      <wp:simplePos x="0" y="0"/>
                      <wp:positionH relativeFrom="character">
                        <wp:align>left</wp:align>
                      </wp:positionH>
                      <wp:positionV relativeFrom="line">
                        <wp:posOffset>635</wp:posOffset>
                      </wp:positionV>
                      <wp:extent cx="98425" cy="1047115"/>
                      <wp:effectExtent l="0" t="0" r="0" b="0"/>
                      <wp:wrapNone/>
                      <wp:docPr id="1057" name="Frame105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The Pep Boys-Manny Moe &amp; Jack LLC (275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9">
                      <wp:simplePos x="0" y="0"/>
                      <wp:positionH relativeFrom="character">
                        <wp:align>left</wp:align>
                      </wp:positionH>
                      <wp:positionV relativeFrom="line">
                        <wp:posOffset>635</wp:posOffset>
                      </wp:positionV>
                      <wp:extent cx="69215" cy="217170"/>
                      <wp:effectExtent l="0" t="0" r="0" b="0"/>
                      <wp:wrapNone/>
                      <wp:docPr id="1058" name="Frame105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0">
                      <wp:simplePos x="0" y="0"/>
                      <wp:positionH relativeFrom="character">
                        <wp:align>left</wp:align>
                      </wp:positionH>
                      <wp:positionV relativeFrom="line">
                        <wp:posOffset>635</wp:posOffset>
                      </wp:positionV>
                      <wp:extent cx="98425" cy="1047115"/>
                      <wp:effectExtent l="0" t="0" r="0" b="0"/>
                      <wp:wrapNone/>
                      <wp:docPr id="1059" name="Frame105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Tire Stores Group Holding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1">
                      <wp:simplePos x="0" y="0"/>
                      <wp:positionH relativeFrom="character">
                        <wp:align>left</wp:align>
                      </wp:positionH>
                      <wp:positionV relativeFrom="line">
                        <wp:posOffset>635</wp:posOffset>
                      </wp:positionV>
                      <wp:extent cx="69215" cy="217170"/>
                      <wp:effectExtent l="0" t="0" r="0" b="0"/>
                      <wp:wrapNone/>
                      <wp:docPr id="1060" name="Frame106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2">
                      <wp:simplePos x="0" y="0"/>
                      <wp:positionH relativeFrom="character">
                        <wp:align>left</wp:align>
                      </wp:positionH>
                      <wp:positionV relativeFrom="line">
                        <wp:posOffset>635</wp:posOffset>
                      </wp:positionV>
                      <wp:extent cx="98425" cy="1047115"/>
                      <wp:effectExtent l="0" t="0" r="0" b="0"/>
                      <wp:wrapNone/>
                      <wp:docPr id="1061" name="Frame106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Big 10 Tire Stores, LLC (79 "Big 10 Tires"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3">
                      <wp:simplePos x="0" y="0"/>
                      <wp:positionH relativeFrom="character">
                        <wp:align>left</wp:align>
                      </wp:positionH>
                      <wp:positionV relativeFrom="line">
                        <wp:posOffset>635</wp:posOffset>
                      </wp:positionV>
                      <wp:extent cx="69215" cy="217170"/>
                      <wp:effectExtent l="0" t="0" r="0" b="0"/>
                      <wp:wrapNone/>
                      <wp:docPr id="1062" name="Frame106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4">
                      <wp:simplePos x="0" y="0"/>
                      <wp:positionH relativeFrom="character">
                        <wp:align>left</wp:align>
                      </wp:positionH>
                      <wp:positionV relativeFrom="line">
                        <wp:posOffset>635</wp:posOffset>
                      </wp:positionV>
                      <wp:extent cx="98425" cy="1047115"/>
                      <wp:effectExtent l="0" t="0" r="0" b="0"/>
                      <wp:wrapNone/>
                      <wp:docPr id="1063" name="Frame106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81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Pep Boys - Manny, Moe &amp; Jack of Puerto Rico, Inc. (26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5">
                      <wp:simplePos x="0" y="0"/>
                      <wp:positionH relativeFrom="character">
                        <wp:align>left</wp:align>
                      </wp:positionH>
                      <wp:positionV relativeFrom="line">
                        <wp:posOffset>635</wp:posOffset>
                      </wp:positionV>
                      <wp:extent cx="69215" cy="217170"/>
                      <wp:effectExtent l="0" t="0" r="0" b="0"/>
                      <wp:wrapNone/>
                      <wp:docPr id="1064" name="Frame106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66">
                      <wp:simplePos x="0" y="0"/>
                      <wp:positionH relativeFrom="character">
                        <wp:align>left</wp:align>
                      </wp:positionH>
                      <wp:positionV relativeFrom="line">
                        <wp:posOffset>635</wp:posOffset>
                      </wp:positionV>
                      <wp:extent cx="98425" cy="1047115"/>
                      <wp:effectExtent l="0" t="0" r="0" b="0"/>
                      <wp:wrapNone/>
                      <wp:docPr id="1065" name="Frame106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7284" w:type="dxa"/>
        <w:jc w:val="center"/>
        <w:tblInd w:w="0" w:type="dxa"/>
        <w:tblLayout w:type="fixed"/>
        <w:tblCellMar>
          <w:top w:w="0" w:type="dxa"/>
          <w:left w:w="0" w:type="dxa"/>
          <w:bottom w:w="0" w:type="dxa"/>
          <w:right w:w="0" w:type="dxa"/>
        </w:tblCellMar>
      </w:tblPr>
      <w:tblGrid>
        <w:gridCol w:w="7021"/>
        <w:gridCol w:w="109"/>
        <w:gridCol w:w="154"/>
      </w:tblGrid>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Carrus Supply Corporation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7">
                      <wp:simplePos x="0" y="0"/>
                      <wp:positionH relativeFrom="character">
                        <wp:align>left</wp:align>
                      </wp:positionH>
                      <wp:positionV relativeFrom="line">
                        <wp:posOffset>635</wp:posOffset>
                      </wp:positionV>
                      <wp:extent cx="69215" cy="217170"/>
                      <wp:effectExtent l="0" t="0" r="0" b="0"/>
                      <wp:wrapNone/>
                      <wp:docPr id="1066" name="Frame106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8">
                      <wp:simplePos x="0" y="0"/>
                      <wp:positionH relativeFrom="character">
                        <wp:align>left</wp:align>
                      </wp:positionH>
                      <wp:positionV relativeFrom="line">
                        <wp:posOffset>635</wp:posOffset>
                      </wp:positionV>
                      <wp:extent cx="98425" cy="1047115"/>
                      <wp:effectExtent l="0" t="0" r="0" b="0"/>
                      <wp:wrapNone/>
                      <wp:docPr id="1067" name="Frame106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Florida LLC (11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9">
                      <wp:simplePos x="0" y="0"/>
                      <wp:positionH relativeFrom="character">
                        <wp:align>left</wp:align>
                      </wp:positionH>
                      <wp:positionV relativeFrom="line">
                        <wp:posOffset>635</wp:posOffset>
                      </wp:positionV>
                      <wp:extent cx="69215" cy="217170"/>
                      <wp:effectExtent l="0" t="0" r="0" b="0"/>
                      <wp:wrapNone/>
                      <wp:docPr id="1068" name="Frame106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0">
                      <wp:simplePos x="0" y="0"/>
                      <wp:positionH relativeFrom="character">
                        <wp:align>left</wp:align>
                      </wp:positionH>
                      <wp:positionV relativeFrom="line">
                        <wp:posOffset>635</wp:posOffset>
                      </wp:positionV>
                      <wp:extent cx="98425" cy="1047115"/>
                      <wp:effectExtent l="0" t="0" r="0" b="0"/>
                      <wp:wrapNone/>
                      <wp:docPr id="1069" name="Frame106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Texas LLC (4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1">
                      <wp:simplePos x="0" y="0"/>
                      <wp:positionH relativeFrom="character">
                        <wp:align>left</wp:align>
                      </wp:positionH>
                      <wp:positionV relativeFrom="line">
                        <wp:posOffset>635</wp:posOffset>
                      </wp:positionV>
                      <wp:extent cx="69215" cy="217170"/>
                      <wp:effectExtent l="0" t="0" r="0" b="0"/>
                      <wp:wrapNone/>
                      <wp:docPr id="1070" name="Frame107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2">
                      <wp:simplePos x="0" y="0"/>
                      <wp:positionH relativeFrom="character">
                        <wp:align>left</wp:align>
                      </wp:positionH>
                      <wp:positionV relativeFrom="line">
                        <wp:posOffset>635</wp:posOffset>
                      </wp:positionV>
                      <wp:extent cx="98425" cy="1047115"/>
                      <wp:effectExtent l="0" t="0" r="0" b="0"/>
                      <wp:wrapNone/>
                      <wp:docPr id="1071" name="Frame107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Indiana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3">
                      <wp:simplePos x="0" y="0"/>
                      <wp:positionH relativeFrom="character">
                        <wp:align>left</wp:align>
                      </wp:positionH>
                      <wp:positionV relativeFrom="line">
                        <wp:posOffset>635</wp:posOffset>
                      </wp:positionV>
                      <wp:extent cx="69215" cy="217170"/>
                      <wp:effectExtent l="0" t="0" r="0" b="0"/>
                      <wp:wrapNone/>
                      <wp:docPr id="1072" name="Frame107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4">
                      <wp:simplePos x="0" y="0"/>
                      <wp:positionH relativeFrom="character">
                        <wp:align>left</wp:align>
                      </wp:positionH>
                      <wp:positionV relativeFrom="line">
                        <wp:posOffset>635</wp:posOffset>
                      </wp:positionV>
                      <wp:extent cx="98425" cy="1047115"/>
                      <wp:effectExtent l="0" t="0" r="0" b="0"/>
                      <wp:wrapNone/>
                      <wp:docPr id="1073" name="Frame107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North Carolina LLC (3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5">
                      <wp:simplePos x="0" y="0"/>
                      <wp:positionH relativeFrom="character">
                        <wp:align>left</wp:align>
                      </wp:positionH>
                      <wp:positionV relativeFrom="line">
                        <wp:posOffset>635</wp:posOffset>
                      </wp:positionV>
                      <wp:extent cx="69215" cy="217170"/>
                      <wp:effectExtent l="0" t="0" r="0" b="0"/>
                      <wp:wrapNone/>
                      <wp:docPr id="1074" name="Frame107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6">
                      <wp:simplePos x="0" y="0"/>
                      <wp:positionH relativeFrom="character">
                        <wp:align>left</wp:align>
                      </wp:positionH>
                      <wp:positionV relativeFrom="line">
                        <wp:posOffset>635</wp:posOffset>
                      </wp:positionV>
                      <wp:extent cx="98425" cy="1047115"/>
                      <wp:effectExtent l="0" t="0" r="0" b="0"/>
                      <wp:wrapNone/>
                      <wp:docPr id="1075" name="Frame107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Puerto Rico LLC (6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7">
                      <wp:simplePos x="0" y="0"/>
                      <wp:positionH relativeFrom="character">
                        <wp:align>left</wp:align>
                      </wp:positionH>
                      <wp:positionV relativeFrom="line">
                        <wp:posOffset>635</wp:posOffset>
                      </wp:positionV>
                      <wp:extent cx="69215" cy="217170"/>
                      <wp:effectExtent l="0" t="0" r="0" b="0"/>
                      <wp:wrapNone/>
                      <wp:docPr id="1076" name="Frame107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8">
                      <wp:simplePos x="0" y="0"/>
                      <wp:positionH relativeFrom="character">
                        <wp:align>left</wp:align>
                      </wp:positionH>
                      <wp:positionV relativeFrom="line">
                        <wp:posOffset>635</wp:posOffset>
                      </wp:positionV>
                      <wp:extent cx="98425" cy="1047115"/>
                      <wp:effectExtent l="0" t="0" r="0" b="0"/>
                      <wp:wrapNone/>
                      <wp:docPr id="1077" name="Frame107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Tennessee LLC (3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9">
                      <wp:simplePos x="0" y="0"/>
                      <wp:positionH relativeFrom="character">
                        <wp:align>left</wp:align>
                      </wp:positionH>
                      <wp:positionV relativeFrom="line">
                        <wp:posOffset>635</wp:posOffset>
                      </wp:positionV>
                      <wp:extent cx="69215" cy="217170"/>
                      <wp:effectExtent l="0" t="0" r="0" b="0"/>
                      <wp:wrapNone/>
                      <wp:docPr id="1078" name="Frame107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0">
                      <wp:simplePos x="0" y="0"/>
                      <wp:positionH relativeFrom="character">
                        <wp:align>left</wp:align>
                      </wp:positionH>
                      <wp:positionV relativeFrom="line">
                        <wp:posOffset>635</wp:posOffset>
                      </wp:positionV>
                      <wp:extent cx="98425" cy="1047115"/>
                      <wp:effectExtent l="0" t="0" r="0" b="0"/>
                      <wp:wrapNone/>
                      <wp:docPr id="1079" name="Frame107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Colchester Insurance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1">
                      <wp:simplePos x="0" y="0"/>
                      <wp:positionH relativeFrom="character">
                        <wp:align>left</wp:align>
                      </wp:positionH>
                      <wp:positionV relativeFrom="line">
                        <wp:posOffset>635</wp:posOffset>
                      </wp:positionV>
                      <wp:extent cx="69215" cy="217170"/>
                      <wp:effectExtent l="0" t="0" r="0" b="0"/>
                      <wp:wrapNone/>
                      <wp:docPr id="1080" name="Frame108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2">
                      <wp:simplePos x="0" y="0"/>
                      <wp:positionH relativeFrom="character">
                        <wp:align>left</wp:align>
                      </wp:positionH>
                      <wp:positionV relativeFrom="line">
                        <wp:posOffset>635</wp:posOffset>
                      </wp:positionV>
                      <wp:extent cx="98425" cy="1047115"/>
                      <wp:effectExtent l="0" t="0" r="0" b="0"/>
                      <wp:wrapNone/>
                      <wp:docPr id="1081" name="Frame108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Vermont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Vermont</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Pep Boys – Manny, Moe &amp; Jack of Texas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3">
                      <wp:simplePos x="0" y="0"/>
                      <wp:positionH relativeFrom="character">
                        <wp:align>left</wp:align>
                      </wp:positionH>
                      <wp:positionV relativeFrom="line">
                        <wp:posOffset>635</wp:posOffset>
                      </wp:positionV>
                      <wp:extent cx="69215" cy="217170"/>
                      <wp:effectExtent l="0" t="0" r="0" b="0"/>
                      <wp:wrapNone/>
                      <wp:docPr id="1082" name="Frame108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4">
                      <wp:simplePos x="0" y="0"/>
                      <wp:positionH relativeFrom="character">
                        <wp:align>left</wp:align>
                      </wp:positionH>
                      <wp:positionV relativeFrom="line">
                        <wp:posOffset>635</wp:posOffset>
                      </wp:positionV>
                      <wp:extent cx="98425" cy="761365"/>
                      <wp:effectExtent l="0" t="0" r="0" b="0"/>
                      <wp:wrapNone/>
                      <wp:docPr id="1083" name="Frame1083"/>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 xml:space="preserve">Texas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 xml:space="preserve">Texas </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US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5">
                      <wp:simplePos x="0" y="0"/>
                      <wp:positionH relativeFrom="character">
                        <wp:align>left</wp:align>
                      </wp:positionH>
                      <wp:positionV relativeFrom="line">
                        <wp:posOffset>635</wp:posOffset>
                      </wp:positionV>
                      <wp:extent cx="69215" cy="217170"/>
                      <wp:effectExtent l="0" t="0" r="0" b="0"/>
                      <wp:wrapNone/>
                      <wp:docPr id="1084" name="Frame108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6">
                      <wp:simplePos x="0" y="0"/>
                      <wp:positionH relativeFrom="character">
                        <wp:align>left</wp:align>
                      </wp:positionH>
                      <wp:positionV relativeFrom="line">
                        <wp:posOffset>635</wp:posOffset>
                      </wp:positionV>
                      <wp:extent cx="98425" cy="1047115"/>
                      <wp:effectExtent l="0" t="0" r="0" b="0"/>
                      <wp:wrapNone/>
                      <wp:docPr id="1085" name="Frame108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New York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7">
                      <wp:simplePos x="0" y="0"/>
                      <wp:positionH relativeFrom="character">
                        <wp:align>left</wp:align>
                      </wp:positionH>
                      <wp:positionV relativeFrom="line">
                        <wp:posOffset>635</wp:posOffset>
                      </wp:positionV>
                      <wp:extent cx="69215" cy="217170"/>
                      <wp:effectExtent l="0" t="0" r="0" b="0"/>
                      <wp:wrapNone/>
                      <wp:docPr id="1086" name="Frame108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8">
                      <wp:simplePos x="0" y="0"/>
                      <wp:positionH relativeFrom="character">
                        <wp:align>left</wp:align>
                      </wp:positionH>
                      <wp:positionV relativeFrom="line">
                        <wp:posOffset>635</wp:posOffset>
                      </wp:positionV>
                      <wp:extent cx="98425" cy="1047115"/>
                      <wp:effectExtent l="0" t="0" r="0" b="0"/>
                      <wp:wrapNone/>
                      <wp:docPr id="1087" name="Frame108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California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9">
                      <wp:simplePos x="0" y="0"/>
                      <wp:positionH relativeFrom="character">
                        <wp:align>left</wp:align>
                      </wp:positionH>
                      <wp:positionV relativeFrom="line">
                        <wp:posOffset>635</wp:posOffset>
                      </wp:positionV>
                      <wp:extent cx="69215" cy="217170"/>
                      <wp:effectExtent l="0" t="0" r="0" b="0"/>
                      <wp:wrapNone/>
                      <wp:docPr id="1088" name="Frame108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0">
                      <wp:simplePos x="0" y="0"/>
                      <wp:positionH relativeFrom="character">
                        <wp:align>left</wp:align>
                      </wp:positionH>
                      <wp:positionV relativeFrom="line">
                        <wp:posOffset>635</wp:posOffset>
                      </wp:positionV>
                      <wp:extent cx="98425" cy="1047115"/>
                      <wp:effectExtent l="0" t="0" r="0" b="0"/>
                      <wp:wrapNone/>
                      <wp:docPr id="1089" name="Frame108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Georgia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1">
                      <wp:simplePos x="0" y="0"/>
                      <wp:positionH relativeFrom="character">
                        <wp:align>left</wp:align>
                      </wp:positionH>
                      <wp:positionV relativeFrom="line">
                        <wp:posOffset>635</wp:posOffset>
                      </wp:positionV>
                      <wp:extent cx="69215" cy="217170"/>
                      <wp:effectExtent l="0" t="0" r="0" b="0"/>
                      <wp:wrapNone/>
                      <wp:docPr id="1090" name="Frame109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2">
                      <wp:simplePos x="0" y="0"/>
                      <wp:positionH relativeFrom="character">
                        <wp:align>left</wp:align>
                      </wp:positionH>
                      <wp:positionV relativeFrom="line">
                        <wp:posOffset>635</wp:posOffset>
                      </wp:positionV>
                      <wp:extent cx="98425" cy="1047115"/>
                      <wp:effectExtent l="0" t="0" r="0" b="0"/>
                      <wp:wrapNone/>
                      <wp:docPr id="1091" name="Frame109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Pennsylvania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3">
                      <wp:simplePos x="0" y="0"/>
                      <wp:positionH relativeFrom="character">
                        <wp:align>left</wp:align>
                      </wp:positionH>
                      <wp:positionV relativeFrom="line">
                        <wp:posOffset>635</wp:posOffset>
                      </wp:positionV>
                      <wp:extent cx="69215" cy="217170"/>
                      <wp:effectExtent l="0" t="0" r="0" b="0"/>
                      <wp:wrapNone/>
                      <wp:docPr id="1092" name="Frame109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4">
                      <wp:simplePos x="0" y="0"/>
                      <wp:positionH relativeFrom="character">
                        <wp:align>left</wp:align>
                      </wp:positionH>
                      <wp:positionV relativeFrom="line">
                        <wp:posOffset>635</wp:posOffset>
                      </wp:positionV>
                      <wp:extent cx="98425" cy="1047115"/>
                      <wp:effectExtent l="0" t="0" r="0" b="0"/>
                      <wp:wrapNone/>
                      <wp:docPr id="1093" name="Frame109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The Pep Boys Manny Moe &amp; Jack of California LLC (224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5">
                      <wp:simplePos x="0" y="0"/>
                      <wp:positionH relativeFrom="character">
                        <wp:align>left</wp:align>
                      </wp:positionH>
                      <wp:positionV relativeFrom="line">
                        <wp:posOffset>635</wp:posOffset>
                      </wp:positionV>
                      <wp:extent cx="69215" cy="217170"/>
                      <wp:effectExtent l="0" t="0" r="0" b="0"/>
                      <wp:wrapNone/>
                      <wp:docPr id="1094" name="Frame109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6">
                      <wp:simplePos x="0" y="0"/>
                      <wp:positionH relativeFrom="character">
                        <wp:align>left</wp:align>
                      </wp:positionH>
                      <wp:positionV relativeFrom="line">
                        <wp:posOffset>635</wp:posOffset>
                      </wp:positionV>
                      <wp:extent cx="98425" cy="1047115"/>
                      <wp:effectExtent l="0" t="0" r="0" b="0"/>
                      <wp:wrapNone/>
                      <wp:docPr id="1095" name="Frame109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San Diego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7">
                      <wp:simplePos x="0" y="0"/>
                      <wp:positionH relativeFrom="character">
                        <wp:align>left</wp:align>
                      </wp:positionH>
                      <wp:positionV relativeFrom="line">
                        <wp:posOffset>635</wp:posOffset>
                      </wp:positionV>
                      <wp:extent cx="69215" cy="217170"/>
                      <wp:effectExtent l="0" t="0" r="0" b="0"/>
                      <wp:wrapNone/>
                      <wp:docPr id="1096" name="Frame109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8">
                      <wp:simplePos x="0" y="0"/>
                      <wp:positionH relativeFrom="character">
                        <wp:align>left</wp:align>
                      </wp:positionH>
                      <wp:positionV relativeFrom="line">
                        <wp:posOffset>635</wp:posOffset>
                      </wp:positionV>
                      <wp:extent cx="98425" cy="1047115"/>
                      <wp:effectExtent l="0" t="0" r="0" b="0"/>
                      <wp:wrapNone/>
                      <wp:docPr id="1097" name="Frame109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Arizona LLC (14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9">
                      <wp:simplePos x="0" y="0"/>
                      <wp:positionH relativeFrom="character">
                        <wp:align>left</wp:align>
                      </wp:positionH>
                      <wp:positionV relativeFrom="line">
                        <wp:posOffset>635</wp:posOffset>
                      </wp:positionV>
                      <wp:extent cx="69215" cy="217170"/>
                      <wp:effectExtent l="0" t="0" r="0" b="0"/>
                      <wp:wrapNone/>
                      <wp:docPr id="1098" name="Frame109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0">
                      <wp:simplePos x="0" y="0"/>
                      <wp:positionH relativeFrom="character">
                        <wp:align>left</wp:align>
                      </wp:positionH>
                      <wp:positionV relativeFrom="line">
                        <wp:posOffset>635</wp:posOffset>
                      </wp:positionV>
                      <wp:extent cx="98425" cy="1047115"/>
                      <wp:effectExtent l="0" t="0" r="0" b="0"/>
                      <wp:wrapNone/>
                      <wp:docPr id="1099" name="Frame109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Alameda LLC (3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1">
                      <wp:simplePos x="0" y="0"/>
                      <wp:positionH relativeFrom="character">
                        <wp:align>left</wp:align>
                      </wp:positionH>
                      <wp:positionV relativeFrom="line">
                        <wp:posOffset>635</wp:posOffset>
                      </wp:positionV>
                      <wp:extent cx="69215" cy="217170"/>
                      <wp:effectExtent l="0" t="0" r="0" b="0"/>
                      <wp:wrapNone/>
                      <wp:docPr id="1100" name="Frame110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2">
                      <wp:simplePos x="0" y="0"/>
                      <wp:positionH relativeFrom="character">
                        <wp:align>left</wp:align>
                      </wp:positionH>
                      <wp:positionV relativeFrom="line">
                        <wp:posOffset>635</wp:posOffset>
                      </wp:positionV>
                      <wp:extent cx="98425" cy="1047115"/>
                      <wp:effectExtent l="0" t="0" r="0" b="0"/>
                      <wp:wrapNone/>
                      <wp:docPr id="1101" name="Frame110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Colorado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3">
                      <wp:simplePos x="0" y="0"/>
                      <wp:positionH relativeFrom="character">
                        <wp:align>left</wp:align>
                      </wp:positionH>
                      <wp:positionV relativeFrom="line">
                        <wp:posOffset>635</wp:posOffset>
                      </wp:positionV>
                      <wp:extent cx="69215" cy="217170"/>
                      <wp:effectExtent l="0" t="0" r="0" b="0"/>
                      <wp:wrapNone/>
                      <wp:docPr id="1102" name="Frame110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4">
                      <wp:simplePos x="0" y="0"/>
                      <wp:positionH relativeFrom="character">
                        <wp:align>left</wp:align>
                      </wp:positionH>
                      <wp:positionV relativeFrom="line">
                        <wp:posOffset>635</wp:posOffset>
                      </wp:positionV>
                      <wp:extent cx="98425" cy="1047115"/>
                      <wp:effectExtent l="0" t="0" r="0" b="0"/>
                      <wp:wrapNone/>
                      <wp:docPr id="1103" name="Frame110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Minnesota LLC (2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5">
                      <wp:simplePos x="0" y="0"/>
                      <wp:positionH relativeFrom="character">
                        <wp:align>left</wp:align>
                      </wp:positionH>
                      <wp:positionV relativeFrom="line">
                        <wp:posOffset>635</wp:posOffset>
                      </wp:positionV>
                      <wp:extent cx="69215" cy="217170"/>
                      <wp:effectExtent l="0" t="0" r="0" b="0"/>
                      <wp:wrapNone/>
                      <wp:docPr id="1104" name="Frame110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6">
                      <wp:simplePos x="0" y="0"/>
                      <wp:positionH relativeFrom="character">
                        <wp:align>left</wp:align>
                      </wp:positionH>
                      <wp:positionV relativeFrom="line">
                        <wp:posOffset>635</wp:posOffset>
                      </wp:positionV>
                      <wp:extent cx="98425" cy="1047115"/>
                      <wp:effectExtent l="0" t="0" r="0" b="0"/>
                      <wp:wrapNone/>
                      <wp:docPr id="1105" name="Frame110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Illinois LLC (2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7">
                      <wp:simplePos x="0" y="0"/>
                      <wp:positionH relativeFrom="character">
                        <wp:align>left</wp:align>
                      </wp:positionH>
                      <wp:positionV relativeFrom="line">
                        <wp:posOffset>635</wp:posOffset>
                      </wp:positionV>
                      <wp:extent cx="69215" cy="217170"/>
                      <wp:effectExtent l="0" t="0" r="0" b="0"/>
                      <wp:wrapNone/>
                      <wp:docPr id="1106" name="Frame110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8">
                      <wp:simplePos x="0" y="0"/>
                      <wp:positionH relativeFrom="character">
                        <wp:align>left</wp:align>
                      </wp:positionH>
                      <wp:positionV relativeFrom="line">
                        <wp:posOffset>635</wp:posOffset>
                      </wp:positionV>
                      <wp:extent cx="98425" cy="1047115"/>
                      <wp:effectExtent l="0" t="0" r="0" b="0"/>
                      <wp:wrapNone/>
                      <wp:docPr id="1107" name="Frame110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Hartford LLC (2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9">
                      <wp:simplePos x="0" y="0"/>
                      <wp:positionH relativeFrom="character">
                        <wp:align>left</wp:align>
                      </wp:positionH>
                      <wp:positionV relativeFrom="line">
                        <wp:posOffset>635</wp:posOffset>
                      </wp:positionV>
                      <wp:extent cx="69215" cy="217170"/>
                      <wp:effectExtent l="0" t="0" r="0" b="0"/>
                      <wp:wrapNone/>
                      <wp:docPr id="1108" name="Frame110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0">
                      <wp:simplePos x="0" y="0"/>
                      <wp:positionH relativeFrom="character">
                        <wp:align>left</wp:align>
                      </wp:positionH>
                      <wp:positionV relativeFrom="line">
                        <wp:posOffset>635</wp:posOffset>
                      </wp:positionV>
                      <wp:extent cx="98425" cy="1047115"/>
                      <wp:effectExtent l="0" t="0" r="0" b="0"/>
                      <wp:wrapNone/>
                      <wp:docPr id="1109" name="Frame110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Massachusetts LLC (2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1">
                      <wp:simplePos x="0" y="0"/>
                      <wp:positionH relativeFrom="character">
                        <wp:align>left</wp:align>
                      </wp:positionH>
                      <wp:positionV relativeFrom="line">
                        <wp:posOffset>635</wp:posOffset>
                      </wp:positionV>
                      <wp:extent cx="69215" cy="217170"/>
                      <wp:effectExtent l="0" t="0" r="0" b="0"/>
                      <wp:wrapNone/>
                      <wp:docPr id="1110" name="Frame111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2">
                      <wp:simplePos x="0" y="0"/>
                      <wp:positionH relativeFrom="character">
                        <wp:align>left</wp:align>
                      </wp:positionH>
                      <wp:positionV relativeFrom="line">
                        <wp:posOffset>635</wp:posOffset>
                      </wp:positionV>
                      <wp:extent cx="98425" cy="1047115"/>
                      <wp:effectExtent l="0" t="0" r="0" b="0"/>
                      <wp:wrapNone/>
                      <wp:docPr id="1111" name="Frame111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Michigan LLC (5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3">
                      <wp:simplePos x="0" y="0"/>
                      <wp:positionH relativeFrom="character">
                        <wp:align>left</wp:align>
                      </wp:positionH>
                      <wp:positionV relativeFrom="line">
                        <wp:posOffset>635</wp:posOffset>
                      </wp:positionV>
                      <wp:extent cx="69215" cy="217170"/>
                      <wp:effectExtent l="0" t="0" r="0" b="0"/>
                      <wp:wrapNone/>
                      <wp:docPr id="1112" name="Frame111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4">
                      <wp:simplePos x="0" y="0"/>
                      <wp:positionH relativeFrom="character">
                        <wp:align>left</wp:align>
                      </wp:positionH>
                      <wp:positionV relativeFrom="line">
                        <wp:posOffset>635</wp:posOffset>
                      </wp:positionV>
                      <wp:extent cx="98425" cy="1047115"/>
                      <wp:effectExtent l="0" t="0" r="0" b="0"/>
                      <wp:wrapNone/>
                      <wp:docPr id="1113" name="Frame111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Nassau LLC (5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5">
                      <wp:simplePos x="0" y="0"/>
                      <wp:positionH relativeFrom="character">
                        <wp:align>left</wp:align>
                      </wp:positionH>
                      <wp:positionV relativeFrom="line">
                        <wp:posOffset>635</wp:posOffset>
                      </wp:positionV>
                      <wp:extent cx="69215" cy="217170"/>
                      <wp:effectExtent l="0" t="0" r="0" b="0"/>
                      <wp:wrapNone/>
                      <wp:docPr id="1114" name="Frame111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6">
                      <wp:simplePos x="0" y="0"/>
                      <wp:positionH relativeFrom="character">
                        <wp:align>left</wp:align>
                      </wp:positionH>
                      <wp:positionV relativeFrom="line">
                        <wp:posOffset>635</wp:posOffset>
                      </wp:positionV>
                      <wp:extent cx="98425" cy="1047115"/>
                      <wp:effectExtent l="0" t="0" r="0" b="0"/>
                      <wp:wrapNone/>
                      <wp:docPr id="1115" name="Frame111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Washington LLC (10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7">
                      <wp:simplePos x="0" y="0"/>
                      <wp:positionH relativeFrom="character">
                        <wp:align>left</wp:align>
                      </wp:positionH>
                      <wp:positionV relativeFrom="line">
                        <wp:posOffset>635</wp:posOffset>
                      </wp:positionV>
                      <wp:extent cx="69215" cy="217170"/>
                      <wp:effectExtent l="0" t="0" r="0" b="0"/>
                      <wp:wrapNone/>
                      <wp:docPr id="1116" name="Frame111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8">
                      <wp:simplePos x="0" y="0"/>
                      <wp:positionH relativeFrom="character">
                        <wp:align>left</wp:align>
                      </wp:positionH>
                      <wp:positionV relativeFrom="line">
                        <wp:posOffset>635</wp:posOffset>
                      </wp:positionV>
                      <wp:extent cx="98425" cy="1047115"/>
                      <wp:effectExtent l="0" t="0" r="0" b="0"/>
                      <wp:wrapNone/>
                      <wp:docPr id="1117" name="Frame111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9">
                      <wp:simplePos x="0" y="0"/>
                      <wp:positionH relativeFrom="character">
                        <wp:align>left</wp:align>
                      </wp:positionH>
                      <wp:positionV relativeFrom="line">
                        <wp:posOffset>635</wp:posOffset>
                      </wp:positionV>
                      <wp:extent cx="69215" cy="217170"/>
                      <wp:effectExtent l="0" t="0" r="0" b="0"/>
                      <wp:wrapNone/>
                      <wp:docPr id="1118" name="Frame111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0">
                      <wp:simplePos x="0" y="0"/>
                      <wp:positionH relativeFrom="character">
                        <wp:align>left</wp:align>
                      </wp:positionH>
                      <wp:positionV relativeFrom="line">
                        <wp:posOffset>635</wp:posOffset>
                      </wp:positionV>
                      <wp:extent cx="98425" cy="1047115"/>
                      <wp:effectExtent l="0" t="0" r="0" b="0"/>
                      <wp:wrapNone/>
                      <wp:docPr id="1119" name="Frame111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1">
                      <wp:simplePos x="0" y="0"/>
                      <wp:positionH relativeFrom="character">
                        <wp:align>left</wp:align>
                      </wp:positionH>
                      <wp:positionV relativeFrom="line">
                        <wp:posOffset>635</wp:posOffset>
                      </wp:positionV>
                      <wp:extent cx="69215" cy="217170"/>
                      <wp:effectExtent l="0" t="0" r="0" b="0"/>
                      <wp:wrapNone/>
                      <wp:docPr id="1120" name="Frame112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2">
                      <wp:simplePos x="0" y="0"/>
                      <wp:positionH relativeFrom="character">
                        <wp:align>left</wp:align>
                      </wp:positionH>
                      <wp:positionV relativeFrom="line">
                        <wp:posOffset>635</wp:posOffset>
                      </wp:positionV>
                      <wp:extent cx="98425" cy="1047115"/>
                      <wp:effectExtent l="0" t="0" r="0" b="0"/>
                      <wp:wrapNone/>
                      <wp:docPr id="1121" name="Frame112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CTEX LLC (9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3">
                      <wp:simplePos x="0" y="0"/>
                      <wp:positionH relativeFrom="character">
                        <wp:align>left</wp:align>
                      </wp:positionH>
                      <wp:positionV relativeFrom="line">
                        <wp:posOffset>635</wp:posOffset>
                      </wp:positionV>
                      <wp:extent cx="69215" cy="217170"/>
                      <wp:effectExtent l="0" t="0" r="0" b="0"/>
                      <wp:wrapNone/>
                      <wp:docPr id="1122" name="Frame112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4">
                      <wp:simplePos x="0" y="0"/>
                      <wp:positionH relativeFrom="character">
                        <wp:align>left</wp:align>
                      </wp:positionH>
                      <wp:positionV relativeFrom="line">
                        <wp:posOffset>635</wp:posOffset>
                      </wp:positionV>
                      <wp:extent cx="98425" cy="1047115"/>
                      <wp:effectExtent l="0" t="0" r="0" b="0"/>
                      <wp:wrapNone/>
                      <wp:docPr id="1123" name="Frame112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CO LLC (9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5">
                      <wp:simplePos x="0" y="0"/>
                      <wp:positionH relativeFrom="character">
                        <wp:align>left</wp:align>
                      </wp:positionH>
                      <wp:positionV relativeFrom="line">
                        <wp:posOffset>635</wp:posOffset>
                      </wp:positionV>
                      <wp:extent cx="69215" cy="217170"/>
                      <wp:effectExtent l="0" t="0" r="0" b="0"/>
                      <wp:wrapNone/>
                      <wp:docPr id="1124" name="Frame112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6">
                      <wp:simplePos x="0" y="0"/>
                      <wp:positionH relativeFrom="character">
                        <wp:align>left</wp:align>
                      </wp:positionH>
                      <wp:positionV relativeFrom="line">
                        <wp:posOffset>635</wp:posOffset>
                      </wp:positionV>
                      <wp:extent cx="98425" cy="1047115"/>
                      <wp:effectExtent l="0" t="0" r="0" b="0"/>
                      <wp:wrapNone/>
                      <wp:docPr id="1125" name="Frame112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AZ LLC (4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7">
                      <wp:simplePos x="0" y="0"/>
                      <wp:positionH relativeFrom="character">
                        <wp:align>left</wp:align>
                      </wp:positionH>
                      <wp:positionV relativeFrom="line">
                        <wp:posOffset>635</wp:posOffset>
                      </wp:positionV>
                      <wp:extent cx="69215" cy="217170"/>
                      <wp:effectExtent l="0" t="0" r="0" b="0"/>
                      <wp:wrapNone/>
                      <wp:docPr id="1126" name="Frame112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8">
                      <wp:simplePos x="0" y="0"/>
                      <wp:positionH relativeFrom="character">
                        <wp:align>left</wp:align>
                      </wp:positionH>
                      <wp:positionV relativeFrom="line">
                        <wp:posOffset>635</wp:posOffset>
                      </wp:positionV>
                      <wp:extent cx="98425" cy="1047115"/>
                      <wp:effectExtent l="0" t="0" r="0" b="0"/>
                      <wp:wrapNone/>
                      <wp:docPr id="1127" name="Frame112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GA LLC (6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9">
                      <wp:simplePos x="0" y="0"/>
                      <wp:positionH relativeFrom="character">
                        <wp:align>left</wp:align>
                      </wp:positionH>
                      <wp:positionV relativeFrom="line">
                        <wp:posOffset>635</wp:posOffset>
                      </wp:positionV>
                      <wp:extent cx="69215" cy="217170"/>
                      <wp:effectExtent l="0" t="0" r="0" b="0"/>
                      <wp:wrapNone/>
                      <wp:docPr id="1128" name="Frame112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0">
                      <wp:simplePos x="0" y="0"/>
                      <wp:positionH relativeFrom="character">
                        <wp:align>left</wp:align>
                      </wp:positionH>
                      <wp:positionV relativeFrom="line">
                        <wp:posOffset>635</wp:posOffset>
                      </wp:positionV>
                      <wp:extent cx="98425" cy="1047115"/>
                      <wp:effectExtent l="0" t="0" r="0" b="0"/>
                      <wp:wrapNone/>
                      <wp:docPr id="1129" name="Frame112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NV LLC (6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1">
                      <wp:simplePos x="0" y="0"/>
                      <wp:positionH relativeFrom="character">
                        <wp:align>left</wp:align>
                      </wp:positionH>
                      <wp:positionV relativeFrom="line">
                        <wp:posOffset>635</wp:posOffset>
                      </wp:positionV>
                      <wp:extent cx="69215" cy="217170"/>
                      <wp:effectExtent l="0" t="0" r="0" b="0"/>
                      <wp:wrapNone/>
                      <wp:docPr id="1130" name="Frame113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2">
                      <wp:simplePos x="0" y="0"/>
                      <wp:positionH relativeFrom="character">
                        <wp:align>left</wp:align>
                      </wp:positionH>
                      <wp:positionV relativeFrom="line">
                        <wp:posOffset>635</wp:posOffset>
                      </wp:positionV>
                      <wp:extent cx="98425" cy="1047115"/>
                      <wp:effectExtent l="0" t="0" r="0" b="0"/>
                      <wp:wrapNone/>
                      <wp:docPr id="1131" name="Frame113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NTEX LLC (15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3">
                      <wp:simplePos x="0" y="0"/>
                      <wp:positionH relativeFrom="character">
                        <wp:align>left</wp:align>
                      </wp:positionH>
                      <wp:positionV relativeFrom="line">
                        <wp:posOffset>635</wp:posOffset>
                      </wp:positionV>
                      <wp:extent cx="69215" cy="217170"/>
                      <wp:effectExtent l="0" t="0" r="0" b="0"/>
                      <wp:wrapNone/>
                      <wp:docPr id="1132" name="Frame113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4">
                      <wp:simplePos x="0" y="0"/>
                      <wp:positionH relativeFrom="character">
                        <wp:align>left</wp:align>
                      </wp:positionH>
                      <wp:positionV relativeFrom="line">
                        <wp:posOffset>635</wp:posOffset>
                      </wp:positionV>
                      <wp:extent cx="98425" cy="1047115"/>
                      <wp:effectExtent l="0" t="0" r="0" b="0"/>
                      <wp:wrapNone/>
                      <wp:docPr id="1133" name="Frame113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FL LLC (24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5">
                      <wp:simplePos x="0" y="0"/>
                      <wp:positionH relativeFrom="character">
                        <wp:align>left</wp:align>
                      </wp:positionH>
                      <wp:positionV relativeFrom="line">
                        <wp:posOffset>635</wp:posOffset>
                      </wp:positionV>
                      <wp:extent cx="69215" cy="217170"/>
                      <wp:effectExtent l="0" t="0" r="0" b="0"/>
                      <wp:wrapNone/>
                      <wp:docPr id="1134" name="Frame113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6">
                      <wp:simplePos x="0" y="0"/>
                      <wp:positionH relativeFrom="character">
                        <wp:align>left</wp:align>
                      </wp:positionH>
                      <wp:positionV relativeFrom="line">
                        <wp:posOffset>635</wp:posOffset>
                      </wp:positionV>
                      <wp:extent cx="98425" cy="907415"/>
                      <wp:effectExtent l="0" t="0" r="0" b="0"/>
                      <wp:wrapNone/>
                      <wp:docPr id="1135" name="Frame1135"/>
                      <a:graphic xmlns:a="http://schemas.openxmlformats.org/drawingml/2006/main">
                        <a:graphicData uri="http://schemas.microsoft.com/office/word/2010/wordprocessingShape">
                          <wps:wsp>
                            <wps:cNvSpPr txBox="1"/>
                            <wps:spPr>
                              <a:xfrm>
                                <a:off x="0" y="0"/>
                                <a:ext cx="98425" cy="9074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STEX LLC (7 "Pep Boys"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7">
                      <wp:simplePos x="0" y="0"/>
                      <wp:positionH relativeFrom="character">
                        <wp:align>left</wp:align>
                      </wp:positionH>
                      <wp:positionV relativeFrom="line">
                        <wp:posOffset>635</wp:posOffset>
                      </wp:positionV>
                      <wp:extent cx="69215" cy="217170"/>
                      <wp:effectExtent l="0" t="0" r="0" b="0"/>
                      <wp:wrapNone/>
                      <wp:docPr id="1136" name="Frame113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8">
                      <wp:simplePos x="0" y="0"/>
                      <wp:positionH relativeFrom="character">
                        <wp:align>left</wp:align>
                      </wp:positionH>
                      <wp:positionV relativeFrom="line">
                        <wp:posOffset>635</wp:posOffset>
                      </wp:positionV>
                      <wp:extent cx="98425" cy="698500"/>
                      <wp:effectExtent l="0" t="0" r="0" b="0"/>
                      <wp:wrapNone/>
                      <wp:docPr id="1137" name="Frame1137"/>
                      <a:graphic xmlns:a="http://schemas.openxmlformats.org/drawingml/2006/main">
                        <a:graphicData uri="http://schemas.microsoft.com/office/word/2010/wordprocessingShape">
                          <wps:wsp>
                            <wps:cNvSpPr txBox="1"/>
                            <wps:spPr>
                              <a:xfrm>
                                <a:off x="0" y="0"/>
                                <a:ext cx="98425" cy="69850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Auto Care, Inc. (36 "Precision Tune"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9">
                      <wp:simplePos x="0" y="0"/>
                      <wp:positionH relativeFrom="character">
                        <wp:align>left</wp:align>
                      </wp:positionH>
                      <wp:positionV relativeFrom="line">
                        <wp:posOffset>635</wp:posOffset>
                      </wp:positionV>
                      <wp:extent cx="69215" cy="217170"/>
                      <wp:effectExtent l="0" t="0" r="0" b="0"/>
                      <wp:wrapNone/>
                      <wp:docPr id="1138" name="Frame113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0">
                      <wp:simplePos x="0" y="0"/>
                      <wp:positionH relativeFrom="character">
                        <wp:align>left</wp:align>
                      </wp:positionH>
                      <wp:positionV relativeFrom="line">
                        <wp:posOffset>635</wp:posOffset>
                      </wp:positionV>
                      <wp:extent cx="98425" cy="489585"/>
                      <wp:effectExtent l="0" t="0" r="0" b="0"/>
                      <wp:wrapNone/>
                      <wp:docPr id="1139" name="Frame1139"/>
                      <a:graphic xmlns:a="http://schemas.openxmlformats.org/drawingml/2006/main">
                        <a:graphicData uri="http://schemas.microsoft.com/office/word/2010/wordprocessingShape">
                          <wps:wsp>
                            <wps:cNvSpPr txBox="1"/>
                            <wps:spPr>
                              <a:xfrm>
                                <a:off x="0" y="0"/>
                                <a:ext cx="98425" cy="48958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8.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Printing,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1">
                      <wp:simplePos x="0" y="0"/>
                      <wp:positionH relativeFrom="character">
                        <wp:align>left</wp:align>
                      </wp:positionH>
                      <wp:positionV relativeFrom="line">
                        <wp:posOffset>635</wp:posOffset>
                      </wp:positionV>
                      <wp:extent cx="69215" cy="217170"/>
                      <wp:effectExtent l="0" t="0" r="0" b="0"/>
                      <wp:wrapNone/>
                      <wp:docPr id="1140" name="Frame114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2">
                      <wp:simplePos x="0" y="0"/>
                      <wp:positionH relativeFrom="character">
                        <wp:align>left</wp:align>
                      </wp:positionH>
                      <wp:positionV relativeFrom="line">
                        <wp:posOffset>635</wp:posOffset>
                      </wp:positionV>
                      <wp:extent cx="98425" cy="280670"/>
                      <wp:effectExtent l="0" t="0" r="0" b="0"/>
                      <wp:wrapNone/>
                      <wp:docPr id="1141" name="Frame1141"/>
                      <a:graphic xmlns:a="http://schemas.openxmlformats.org/drawingml/2006/main">
                        <a:graphicData uri="http://schemas.microsoft.com/office/word/2010/wordprocessingShape">
                          <wps:wsp>
                            <wps:cNvSpPr txBox="1"/>
                            <wps:spPr>
                              <a:xfrm>
                                <a:off x="0" y="0"/>
                                <a:ext cx="98425" cy="28067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WE JAC Corporation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3">
                      <wp:simplePos x="0" y="0"/>
                      <wp:positionH relativeFrom="character">
                        <wp:align>left</wp:align>
                      </wp:positionH>
                      <wp:positionV relativeFrom="line">
                        <wp:posOffset>635</wp:posOffset>
                      </wp:positionV>
                      <wp:extent cx="69215" cy="217170"/>
                      <wp:effectExtent l="0" t="0" r="0" b="0"/>
                      <wp:wrapNone/>
                      <wp:docPr id="1142" name="Frame114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4">
                      <wp:simplePos x="0" y="0"/>
                      <wp:positionH relativeFrom="character">
                        <wp:align>left</wp:align>
                      </wp:positionH>
                      <wp:positionV relativeFrom="line">
                        <wp:posOffset>635</wp:posOffset>
                      </wp:positionV>
                      <wp:extent cx="98425" cy="1047115"/>
                      <wp:effectExtent l="0" t="0" r="0" b="0"/>
                      <wp:wrapNone/>
                      <wp:docPr id="1143" name="Frame114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Tune Auto Care,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5">
                      <wp:simplePos x="0" y="0"/>
                      <wp:positionH relativeFrom="character">
                        <wp:align>left</wp:align>
                      </wp:positionH>
                      <wp:positionV relativeFrom="line">
                        <wp:posOffset>635</wp:posOffset>
                      </wp:positionV>
                      <wp:extent cx="69215" cy="217170"/>
                      <wp:effectExtent l="0" t="0" r="0" b="0"/>
                      <wp:wrapNone/>
                      <wp:docPr id="1144" name="Frame114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6">
                      <wp:simplePos x="0" y="0"/>
                      <wp:positionH relativeFrom="character">
                        <wp:align>left</wp:align>
                      </wp:positionH>
                      <wp:positionV relativeFrom="line">
                        <wp:posOffset>635</wp:posOffset>
                      </wp:positionV>
                      <wp:extent cx="98425" cy="904240"/>
                      <wp:effectExtent l="0" t="0" r="0" b="0"/>
                      <wp:wrapNone/>
                      <wp:docPr id="1145" name="Frame1145"/>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PTAC Operating Centers,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7">
                      <wp:simplePos x="0" y="0"/>
                      <wp:positionH relativeFrom="character">
                        <wp:align>left</wp:align>
                      </wp:positionH>
                      <wp:positionV relativeFrom="line">
                        <wp:posOffset>635</wp:posOffset>
                      </wp:positionV>
                      <wp:extent cx="69215" cy="217170"/>
                      <wp:effectExtent l="0" t="0" r="0" b="0"/>
                      <wp:wrapNone/>
                      <wp:docPr id="1146" name="Frame114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8">
                      <wp:simplePos x="0" y="0"/>
                      <wp:positionH relativeFrom="character">
                        <wp:align>left</wp:align>
                      </wp:positionH>
                      <wp:positionV relativeFrom="line">
                        <wp:posOffset>635</wp:posOffset>
                      </wp:positionV>
                      <wp:extent cx="98425" cy="904240"/>
                      <wp:effectExtent l="0" t="0" r="0" b="0"/>
                      <wp:wrapNone/>
                      <wp:docPr id="1147" name="Frame1147"/>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PTAC Operating Centers II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9">
                      <wp:simplePos x="0" y="0"/>
                      <wp:positionH relativeFrom="character">
                        <wp:align>left</wp:align>
                      </wp:positionH>
                      <wp:positionV relativeFrom="line">
                        <wp:posOffset>635</wp:posOffset>
                      </wp:positionV>
                      <wp:extent cx="69215" cy="217170"/>
                      <wp:effectExtent l="0" t="0" r="0" b="0"/>
                      <wp:wrapNone/>
                      <wp:docPr id="1148" name="Frame114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0">
                      <wp:simplePos x="0" y="0"/>
                      <wp:positionH relativeFrom="character">
                        <wp:align>left</wp:align>
                      </wp:positionH>
                      <wp:positionV relativeFrom="line">
                        <wp:posOffset>635</wp:posOffset>
                      </wp:positionV>
                      <wp:extent cx="98425" cy="1047115"/>
                      <wp:effectExtent l="0" t="0" r="0" b="0"/>
                      <wp:wrapNone/>
                      <wp:docPr id="1149" name="Frame114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PTW,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1">
                      <wp:simplePos x="0" y="0"/>
                      <wp:positionH relativeFrom="character">
                        <wp:align>left</wp:align>
                      </wp:positionH>
                      <wp:positionV relativeFrom="line">
                        <wp:posOffset>635</wp:posOffset>
                      </wp:positionV>
                      <wp:extent cx="69215" cy="217170"/>
                      <wp:effectExtent l="0" t="0" r="0" b="0"/>
                      <wp:wrapNone/>
                      <wp:docPr id="1150" name="Frame115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2">
                      <wp:simplePos x="0" y="0"/>
                      <wp:positionH relativeFrom="character">
                        <wp:align>left</wp:align>
                      </wp:positionH>
                      <wp:positionV relativeFrom="line">
                        <wp:posOffset>635</wp:posOffset>
                      </wp:positionV>
                      <wp:extent cx="98425" cy="1475740"/>
                      <wp:effectExtent l="0" t="0" r="0" b="0"/>
                      <wp:wrapNone/>
                      <wp:docPr id="1151" name="Frame1151"/>
                      <a:graphic xmlns:a="http://schemas.openxmlformats.org/drawingml/2006/main">
                        <a:graphicData uri="http://schemas.microsoft.com/office/word/2010/wordprocessingShape">
                          <wps:wsp>
                            <wps:cNvSpPr txBox="1"/>
                            <wps:spPr>
                              <a:xfrm>
                                <a:off x="0" y="0"/>
                                <a:ext cx="98425" cy="14757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Franchising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3">
                      <wp:simplePos x="0" y="0"/>
                      <wp:positionH relativeFrom="character">
                        <wp:align>left</wp:align>
                      </wp:positionH>
                      <wp:positionV relativeFrom="line">
                        <wp:posOffset>635</wp:posOffset>
                      </wp:positionV>
                      <wp:extent cx="69215" cy="217170"/>
                      <wp:effectExtent l="0" t="0" r="0" b="0"/>
                      <wp:wrapNone/>
                      <wp:docPr id="1152" name="Frame115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4">
                      <wp:simplePos x="0" y="0"/>
                      <wp:positionH relativeFrom="character">
                        <wp:align>left</wp:align>
                      </wp:positionH>
                      <wp:positionV relativeFrom="line">
                        <wp:posOffset>635</wp:posOffset>
                      </wp:positionV>
                      <wp:extent cx="98425" cy="904240"/>
                      <wp:effectExtent l="0" t="0" r="0" b="0"/>
                      <wp:wrapNone/>
                      <wp:docPr id="1153" name="Frame1153"/>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 Auto Care Canada,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5">
                      <wp:simplePos x="0" y="0"/>
                      <wp:positionH relativeFrom="character">
                        <wp:align>left</wp:align>
                      </wp:positionH>
                      <wp:positionV relativeFrom="line">
                        <wp:posOffset>635</wp:posOffset>
                      </wp:positionV>
                      <wp:extent cx="69215" cy="217170"/>
                      <wp:effectExtent l="0" t="0" r="0" b="0"/>
                      <wp:wrapNone/>
                      <wp:docPr id="1154" name="Frame115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6">
                      <wp:simplePos x="0" y="0"/>
                      <wp:positionH relativeFrom="character">
                        <wp:align>left</wp:align>
                      </wp:positionH>
                      <wp:positionV relativeFrom="line">
                        <wp:posOffset>635</wp:posOffset>
                      </wp:positionV>
                      <wp:extent cx="98425" cy="2761615"/>
                      <wp:effectExtent l="0" t="0" r="0" b="0"/>
                      <wp:wrapNone/>
                      <wp:docPr id="1155" name="Frame1155"/>
                      <a:graphic xmlns:a="http://schemas.openxmlformats.org/drawingml/2006/main">
                        <a:graphicData uri="http://schemas.microsoft.com/office/word/2010/wordprocessingShape">
                          <wps:wsp>
                            <wps:cNvSpPr txBox="1"/>
                            <wps:spPr>
                              <a:xfrm>
                                <a:off x="0" y="0"/>
                                <a:ext cx="98425" cy="2761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British Columbia, Canada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1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British Columbia, Canada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ACC-U-TUNE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7">
                      <wp:simplePos x="0" y="0"/>
                      <wp:positionH relativeFrom="character">
                        <wp:align>left</wp:align>
                      </wp:positionH>
                      <wp:positionV relativeFrom="line">
                        <wp:posOffset>635</wp:posOffset>
                      </wp:positionV>
                      <wp:extent cx="69215" cy="217170"/>
                      <wp:effectExtent l="0" t="0" r="0" b="0"/>
                      <wp:wrapNone/>
                      <wp:docPr id="1156" name="Frame115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8">
                      <wp:simplePos x="0" y="0"/>
                      <wp:positionH relativeFrom="character">
                        <wp:align>left</wp:align>
                      </wp:positionH>
                      <wp:positionV relativeFrom="line">
                        <wp:posOffset>635</wp:posOffset>
                      </wp:positionV>
                      <wp:extent cx="98425" cy="1047115"/>
                      <wp:effectExtent l="0" t="0" r="0" b="0"/>
                      <wp:wrapNone/>
                      <wp:docPr id="1157" name="Frame115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National 60 Minute Tune,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9">
                      <wp:simplePos x="0" y="0"/>
                      <wp:positionH relativeFrom="character">
                        <wp:align>left</wp:align>
                      </wp:positionH>
                      <wp:positionV relativeFrom="line">
                        <wp:posOffset>635</wp:posOffset>
                      </wp:positionV>
                      <wp:extent cx="69215" cy="217170"/>
                      <wp:effectExtent l="0" t="0" r="0" b="0"/>
                      <wp:wrapNone/>
                      <wp:docPr id="1158" name="Frame115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0">
                      <wp:simplePos x="0" y="0"/>
                      <wp:positionH relativeFrom="character">
                        <wp:align>left</wp:align>
                      </wp:positionH>
                      <wp:positionV relativeFrom="line">
                        <wp:posOffset>635</wp:posOffset>
                      </wp:positionV>
                      <wp:extent cx="98425" cy="1475740"/>
                      <wp:effectExtent l="0" t="0" r="0" b="0"/>
                      <wp:wrapNone/>
                      <wp:docPr id="1159" name="Frame1159"/>
                      <a:graphic xmlns:a="http://schemas.openxmlformats.org/drawingml/2006/main">
                        <a:graphicData uri="http://schemas.microsoft.com/office/word/2010/wordprocessingShape">
                          <wps:wsp>
                            <wps:cNvSpPr txBox="1"/>
                            <wps:spPr>
                              <a:xfrm>
                                <a:off x="0" y="0"/>
                                <a:ext cx="98425" cy="14757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Miracle Industries,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1">
                      <wp:simplePos x="0" y="0"/>
                      <wp:positionH relativeFrom="character">
                        <wp:align>left</wp:align>
                      </wp:positionH>
                      <wp:positionV relativeFrom="line">
                        <wp:posOffset>635</wp:posOffset>
                      </wp:positionV>
                      <wp:extent cx="69215" cy="217170"/>
                      <wp:effectExtent l="0" t="0" r="0" b="0"/>
                      <wp:wrapNone/>
                      <wp:docPr id="1160" name="Frame116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2">
                      <wp:simplePos x="0" y="0"/>
                      <wp:positionH relativeFrom="character">
                        <wp:align>left</wp:align>
                      </wp:positionH>
                      <wp:positionV relativeFrom="line">
                        <wp:posOffset>635</wp:posOffset>
                      </wp:positionV>
                      <wp:extent cx="98425" cy="618490"/>
                      <wp:effectExtent l="0" t="0" r="0" b="0"/>
                      <wp:wrapNone/>
                      <wp:docPr id="1161" name="Frame1161"/>
                      <a:graphic xmlns:a="http://schemas.openxmlformats.org/drawingml/2006/main">
                        <a:graphicData uri="http://schemas.microsoft.com/office/word/2010/wordprocessingShape">
                          <wps:wsp>
                            <wps:cNvSpPr txBox="1"/>
                            <wps:spPr>
                              <a:xfrm>
                                <a:off x="0" y="0"/>
                                <a:ext cx="98425" cy="61849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Ohio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8.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Ohio</w:t>
                            </w:r>
                          </w:p>
                        </w:txbxContent>
                      </v:textbox>
                      <w10:wrap type="none"/>
                    </v:rect>
                  </w:pict>
                </mc:Fallback>
              </mc:AlternateContent>
            </w:r>
          </w:p>
        </w:tc>
      </w:tr>
      <w:tr>
        <w:trPr/>
        <w:tc>
          <w:tcPr>
            <w:tcW w:w="702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PAC Mexican Delaware Holding Company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3">
                      <wp:simplePos x="0" y="0"/>
                      <wp:positionH relativeFrom="character">
                        <wp:align>left</wp:align>
                      </wp:positionH>
                      <wp:positionV relativeFrom="line">
                        <wp:posOffset>635</wp:posOffset>
                      </wp:positionV>
                      <wp:extent cx="69215" cy="217170"/>
                      <wp:effectExtent l="0" t="0" r="0" b="0"/>
                      <wp:wrapNone/>
                      <wp:docPr id="1162" name="Frame116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164">
                      <wp:simplePos x="0" y="0"/>
                      <wp:positionH relativeFrom="character">
                        <wp:align>left</wp:align>
                      </wp:positionH>
                      <wp:positionV relativeFrom="line">
                        <wp:posOffset>635</wp:posOffset>
                      </wp:positionV>
                      <wp:extent cx="98425" cy="1047115"/>
                      <wp:effectExtent l="0" t="0" r="0" b="0"/>
                      <wp:wrapNone/>
                      <wp:docPr id="1163" name="Frame116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7164" w:type="dxa"/>
        <w:jc w:val="center"/>
        <w:tblInd w:w="0" w:type="dxa"/>
        <w:tblLayout w:type="fixed"/>
        <w:tblCellMar>
          <w:top w:w="0" w:type="dxa"/>
          <w:left w:w="0" w:type="dxa"/>
          <w:bottom w:w="0" w:type="dxa"/>
          <w:right w:w="0" w:type="dxa"/>
        </w:tblCellMar>
      </w:tblPr>
      <w:tblGrid>
        <w:gridCol w:w="6901"/>
        <w:gridCol w:w="109"/>
        <w:gridCol w:w="154"/>
      </w:tblGrid>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Auto Care Mexico II, S. de R.l.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5">
                      <wp:simplePos x="0" y="0"/>
                      <wp:positionH relativeFrom="character">
                        <wp:align>left</wp:align>
                      </wp:positionH>
                      <wp:positionV relativeFrom="line">
                        <wp:posOffset>635</wp:posOffset>
                      </wp:positionV>
                      <wp:extent cx="69215" cy="217170"/>
                      <wp:effectExtent l="0" t="0" r="0" b="0"/>
                      <wp:wrapNone/>
                      <wp:docPr id="1164" name="Frame116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6">
                      <wp:simplePos x="0" y="0"/>
                      <wp:positionH relativeFrom="character">
                        <wp:align>left</wp:align>
                      </wp:positionH>
                      <wp:positionV relativeFrom="line">
                        <wp:posOffset>635</wp:posOffset>
                      </wp:positionV>
                      <wp:extent cx="98425" cy="761365"/>
                      <wp:effectExtent l="0" t="0" r="0" b="0"/>
                      <wp:wrapNone/>
                      <wp:docPr id="1165" name="Frame1165"/>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Auto Care Mexico I, S. de R.l.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7">
                      <wp:simplePos x="0" y="0"/>
                      <wp:positionH relativeFrom="character">
                        <wp:align>left</wp:align>
                      </wp:positionH>
                      <wp:positionV relativeFrom="line">
                        <wp:posOffset>635</wp:posOffset>
                      </wp:positionV>
                      <wp:extent cx="69215" cy="217170"/>
                      <wp:effectExtent l="0" t="0" r="0" b="0"/>
                      <wp:wrapNone/>
                      <wp:docPr id="1166" name="Frame116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8">
                      <wp:simplePos x="0" y="0"/>
                      <wp:positionH relativeFrom="character">
                        <wp:align>left</wp:align>
                      </wp:positionH>
                      <wp:positionV relativeFrom="line">
                        <wp:posOffset>635</wp:posOffset>
                      </wp:positionV>
                      <wp:extent cx="98425" cy="761365"/>
                      <wp:effectExtent l="0" t="0" r="0" b="0"/>
                      <wp:wrapNone/>
                      <wp:docPr id="1167" name="Frame1167"/>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Promotora de Franquicas Praxis,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9">
                      <wp:simplePos x="0" y="0"/>
                      <wp:positionH relativeFrom="character">
                        <wp:align>left</wp:align>
                      </wp:positionH>
                      <wp:positionV relativeFrom="line">
                        <wp:posOffset>635</wp:posOffset>
                      </wp:positionV>
                      <wp:extent cx="69215" cy="217170"/>
                      <wp:effectExtent l="0" t="0" r="0" b="0"/>
                      <wp:wrapNone/>
                      <wp:docPr id="1168" name="Frame116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0">
                      <wp:simplePos x="0" y="0"/>
                      <wp:positionH relativeFrom="character">
                        <wp:align>left</wp:align>
                      </wp:positionH>
                      <wp:positionV relativeFrom="line">
                        <wp:posOffset>635</wp:posOffset>
                      </wp:positionV>
                      <wp:extent cx="98425" cy="761365"/>
                      <wp:effectExtent l="0" t="0" r="0" b="0"/>
                      <wp:wrapNone/>
                      <wp:docPr id="1169" name="Frame1169"/>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Praxis Afinaciones de Puerto Rico,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1">
                      <wp:simplePos x="0" y="0"/>
                      <wp:positionH relativeFrom="character">
                        <wp:align>left</wp:align>
                      </wp:positionH>
                      <wp:positionV relativeFrom="line">
                        <wp:posOffset>635</wp:posOffset>
                      </wp:positionV>
                      <wp:extent cx="69215" cy="217170"/>
                      <wp:effectExtent l="0" t="0" r="0" b="0"/>
                      <wp:wrapNone/>
                      <wp:docPr id="1170" name="Frame117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2">
                      <wp:simplePos x="0" y="0"/>
                      <wp:positionH relativeFrom="character">
                        <wp:align>left</wp:align>
                      </wp:positionH>
                      <wp:positionV relativeFrom="line">
                        <wp:posOffset>635</wp:posOffset>
                      </wp:positionV>
                      <wp:extent cx="98425" cy="1189990"/>
                      <wp:effectExtent l="0" t="0" r="0" b="0"/>
                      <wp:wrapNone/>
                      <wp:docPr id="1171" name="Frame1171"/>
                      <a:graphic xmlns:a="http://schemas.openxmlformats.org/drawingml/2006/main">
                        <a:graphicData uri="http://schemas.microsoft.com/office/word/2010/wordprocessingShape">
                          <wps:wsp>
                            <wps:cNvSpPr txBox="1"/>
                            <wps:spPr>
                              <a:xfrm>
                                <a:off x="0" y="0"/>
                                <a:ext cx="98425" cy="118999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9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Afinaciones Puerto Rico,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3">
                      <wp:simplePos x="0" y="0"/>
                      <wp:positionH relativeFrom="character">
                        <wp:align>left</wp:align>
                      </wp:positionH>
                      <wp:positionV relativeFrom="line">
                        <wp:posOffset>635</wp:posOffset>
                      </wp:positionV>
                      <wp:extent cx="69215" cy="217170"/>
                      <wp:effectExtent l="0" t="0" r="0" b="0"/>
                      <wp:wrapNone/>
                      <wp:docPr id="1172" name="Frame117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4">
                      <wp:simplePos x="0" y="0"/>
                      <wp:positionH relativeFrom="character">
                        <wp:align>left</wp:align>
                      </wp:positionH>
                      <wp:positionV relativeFrom="line">
                        <wp:posOffset>635</wp:posOffset>
                      </wp:positionV>
                      <wp:extent cx="98425" cy="1189990"/>
                      <wp:effectExtent l="0" t="0" r="0" b="0"/>
                      <wp:wrapNone/>
                      <wp:docPr id="1173" name="Frame1173"/>
                      <a:graphic xmlns:a="http://schemas.openxmlformats.org/drawingml/2006/main">
                        <a:graphicData uri="http://schemas.microsoft.com/office/word/2010/wordprocessingShape">
                          <wps:wsp>
                            <wps:cNvSpPr txBox="1"/>
                            <wps:spPr>
                              <a:xfrm>
                                <a:off x="0" y="0"/>
                                <a:ext cx="98425" cy="118999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9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Praxis Autopartes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5">
                      <wp:simplePos x="0" y="0"/>
                      <wp:positionH relativeFrom="character">
                        <wp:align>left</wp:align>
                      </wp:positionH>
                      <wp:positionV relativeFrom="line">
                        <wp:posOffset>635</wp:posOffset>
                      </wp:positionV>
                      <wp:extent cx="69215" cy="217170"/>
                      <wp:effectExtent l="0" t="0" r="0" b="0"/>
                      <wp:wrapNone/>
                      <wp:docPr id="1174" name="Frame117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6">
                      <wp:simplePos x="0" y="0"/>
                      <wp:positionH relativeFrom="character">
                        <wp:align>left</wp:align>
                      </wp:positionH>
                      <wp:positionV relativeFrom="line">
                        <wp:posOffset>635</wp:posOffset>
                      </wp:positionV>
                      <wp:extent cx="98425" cy="761365"/>
                      <wp:effectExtent l="0" t="0" r="0" b="0"/>
                      <wp:wrapNone/>
                      <wp:docPr id="1175" name="Frame1175"/>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Praxis Afinaciones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7">
                      <wp:simplePos x="0" y="0"/>
                      <wp:positionH relativeFrom="character">
                        <wp:align>left</wp:align>
                      </wp:positionH>
                      <wp:positionV relativeFrom="line">
                        <wp:posOffset>635</wp:posOffset>
                      </wp:positionV>
                      <wp:extent cx="69215" cy="217170"/>
                      <wp:effectExtent l="0" t="0" r="0" b="0"/>
                      <wp:wrapNone/>
                      <wp:docPr id="1176" name="Frame117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8">
                      <wp:simplePos x="0" y="0"/>
                      <wp:positionH relativeFrom="character">
                        <wp:align>left</wp:align>
                      </wp:positionH>
                      <wp:positionV relativeFrom="line">
                        <wp:posOffset>635</wp:posOffset>
                      </wp:positionV>
                      <wp:extent cx="98425" cy="761365"/>
                      <wp:effectExtent l="0" t="0" r="0" b="0"/>
                      <wp:wrapNone/>
                      <wp:docPr id="1177" name="Frame1177"/>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Premier Accessories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9">
                      <wp:simplePos x="0" y="0"/>
                      <wp:positionH relativeFrom="character">
                        <wp:align>left</wp:align>
                      </wp:positionH>
                      <wp:positionV relativeFrom="line">
                        <wp:posOffset>635</wp:posOffset>
                      </wp:positionV>
                      <wp:extent cx="69215" cy="217170"/>
                      <wp:effectExtent l="0" t="0" r="0" b="0"/>
                      <wp:wrapNone/>
                      <wp:docPr id="1178" name="Frame117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0">
                      <wp:simplePos x="0" y="0"/>
                      <wp:positionH relativeFrom="character">
                        <wp:align>left</wp:align>
                      </wp:positionH>
                      <wp:positionV relativeFrom="line">
                        <wp:posOffset>635</wp:posOffset>
                      </wp:positionV>
                      <wp:extent cx="98425" cy="761365"/>
                      <wp:effectExtent l="0" t="0" r="0" b="0"/>
                      <wp:wrapNone/>
                      <wp:docPr id="1179" name="Frame1179"/>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Afinaciones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1">
                      <wp:simplePos x="0" y="0"/>
                      <wp:positionH relativeFrom="character">
                        <wp:align>left</wp:align>
                      </wp:positionH>
                      <wp:positionV relativeFrom="line">
                        <wp:posOffset>635</wp:posOffset>
                      </wp:positionV>
                      <wp:extent cx="69215" cy="217170"/>
                      <wp:effectExtent l="0" t="0" r="0" b="0"/>
                      <wp:wrapNone/>
                      <wp:docPr id="1180" name="Frame118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2">
                      <wp:simplePos x="0" y="0"/>
                      <wp:positionH relativeFrom="character">
                        <wp:align>left</wp:align>
                      </wp:positionH>
                      <wp:positionV relativeFrom="line">
                        <wp:posOffset>635</wp:posOffset>
                      </wp:positionV>
                      <wp:extent cx="98425" cy="761365"/>
                      <wp:effectExtent l="0" t="0" r="0" b="0"/>
                      <wp:wrapNone/>
                      <wp:docPr id="1181" name="Frame1181"/>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Guadalajara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3">
                      <wp:simplePos x="0" y="0"/>
                      <wp:positionH relativeFrom="character">
                        <wp:align>left</wp:align>
                      </wp:positionH>
                      <wp:positionV relativeFrom="line">
                        <wp:posOffset>635</wp:posOffset>
                      </wp:positionV>
                      <wp:extent cx="69215" cy="217170"/>
                      <wp:effectExtent l="0" t="0" r="0" b="0"/>
                      <wp:wrapNone/>
                      <wp:docPr id="1182" name="Frame118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4">
                      <wp:simplePos x="0" y="0"/>
                      <wp:positionH relativeFrom="character">
                        <wp:align>left</wp:align>
                      </wp:positionH>
                      <wp:positionV relativeFrom="line">
                        <wp:posOffset>635</wp:posOffset>
                      </wp:positionV>
                      <wp:extent cx="98425" cy="761365"/>
                      <wp:effectExtent l="0" t="0" r="0" b="0"/>
                      <wp:wrapNone/>
                      <wp:docPr id="1183" name="Frame1183"/>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Occidente, S.A.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5">
                      <wp:simplePos x="0" y="0"/>
                      <wp:positionH relativeFrom="character">
                        <wp:align>left</wp:align>
                      </wp:positionH>
                      <wp:positionV relativeFrom="line">
                        <wp:posOffset>635</wp:posOffset>
                      </wp:positionV>
                      <wp:extent cx="69215" cy="217170"/>
                      <wp:effectExtent l="0" t="0" r="0" b="0"/>
                      <wp:wrapNone/>
                      <wp:docPr id="1184" name="Frame118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6">
                      <wp:simplePos x="0" y="0"/>
                      <wp:positionH relativeFrom="character">
                        <wp:align>left</wp:align>
                      </wp:positionH>
                      <wp:positionV relativeFrom="line">
                        <wp:posOffset>635</wp:posOffset>
                      </wp:positionV>
                      <wp:extent cx="98425" cy="761365"/>
                      <wp:effectExtent l="0" t="0" r="0" b="0"/>
                      <wp:wrapNone/>
                      <wp:docPr id="1185" name="Frame1185"/>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Miracle Partners,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7">
                      <wp:simplePos x="0" y="0"/>
                      <wp:positionH relativeFrom="character">
                        <wp:align>left</wp:align>
                      </wp:positionH>
                      <wp:positionV relativeFrom="line">
                        <wp:posOffset>635</wp:posOffset>
                      </wp:positionV>
                      <wp:extent cx="69215" cy="217170"/>
                      <wp:effectExtent l="0" t="0" r="0" b="0"/>
                      <wp:wrapNone/>
                      <wp:docPr id="1186" name="Frame118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8">
                      <wp:simplePos x="0" y="0"/>
                      <wp:positionH relativeFrom="character">
                        <wp:align>left</wp:align>
                      </wp:positionH>
                      <wp:positionV relativeFrom="line">
                        <wp:posOffset>635</wp:posOffset>
                      </wp:positionV>
                      <wp:extent cx="98425" cy="1047115"/>
                      <wp:effectExtent l="0" t="0" r="0" b="0"/>
                      <wp:wrapNone/>
                      <wp:docPr id="1187" name="Frame118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Building Solutions,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9">
                      <wp:simplePos x="0" y="0"/>
                      <wp:positionH relativeFrom="character">
                        <wp:align>left</wp:align>
                      </wp:positionH>
                      <wp:positionV relativeFrom="line">
                        <wp:posOffset>635</wp:posOffset>
                      </wp:positionV>
                      <wp:extent cx="69215" cy="217170"/>
                      <wp:effectExtent l="0" t="0" r="0" b="0"/>
                      <wp:wrapNone/>
                      <wp:docPr id="1188" name="Frame118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0">
                      <wp:simplePos x="0" y="0"/>
                      <wp:positionH relativeFrom="character">
                        <wp:align>left</wp:align>
                      </wp:positionH>
                      <wp:positionV relativeFrom="line">
                        <wp:posOffset>635</wp:posOffset>
                      </wp:positionV>
                      <wp:extent cx="98425" cy="1047115"/>
                      <wp:effectExtent l="0" t="0" r="0" b="0"/>
                      <wp:wrapNone/>
                      <wp:docPr id="1189" name="Frame118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Auto Parts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1">
                      <wp:simplePos x="0" y="0"/>
                      <wp:positionH relativeFrom="character">
                        <wp:align>left</wp:align>
                      </wp:positionH>
                      <wp:positionV relativeFrom="line">
                        <wp:posOffset>635</wp:posOffset>
                      </wp:positionV>
                      <wp:extent cx="69215" cy="217170"/>
                      <wp:effectExtent l="0" t="0" r="0" b="0"/>
                      <wp:wrapNone/>
                      <wp:docPr id="1190" name="Frame119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2">
                      <wp:simplePos x="0" y="0"/>
                      <wp:positionH relativeFrom="character">
                        <wp:align>left</wp:align>
                      </wp:positionH>
                      <wp:positionV relativeFrom="line">
                        <wp:posOffset>635</wp:posOffset>
                      </wp:positionV>
                      <wp:extent cx="98425" cy="1047115"/>
                      <wp:effectExtent l="0" t="0" r="0" b="0"/>
                      <wp:wrapNone/>
                      <wp:docPr id="1191" name="Frame119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BA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3">
                      <wp:simplePos x="0" y="0"/>
                      <wp:positionH relativeFrom="character">
                        <wp:align>left</wp:align>
                      </wp:positionH>
                      <wp:positionV relativeFrom="line">
                        <wp:posOffset>635</wp:posOffset>
                      </wp:positionV>
                      <wp:extent cx="69215" cy="217170"/>
                      <wp:effectExtent l="0" t="0" r="0" b="0"/>
                      <wp:wrapNone/>
                      <wp:docPr id="1192" name="Frame119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4">
                      <wp:simplePos x="0" y="0"/>
                      <wp:positionH relativeFrom="character">
                        <wp:align>left</wp:align>
                      </wp:positionH>
                      <wp:positionV relativeFrom="line">
                        <wp:posOffset>635</wp:posOffset>
                      </wp:positionV>
                      <wp:extent cx="98425" cy="1047115"/>
                      <wp:effectExtent l="0" t="0" r="0" b="0"/>
                      <wp:wrapNone/>
                      <wp:docPr id="1193" name="Frame119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AIM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5">
                      <wp:simplePos x="0" y="0"/>
                      <wp:positionH relativeFrom="character">
                        <wp:align>left</wp:align>
                      </wp:positionH>
                      <wp:positionV relativeFrom="line">
                        <wp:posOffset>635</wp:posOffset>
                      </wp:positionV>
                      <wp:extent cx="69215" cy="217170"/>
                      <wp:effectExtent l="0" t="0" r="0" b="0"/>
                      <wp:wrapNone/>
                      <wp:docPr id="1194" name="Frame119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6">
                      <wp:simplePos x="0" y="0"/>
                      <wp:positionH relativeFrom="character">
                        <wp:align>left</wp:align>
                      </wp:positionH>
                      <wp:positionV relativeFrom="line">
                        <wp:posOffset>635</wp:posOffset>
                      </wp:positionV>
                      <wp:extent cx="98425" cy="1047115"/>
                      <wp:effectExtent l="0" t="0" r="0" b="0"/>
                      <wp:wrapNone/>
                      <wp:docPr id="1195" name="Frame119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Icahn Automotive Service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7">
                      <wp:simplePos x="0" y="0"/>
                      <wp:positionH relativeFrom="character">
                        <wp:align>left</wp:align>
                      </wp:positionH>
                      <wp:positionV relativeFrom="line">
                        <wp:posOffset>635</wp:posOffset>
                      </wp:positionV>
                      <wp:extent cx="69215" cy="217170"/>
                      <wp:effectExtent l="0" t="0" r="0" b="0"/>
                      <wp:wrapNone/>
                      <wp:docPr id="1196" name="Frame119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8">
                      <wp:simplePos x="0" y="0"/>
                      <wp:positionH relativeFrom="character">
                        <wp:align>left</wp:align>
                      </wp:positionH>
                      <wp:positionV relativeFrom="line">
                        <wp:posOffset>635</wp:posOffset>
                      </wp:positionV>
                      <wp:extent cx="98425" cy="1047115"/>
                      <wp:effectExtent l="0" t="0" r="0" b="0"/>
                      <wp:wrapNone/>
                      <wp:docPr id="1197" name="Frame119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Icahn Automotive Service Partners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9">
                      <wp:simplePos x="0" y="0"/>
                      <wp:positionH relativeFrom="character">
                        <wp:align>left</wp:align>
                      </wp:positionH>
                      <wp:positionV relativeFrom="line">
                        <wp:posOffset>635</wp:posOffset>
                      </wp:positionV>
                      <wp:extent cx="69215" cy="217170"/>
                      <wp:effectExtent l="0" t="0" r="0" b="0"/>
                      <wp:wrapNone/>
                      <wp:docPr id="1198" name="Frame119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0">
                      <wp:simplePos x="0" y="0"/>
                      <wp:positionH relativeFrom="character">
                        <wp:align>left</wp:align>
                      </wp:positionH>
                      <wp:positionV relativeFrom="line">
                        <wp:posOffset>635</wp:posOffset>
                      </wp:positionV>
                      <wp:extent cx="98425" cy="1047115"/>
                      <wp:effectExtent l="0" t="0" r="0" b="0"/>
                      <wp:wrapNone/>
                      <wp:docPr id="1199" name="Frame119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Auto Parts LLC (433 "Auto Plus" and 55 "Consumer Auto Parts"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1">
                      <wp:simplePos x="0" y="0"/>
                      <wp:positionH relativeFrom="character">
                        <wp:align>left</wp:align>
                      </wp:positionH>
                      <wp:positionV relativeFrom="line">
                        <wp:posOffset>635</wp:posOffset>
                      </wp:positionV>
                      <wp:extent cx="69215" cy="217170"/>
                      <wp:effectExtent l="0" t="0" r="0" b="0"/>
                      <wp:wrapNone/>
                      <wp:docPr id="1200" name="Frame120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2">
                      <wp:simplePos x="0" y="0"/>
                      <wp:positionH relativeFrom="character">
                        <wp:align>left</wp:align>
                      </wp:positionH>
                      <wp:positionV relativeFrom="line">
                        <wp:posOffset>635</wp:posOffset>
                      </wp:positionV>
                      <wp:extent cx="98425" cy="1047115"/>
                      <wp:effectExtent l="0" t="0" r="0" b="0"/>
                      <wp:wrapNone/>
                      <wp:docPr id="1201" name="Frame120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Clark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3">
                      <wp:simplePos x="0" y="0"/>
                      <wp:positionH relativeFrom="character">
                        <wp:align>left</wp:align>
                      </wp:positionH>
                      <wp:positionV relativeFrom="line">
                        <wp:posOffset>635</wp:posOffset>
                      </wp:positionV>
                      <wp:extent cx="69215" cy="217170"/>
                      <wp:effectExtent l="0" t="0" r="0" b="0"/>
                      <wp:wrapNone/>
                      <wp:docPr id="1202" name="Frame120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4">
                      <wp:simplePos x="0" y="0"/>
                      <wp:positionH relativeFrom="character">
                        <wp:align>left</wp:align>
                      </wp:positionH>
                      <wp:positionV relativeFrom="line">
                        <wp:posOffset>635</wp:posOffset>
                      </wp:positionV>
                      <wp:extent cx="98425" cy="1047115"/>
                      <wp:effectExtent l="0" t="0" r="0" b="0"/>
                      <wp:wrapNone/>
                      <wp:docPr id="1203" name="Frame120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Gordon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5">
                      <wp:simplePos x="0" y="0"/>
                      <wp:positionH relativeFrom="character">
                        <wp:align>left</wp:align>
                      </wp:positionH>
                      <wp:positionV relativeFrom="line">
                        <wp:posOffset>635</wp:posOffset>
                      </wp:positionV>
                      <wp:extent cx="69215" cy="217170"/>
                      <wp:effectExtent l="0" t="0" r="0" b="0"/>
                      <wp:wrapNone/>
                      <wp:docPr id="1204" name="Frame120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6">
                      <wp:simplePos x="0" y="0"/>
                      <wp:positionH relativeFrom="character">
                        <wp:align>left</wp:align>
                      </wp:positionH>
                      <wp:positionV relativeFrom="line">
                        <wp:posOffset>635</wp:posOffset>
                      </wp:positionV>
                      <wp:extent cx="98425" cy="1047115"/>
                      <wp:effectExtent l="0" t="0" r="0" b="0"/>
                      <wp:wrapNone/>
                      <wp:docPr id="1205" name="Frame120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Missouri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7">
                      <wp:simplePos x="0" y="0"/>
                      <wp:positionH relativeFrom="character">
                        <wp:align>left</wp:align>
                      </wp:positionH>
                      <wp:positionV relativeFrom="line">
                        <wp:posOffset>635</wp:posOffset>
                      </wp:positionV>
                      <wp:extent cx="69215" cy="217170"/>
                      <wp:effectExtent l="0" t="0" r="0" b="0"/>
                      <wp:wrapNone/>
                      <wp:docPr id="1206" name="Frame120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8">
                      <wp:simplePos x="0" y="0"/>
                      <wp:positionH relativeFrom="character">
                        <wp:align>left</wp:align>
                      </wp:positionH>
                      <wp:positionV relativeFrom="line">
                        <wp:posOffset>635</wp:posOffset>
                      </wp:positionV>
                      <wp:extent cx="98425" cy="1047115"/>
                      <wp:effectExtent l="0" t="0" r="0" b="0"/>
                      <wp:wrapNone/>
                      <wp:docPr id="1207" name="Frame120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Washington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9">
                      <wp:simplePos x="0" y="0"/>
                      <wp:positionH relativeFrom="character">
                        <wp:align>left</wp:align>
                      </wp:positionH>
                      <wp:positionV relativeFrom="line">
                        <wp:posOffset>635</wp:posOffset>
                      </wp:positionV>
                      <wp:extent cx="69215" cy="217170"/>
                      <wp:effectExtent l="0" t="0" r="0" b="0"/>
                      <wp:wrapNone/>
                      <wp:docPr id="1208" name="Frame120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0">
                      <wp:simplePos x="0" y="0"/>
                      <wp:positionH relativeFrom="character">
                        <wp:align>left</wp:align>
                      </wp:positionH>
                      <wp:positionV relativeFrom="line">
                        <wp:posOffset>635</wp:posOffset>
                      </wp:positionV>
                      <wp:extent cx="98425" cy="1047115"/>
                      <wp:effectExtent l="0" t="0" r="0" b="0"/>
                      <wp:wrapNone/>
                      <wp:docPr id="1209" name="Frame120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Massachusetts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1">
                      <wp:simplePos x="0" y="0"/>
                      <wp:positionH relativeFrom="character">
                        <wp:align>left</wp:align>
                      </wp:positionH>
                      <wp:positionV relativeFrom="line">
                        <wp:posOffset>635</wp:posOffset>
                      </wp:positionV>
                      <wp:extent cx="69215" cy="217170"/>
                      <wp:effectExtent l="0" t="0" r="0" b="0"/>
                      <wp:wrapNone/>
                      <wp:docPr id="1210" name="Frame121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2">
                      <wp:simplePos x="0" y="0"/>
                      <wp:positionH relativeFrom="character">
                        <wp:align>left</wp:align>
                      </wp:positionH>
                      <wp:positionV relativeFrom="line">
                        <wp:posOffset>635</wp:posOffset>
                      </wp:positionV>
                      <wp:extent cx="98425" cy="1047115"/>
                      <wp:effectExtent l="0" t="0" r="0" b="0"/>
                      <wp:wrapNone/>
                      <wp:docPr id="1211" name="Frame121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New York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3">
                      <wp:simplePos x="0" y="0"/>
                      <wp:positionH relativeFrom="character">
                        <wp:align>left</wp:align>
                      </wp:positionH>
                      <wp:positionV relativeFrom="line">
                        <wp:posOffset>635</wp:posOffset>
                      </wp:positionV>
                      <wp:extent cx="69215" cy="217170"/>
                      <wp:effectExtent l="0" t="0" r="0" b="0"/>
                      <wp:wrapNone/>
                      <wp:docPr id="1212" name="Frame121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4">
                      <wp:simplePos x="0" y="0"/>
                      <wp:positionH relativeFrom="character">
                        <wp:align>left</wp:align>
                      </wp:positionH>
                      <wp:positionV relativeFrom="line">
                        <wp:posOffset>635</wp:posOffset>
                      </wp:positionV>
                      <wp:extent cx="98425" cy="1047115"/>
                      <wp:effectExtent l="0" t="0" r="0" b="0"/>
                      <wp:wrapNone/>
                      <wp:docPr id="1213" name="Frame121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North Carolina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5">
                      <wp:simplePos x="0" y="0"/>
                      <wp:positionH relativeFrom="character">
                        <wp:align>left</wp:align>
                      </wp:positionH>
                      <wp:positionV relativeFrom="line">
                        <wp:posOffset>635</wp:posOffset>
                      </wp:positionV>
                      <wp:extent cx="69215" cy="217170"/>
                      <wp:effectExtent l="0" t="0" r="0" b="0"/>
                      <wp:wrapNone/>
                      <wp:docPr id="1214" name="Frame121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6">
                      <wp:simplePos x="0" y="0"/>
                      <wp:positionH relativeFrom="character">
                        <wp:align>left</wp:align>
                      </wp:positionH>
                      <wp:positionV relativeFrom="line">
                        <wp:posOffset>635</wp:posOffset>
                      </wp:positionV>
                      <wp:extent cx="98425" cy="1047115"/>
                      <wp:effectExtent l="0" t="0" r="0" b="0"/>
                      <wp:wrapNone/>
                      <wp:docPr id="1215" name="Frame121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Transmissions,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7">
                      <wp:simplePos x="0" y="0"/>
                      <wp:positionH relativeFrom="character">
                        <wp:align>left</wp:align>
                      </wp:positionH>
                      <wp:positionV relativeFrom="line">
                        <wp:posOffset>635</wp:posOffset>
                      </wp:positionV>
                      <wp:extent cx="69215" cy="217170"/>
                      <wp:effectExtent l="0" t="0" r="0" b="0"/>
                      <wp:wrapNone/>
                      <wp:docPr id="1216" name="Frame121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8">
                      <wp:simplePos x="0" y="0"/>
                      <wp:positionH relativeFrom="character">
                        <wp:align>left</wp:align>
                      </wp:positionH>
                      <wp:positionV relativeFrom="line">
                        <wp:posOffset>635</wp:posOffset>
                      </wp:positionV>
                      <wp:extent cx="98425" cy="1618615"/>
                      <wp:effectExtent l="0" t="0" r="0" b="0"/>
                      <wp:wrapNone/>
                      <wp:docPr id="1217" name="Frame1217"/>
                      <a:graphic xmlns:a="http://schemas.openxmlformats.org/drawingml/2006/main">
                        <a:graphicData uri="http://schemas.microsoft.com/office/word/2010/wordprocessingShape">
                          <wps:wsp>
                            <wps:cNvSpPr txBox="1"/>
                            <wps:spPr>
                              <a:xfrm>
                                <a:off x="0" y="0"/>
                                <a:ext cx="98425" cy="1618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Canada,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9">
                      <wp:simplePos x="0" y="0"/>
                      <wp:positionH relativeFrom="character">
                        <wp:align>left</wp:align>
                      </wp:positionH>
                      <wp:positionV relativeFrom="line">
                        <wp:posOffset>635</wp:posOffset>
                      </wp:positionV>
                      <wp:extent cx="69215" cy="217170"/>
                      <wp:effectExtent l="0" t="0" r="0" b="0"/>
                      <wp:wrapNone/>
                      <wp:docPr id="1218" name="Frame121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0">
                      <wp:simplePos x="0" y="0"/>
                      <wp:positionH relativeFrom="character">
                        <wp:align>left</wp:align>
                      </wp:positionH>
                      <wp:positionV relativeFrom="line">
                        <wp:posOffset>635</wp:posOffset>
                      </wp:positionV>
                      <wp:extent cx="98425" cy="1536700"/>
                      <wp:effectExtent l="0" t="0" r="0" b="0"/>
                      <wp:wrapNone/>
                      <wp:docPr id="1219" name="Frame1219"/>
                      <a:graphic xmlns:a="http://schemas.openxmlformats.org/drawingml/2006/main">
                        <a:graphicData uri="http://schemas.microsoft.com/office/word/2010/wordprocessingShape">
                          <wps:wsp>
                            <wps:cNvSpPr txBox="1"/>
                            <wps:spPr>
                              <a:xfrm>
                                <a:off x="0" y="0"/>
                                <a:ext cx="98425" cy="153670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New Brunswick, Canada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New Brunswick, Canada</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American Driveline Technical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1">
                      <wp:simplePos x="0" y="0"/>
                      <wp:positionH relativeFrom="character">
                        <wp:align>left</wp:align>
                      </wp:positionH>
                      <wp:positionV relativeFrom="line">
                        <wp:posOffset>635</wp:posOffset>
                      </wp:positionV>
                      <wp:extent cx="69215" cy="217170"/>
                      <wp:effectExtent l="0" t="0" r="0" b="0"/>
                      <wp:wrapNone/>
                      <wp:docPr id="1220" name="Frame122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2">
                      <wp:simplePos x="0" y="0"/>
                      <wp:positionH relativeFrom="character">
                        <wp:align>left</wp:align>
                      </wp:positionH>
                      <wp:positionV relativeFrom="line">
                        <wp:posOffset>635</wp:posOffset>
                      </wp:positionV>
                      <wp:extent cx="98425" cy="1327785"/>
                      <wp:effectExtent l="0" t="0" r="0" b="0"/>
                      <wp:wrapNone/>
                      <wp:docPr id="1221" name="Frame1221"/>
                      <a:graphic xmlns:a="http://schemas.openxmlformats.org/drawingml/2006/main">
                        <a:graphicData uri="http://schemas.microsoft.com/office/word/2010/wordprocessingShape">
                          <wps:wsp>
                            <wps:cNvSpPr txBox="1"/>
                            <wps:spPr>
                              <a:xfrm>
                                <a:off x="0" y="0"/>
                                <a:ext cx="98425" cy="132778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04.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American Driveline Centers,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3">
                      <wp:simplePos x="0" y="0"/>
                      <wp:positionH relativeFrom="character">
                        <wp:align>left</wp:align>
                      </wp:positionH>
                      <wp:positionV relativeFrom="line">
                        <wp:posOffset>635</wp:posOffset>
                      </wp:positionV>
                      <wp:extent cx="69215" cy="217170"/>
                      <wp:effectExtent l="0" t="0" r="0" b="0"/>
                      <wp:wrapNone/>
                      <wp:docPr id="1222" name="Frame122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4">
                      <wp:simplePos x="0" y="0"/>
                      <wp:positionH relativeFrom="character">
                        <wp:align>left</wp:align>
                      </wp:positionH>
                      <wp:positionV relativeFrom="line">
                        <wp:posOffset>635</wp:posOffset>
                      </wp:positionV>
                      <wp:extent cx="98425" cy="1118870"/>
                      <wp:effectExtent l="0" t="0" r="0" b="0"/>
                      <wp:wrapNone/>
                      <wp:docPr id="1223" name="Frame1223"/>
                      <a:graphic xmlns:a="http://schemas.openxmlformats.org/drawingml/2006/main">
                        <a:graphicData uri="http://schemas.microsoft.com/office/word/2010/wordprocessingShape">
                          <wps:wsp>
                            <wps:cNvSpPr txBox="1"/>
                            <wps:spPr>
                              <a:xfrm>
                                <a:off x="0" y="0"/>
                                <a:ext cx="98425" cy="111887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8.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Cottman Transmission Systems,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5">
                      <wp:simplePos x="0" y="0"/>
                      <wp:positionH relativeFrom="character">
                        <wp:align>left</wp:align>
                      </wp:positionH>
                      <wp:positionV relativeFrom="line">
                        <wp:posOffset>635</wp:posOffset>
                      </wp:positionV>
                      <wp:extent cx="69215" cy="217170"/>
                      <wp:effectExtent l="0" t="0" r="0" b="0"/>
                      <wp:wrapNone/>
                      <wp:docPr id="1224" name="Frame122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6">
                      <wp:simplePos x="0" y="0"/>
                      <wp:positionH relativeFrom="character">
                        <wp:align>left</wp:align>
                      </wp:positionH>
                      <wp:positionV relativeFrom="line">
                        <wp:posOffset>635</wp:posOffset>
                      </wp:positionV>
                      <wp:extent cx="98425" cy="909955"/>
                      <wp:effectExtent l="0" t="0" r="0" b="0"/>
                      <wp:wrapNone/>
                      <wp:docPr id="1225" name="Frame1225"/>
                      <a:graphic xmlns:a="http://schemas.openxmlformats.org/drawingml/2006/main">
                        <a:graphicData uri="http://schemas.microsoft.com/office/word/2010/wordprocessingShape">
                          <wps:wsp>
                            <wps:cNvSpPr txBox="1"/>
                            <wps:spPr>
                              <a:xfrm>
                                <a:off x="0" y="0"/>
                                <a:ext cx="98425" cy="90995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Ross Advertising,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7">
                      <wp:simplePos x="0" y="0"/>
                      <wp:positionH relativeFrom="character">
                        <wp:align>left</wp:align>
                      </wp:positionH>
                      <wp:positionV relativeFrom="line">
                        <wp:posOffset>635</wp:posOffset>
                      </wp:positionV>
                      <wp:extent cx="69215" cy="217170"/>
                      <wp:effectExtent l="0" t="0" r="0" b="0"/>
                      <wp:wrapNone/>
                      <wp:docPr id="1226" name="Frame122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8">
                      <wp:simplePos x="0" y="0"/>
                      <wp:positionH relativeFrom="character">
                        <wp:align>left</wp:align>
                      </wp:positionH>
                      <wp:positionV relativeFrom="line">
                        <wp:posOffset>635</wp:posOffset>
                      </wp:positionV>
                      <wp:extent cx="98425" cy="701040"/>
                      <wp:effectExtent l="0" t="0" r="0" b="0"/>
                      <wp:wrapNone/>
                      <wp:docPr id="1227" name="Frame1227"/>
                      <a:graphic xmlns:a="http://schemas.openxmlformats.org/drawingml/2006/main">
                        <a:graphicData uri="http://schemas.microsoft.com/office/word/2010/wordprocessingShape">
                          <wps:wsp>
                            <wps:cNvSpPr txBox="1"/>
                            <wps:spPr>
                              <a:xfrm>
                                <a:off x="0" y="0"/>
                                <a:ext cx="98425" cy="7010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Retail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9">
                      <wp:simplePos x="0" y="0"/>
                      <wp:positionH relativeFrom="character">
                        <wp:align>left</wp:align>
                      </wp:positionH>
                      <wp:positionV relativeFrom="line">
                        <wp:posOffset>635</wp:posOffset>
                      </wp:positionV>
                      <wp:extent cx="69215" cy="217170"/>
                      <wp:effectExtent l="0" t="0" r="0" b="0"/>
                      <wp:wrapNone/>
                      <wp:docPr id="1228" name="Frame122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0">
                      <wp:simplePos x="0" y="0"/>
                      <wp:positionH relativeFrom="character">
                        <wp:align>left</wp:align>
                      </wp:positionH>
                      <wp:positionV relativeFrom="line">
                        <wp:posOffset>635</wp:posOffset>
                      </wp:positionV>
                      <wp:extent cx="98425" cy="492125"/>
                      <wp:effectExtent l="0" t="0" r="0" b="0"/>
                      <wp:wrapNone/>
                      <wp:docPr id="1229" name="Frame1229"/>
                      <a:graphic xmlns:a="http://schemas.openxmlformats.org/drawingml/2006/main">
                        <a:graphicData uri="http://schemas.microsoft.com/office/word/2010/wordprocessingShape">
                          <wps:wsp>
                            <wps:cNvSpPr txBox="1"/>
                            <wps:spPr>
                              <a:xfrm>
                                <a:off x="0" y="0"/>
                                <a:ext cx="98425" cy="49212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Northeast LLC (3 "AAMCO"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1">
                      <wp:simplePos x="0" y="0"/>
                      <wp:positionH relativeFrom="character">
                        <wp:align>left</wp:align>
                      </wp:positionH>
                      <wp:positionV relativeFrom="line">
                        <wp:posOffset>635</wp:posOffset>
                      </wp:positionV>
                      <wp:extent cx="69215" cy="217170"/>
                      <wp:effectExtent l="0" t="0" r="0" b="0"/>
                      <wp:wrapNone/>
                      <wp:docPr id="1230" name="Frame123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2">
                      <wp:simplePos x="0" y="0"/>
                      <wp:positionH relativeFrom="character">
                        <wp:align>left</wp:align>
                      </wp:positionH>
                      <wp:positionV relativeFrom="line">
                        <wp:posOffset>635</wp:posOffset>
                      </wp:positionV>
                      <wp:extent cx="98425" cy="283210"/>
                      <wp:effectExtent l="0" t="0" r="0" b="0"/>
                      <wp:wrapNone/>
                      <wp:docPr id="1231" name="Frame1231"/>
                      <a:graphic xmlns:a="http://schemas.openxmlformats.org/drawingml/2006/main">
                        <a:graphicData uri="http://schemas.microsoft.com/office/word/2010/wordprocessingShape">
                          <wps:wsp>
                            <wps:cNvSpPr txBox="1"/>
                            <wps:spPr>
                              <a:xfrm>
                                <a:off x="0" y="0"/>
                                <a:ext cx="98425" cy="28321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Northwest LLC (10 "AAMCO" stores omitted)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3">
                      <wp:simplePos x="0" y="0"/>
                      <wp:positionH relativeFrom="character">
                        <wp:align>left</wp:align>
                      </wp:positionH>
                      <wp:positionV relativeFrom="line">
                        <wp:posOffset>635</wp:posOffset>
                      </wp:positionV>
                      <wp:extent cx="69215" cy="217170"/>
                      <wp:effectExtent l="0" t="0" r="0" b="0"/>
                      <wp:wrapNone/>
                      <wp:docPr id="1232" name="Frame1232"/>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4">
                      <wp:simplePos x="0" y="0"/>
                      <wp:positionH relativeFrom="character">
                        <wp:align>left</wp:align>
                      </wp:positionH>
                      <wp:positionV relativeFrom="line">
                        <wp:posOffset>635</wp:posOffset>
                      </wp:positionV>
                      <wp:extent cx="98425" cy="1047115"/>
                      <wp:effectExtent l="0" t="0" r="0" b="0"/>
                      <wp:wrapNone/>
                      <wp:docPr id="1233" name="Frame1233"/>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Southeast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5">
                      <wp:simplePos x="0" y="0"/>
                      <wp:positionH relativeFrom="character">
                        <wp:align>left</wp:align>
                      </wp:positionH>
                      <wp:positionV relativeFrom="line">
                        <wp:posOffset>635</wp:posOffset>
                      </wp:positionV>
                      <wp:extent cx="69215" cy="217170"/>
                      <wp:effectExtent l="0" t="0" r="0" b="0"/>
                      <wp:wrapNone/>
                      <wp:docPr id="1234" name="Frame1234"/>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6">
                      <wp:simplePos x="0" y="0"/>
                      <wp:positionH relativeFrom="character">
                        <wp:align>left</wp:align>
                      </wp:positionH>
                      <wp:positionV relativeFrom="line">
                        <wp:posOffset>635</wp:posOffset>
                      </wp:positionV>
                      <wp:extent cx="98425" cy="1047115"/>
                      <wp:effectExtent l="0" t="0" r="0" b="0"/>
                      <wp:wrapNone/>
                      <wp:docPr id="1235" name="Frame1235"/>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Southwest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7">
                      <wp:simplePos x="0" y="0"/>
                      <wp:positionH relativeFrom="character">
                        <wp:align>left</wp:align>
                      </wp:positionH>
                      <wp:positionV relativeFrom="line">
                        <wp:posOffset>635</wp:posOffset>
                      </wp:positionV>
                      <wp:extent cx="69215" cy="217170"/>
                      <wp:effectExtent l="0" t="0" r="0" b="0"/>
                      <wp:wrapNone/>
                      <wp:docPr id="1236" name="Frame1236"/>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8">
                      <wp:simplePos x="0" y="0"/>
                      <wp:positionH relativeFrom="character">
                        <wp:align>left</wp:align>
                      </wp:positionH>
                      <wp:positionV relativeFrom="line">
                        <wp:posOffset>635</wp:posOffset>
                      </wp:positionV>
                      <wp:extent cx="98425" cy="1047115"/>
                      <wp:effectExtent l="0" t="0" r="0" b="0"/>
                      <wp:wrapNone/>
                      <wp:docPr id="1237" name="Frame1237"/>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Transom ADS Holdings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9">
                      <wp:simplePos x="0" y="0"/>
                      <wp:positionH relativeFrom="character">
                        <wp:align>left</wp:align>
                      </wp:positionH>
                      <wp:positionV relativeFrom="line">
                        <wp:posOffset>635</wp:posOffset>
                      </wp:positionV>
                      <wp:extent cx="69215" cy="217170"/>
                      <wp:effectExtent l="0" t="0" r="0" b="0"/>
                      <wp:wrapNone/>
                      <wp:docPr id="1238" name="Frame1238"/>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0">
                      <wp:simplePos x="0" y="0"/>
                      <wp:positionH relativeFrom="character">
                        <wp:align>left</wp:align>
                      </wp:positionH>
                      <wp:positionV relativeFrom="line">
                        <wp:posOffset>635</wp:posOffset>
                      </wp:positionV>
                      <wp:extent cx="98425" cy="1047115"/>
                      <wp:effectExtent l="0" t="0" r="0" b="0"/>
                      <wp:wrapNone/>
                      <wp:docPr id="1239" name="Frame1239"/>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American Driveline Systems,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1">
                      <wp:simplePos x="0" y="0"/>
                      <wp:positionH relativeFrom="character">
                        <wp:align>left</wp:align>
                      </wp:positionH>
                      <wp:positionV relativeFrom="line">
                        <wp:posOffset>635</wp:posOffset>
                      </wp:positionV>
                      <wp:extent cx="69215" cy="217170"/>
                      <wp:effectExtent l="0" t="0" r="0" b="0"/>
                      <wp:wrapNone/>
                      <wp:docPr id="1240" name="Frame1240"/>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2">
                      <wp:simplePos x="0" y="0"/>
                      <wp:positionH relativeFrom="character">
                        <wp:align>left</wp:align>
                      </wp:positionH>
                      <wp:positionV relativeFrom="line">
                        <wp:posOffset>635</wp:posOffset>
                      </wp:positionV>
                      <wp:extent cx="98425" cy="1047115"/>
                      <wp:effectExtent l="0" t="0" r="0" b="0"/>
                      <wp:wrapNone/>
                      <wp:docPr id="1241" name="Frame1241"/>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Energy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3">
                      <wp:simplePos x="0" y="0"/>
                      <wp:positionH relativeFrom="character">
                        <wp:align>left</wp:align>
                      </wp:positionH>
                      <wp:positionV relativeFrom="line">
                        <wp:posOffset>635</wp:posOffset>
                      </wp:positionV>
                      <wp:extent cx="69215" cy="220980"/>
                      <wp:effectExtent l="0" t="0" r="0" b="0"/>
                      <wp:wrapNone/>
                      <wp:docPr id="1242" name="Frame124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4">
                      <wp:simplePos x="0" y="0"/>
                      <wp:positionH relativeFrom="character">
                        <wp:align>left</wp:align>
                      </wp:positionH>
                      <wp:positionV relativeFrom="line">
                        <wp:posOffset>635</wp:posOffset>
                      </wp:positionV>
                      <wp:extent cx="98425" cy="1064895"/>
                      <wp:effectExtent l="0" t="0" r="0" b="0"/>
                      <wp:wrapNone/>
                      <wp:docPr id="1243" name="Frame124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CVR Energy Holdings,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5">
                      <wp:simplePos x="0" y="0"/>
                      <wp:positionH relativeFrom="character">
                        <wp:align>left</wp:align>
                      </wp:positionH>
                      <wp:positionV relativeFrom="line">
                        <wp:posOffset>635</wp:posOffset>
                      </wp:positionV>
                      <wp:extent cx="69215" cy="220980"/>
                      <wp:effectExtent l="0" t="0" r="0" b="0"/>
                      <wp:wrapNone/>
                      <wp:docPr id="1244" name="Frame124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6">
                      <wp:simplePos x="0" y="0"/>
                      <wp:positionH relativeFrom="character">
                        <wp:align>left</wp:align>
                      </wp:positionH>
                      <wp:positionV relativeFrom="line">
                        <wp:posOffset>635</wp:posOffset>
                      </wp:positionV>
                      <wp:extent cx="98425" cy="1064895"/>
                      <wp:effectExtent l="0" t="0" r="0" b="0"/>
                      <wp:wrapNone/>
                      <wp:docPr id="1245" name="Frame124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7">
                      <wp:simplePos x="0" y="0"/>
                      <wp:positionH relativeFrom="character">
                        <wp:align>left</wp:align>
                      </wp:positionH>
                      <wp:positionV relativeFrom="line">
                        <wp:posOffset>635</wp:posOffset>
                      </wp:positionV>
                      <wp:extent cx="69215" cy="220980"/>
                      <wp:effectExtent l="0" t="0" r="0" b="0"/>
                      <wp:wrapNone/>
                      <wp:docPr id="1246" name="Frame124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8">
                      <wp:simplePos x="0" y="0"/>
                      <wp:positionH relativeFrom="character">
                        <wp:align>left</wp:align>
                      </wp:positionH>
                      <wp:positionV relativeFrom="line">
                        <wp:posOffset>635</wp:posOffset>
                      </wp:positionV>
                      <wp:extent cx="98425" cy="1064895"/>
                      <wp:effectExtent l="0" t="0" r="0" b="0"/>
                      <wp:wrapNone/>
                      <wp:docPr id="1247" name="Frame124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Coffeyville Resources Crude Transportation,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9">
                      <wp:simplePos x="0" y="0"/>
                      <wp:positionH relativeFrom="character">
                        <wp:align>left</wp:align>
                      </wp:positionH>
                      <wp:positionV relativeFrom="line">
                        <wp:posOffset>635</wp:posOffset>
                      </wp:positionV>
                      <wp:extent cx="69215" cy="220980"/>
                      <wp:effectExtent l="0" t="0" r="0" b="0"/>
                      <wp:wrapNone/>
                      <wp:docPr id="1248" name="Frame124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0">
                      <wp:simplePos x="0" y="0"/>
                      <wp:positionH relativeFrom="character">
                        <wp:align>left</wp:align>
                      </wp:positionH>
                      <wp:positionV relativeFrom="line">
                        <wp:posOffset>635</wp:posOffset>
                      </wp:positionV>
                      <wp:extent cx="98425" cy="1064895"/>
                      <wp:effectExtent l="0" t="0" r="0" b="0"/>
                      <wp:wrapNone/>
                      <wp:docPr id="1249" name="Frame124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Coffeyville Resources Nitrogen Fertilizers,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1">
                      <wp:simplePos x="0" y="0"/>
                      <wp:positionH relativeFrom="character">
                        <wp:align>left</wp:align>
                      </wp:positionH>
                      <wp:positionV relativeFrom="line">
                        <wp:posOffset>635</wp:posOffset>
                      </wp:positionV>
                      <wp:extent cx="69215" cy="220980"/>
                      <wp:effectExtent l="0" t="0" r="0" b="0"/>
                      <wp:wrapNone/>
                      <wp:docPr id="1250" name="Frame125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2">
                      <wp:simplePos x="0" y="0"/>
                      <wp:positionH relativeFrom="character">
                        <wp:align>left</wp:align>
                      </wp:positionH>
                      <wp:positionV relativeFrom="line">
                        <wp:posOffset>635</wp:posOffset>
                      </wp:positionV>
                      <wp:extent cx="98425" cy="1064895"/>
                      <wp:effectExtent l="0" t="0" r="0" b="0"/>
                      <wp:wrapNone/>
                      <wp:docPr id="1251" name="Frame125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Coffeyville Resources Pipeline,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3">
                      <wp:simplePos x="0" y="0"/>
                      <wp:positionH relativeFrom="character">
                        <wp:align>left</wp:align>
                      </wp:positionH>
                      <wp:positionV relativeFrom="line">
                        <wp:posOffset>635</wp:posOffset>
                      </wp:positionV>
                      <wp:extent cx="69215" cy="220980"/>
                      <wp:effectExtent l="0" t="0" r="0" b="0"/>
                      <wp:wrapNone/>
                      <wp:docPr id="1252" name="Frame125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4">
                      <wp:simplePos x="0" y="0"/>
                      <wp:positionH relativeFrom="character">
                        <wp:align>left</wp:align>
                      </wp:positionH>
                      <wp:positionV relativeFrom="line">
                        <wp:posOffset>635</wp:posOffset>
                      </wp:positionV>
                      <wp:extent cx="98425" cy="1064895"/>
                      <wp:effectExtent l="0" t="0" r="0" b="0"/>
                      <wp:wrapNone/>
                      <wp:docPr id="1253" name="Frame125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Partners,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5">
                      <wp:simplePos x="0" y="0"/>
                      <wp:positionH relativeFrom="character">
                        <wp:align>left</wp:align>
                      </wp:positionH>
                      <wp:positionV relativeFrom="line">
                        <wp:posOffset>635</wp:posOffset>
                      </wp:positionV>
                      <wp:extent cx="69215" cy="220980"/>
                      <wp:effectExtent l="0" t="0" r="0" b="0"/>
                      <wp:wrapNone/>
                      <wp:docPr id="1254" name="Frame125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6">
                      <wp:simplePos x="0" y="0"/>
                      <wp:positionH relativeFrom="character">
                        <wp:align>left</wp:align>
                      </wp:positionH>
                      <wp:positionV relativeFrom="line">
                        <wp:posOffset>635</wp:posOffset>
                      </wp:positionV>
                      <wp:extent cx="98425" cy="1064895"/>
                      <wp:effectExtent l="0" t="0" r="0" b="0"/>
                      <wp:wrapNone/>
                      <wp:docPr id="1255" name="Frame125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Wynnewood Energy Company,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7">
                      <wp:simplePos x="0" y="0"/>
                      <wp:positionH relativeFrom="character">
                        <wp:align>left</wp:align>
                      </wp:positionH>
                      <wp:positionV relativeFrom="line">
                        <wp:posOffset>635</wp:posOffset>
                      </wp:positionV>
                      <wp:extent cx="69215" cy="220980"/>
                      <wp:effectExtent l="0" t="0" r="0" b="0"/>
                      <wp:wrapNone/>
                      <wp:docPr id="1256" name="Frame125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8">
                      <wp:simplePos x="0" y="0"/>
                      <wp:positionH relativeFrom="character">
                        <wp:align>left</wp:align>
                      </wp:positionH>
                      <wp:positionV relativeFrom="line">
                        <wp:posOffset>635</wp:posOffset>
                      </wp:positionV>
                      <wp:extent cx="98425" cy="1064895"/>
                      <wp:effectExtent l="0" t="0" r="0" b="0"/>
                      <wp:wrapNone/>
                      <wp:docPr id="1257" name="Frame125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RHC,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9">
                      <wp:simplePos x="0" y="0"/>
                      <wp:positionH relativeFrom="character">
                        <wp:align>left</wp:align>
                      </wp:positionH>
                      <wp:positionV relativeFrom="line">
                        <wp:posOffset>635</wp:posOffset>
                      </wp:positionV>
                      <wp:extent cx="69215" cy="220980"/>
                      <wp:effectExtent l="0" t="0" r="0" b="0"/>
                      <wp:wrapNone/>
                      <wp:docPr id="1258" name="Frame125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0">
                      <wp:simplePos x="0" y="0"/>
                      <wp:positionH relativeFrom="character">
                        <wp:align>left</wp:align>
                      </wp:positionH>
                      <wp:positionV relativeFrom="line">
                        <wp:posOffset>635</wp:posOffset>
                      </wp:positionV>
                      <wp:extent cx="98425" cy="1064895"/>
                      <wp:effectExtent l="0" t="0" r="0" b="0"/>
                      <wp:wrapNone/>
                      <wp:docPr id="1259" name="Frame125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690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1">
                      <wp:simplePos x="0" y="0"/>
                      <wp:positionH relativeFrom="character">
                        <wp:align>left</wp:align>
                      </wp:positionH>
                      <wp:positionV relativeFrom="line">
                        <wp:posOffset>635</wp:posOffset>
                      </wp:positionV>
                      <wp:extent cx="69215" cy="220980"/>
                      <wp:effectExtent l="0" t="0" r="0" b="0"/>
                      <wp:wrapNone/>
                      <wp:docPr id="1260" name="Frame126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62">
                      <wp:simplePos x="0" y="0"/>
                      <wp:positionH relativeFrom="character">
                        <wp:align>left</wp:align>
                      </wp:positionH>
                      <wp:positionV relativeFrom="line">
                        <wp:posOffset>635</wp:posOffset>
                      </wp:positionV>
                      <wp:extent cx="98425" cy="1064895"/>
                      <wp:effectExtent l="0" t="0" r="0" b="0"/>
                      <wp:wrapNone/>
                      <wp:docPr id="1261" name="Frame126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3954" w:type="dxa"/>
        <w:jc w:val="center"/>
        <w:tblInd w:w="0" w:type="dxa"/>
        <w:tblLayout w:type="fixed"/>
        <w:tblCellMar>
          <w:top w:w="0" w:type="dxa"/>
          <w:left w:w="0" w:type="dxa"/>
          <w:bottom w:w="0" w:type="dxa"/>
          <w:right w:w="0" w:type="dxa"/>
        </w:tblCellMar>
      </w:tblPr>
      <w:tblGrid>
        <w:gridCol w:w="3691"/>
        <w:gridCol w:w="109"/>
        <w:gridCol w:w="154"/>
      </w:tblGrid>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3">
                      <wp:simplePos x="0" y="0"/>
                      <wp:positionH relativeFrom="character">
                        <wp:align>left</wp:align>
                      </wp:positionH>
                      <wp:positionV relativeFrom="line">
                        <wp:posOffset>635</wp:posOffset>
                      </wp:positionV>
                      <wp:extent cx="69215" cy="220980"/>
                      <wp:effectExtent l="0" t="0" r="0" b="0"/>
                      <wp:wrapNone/>
                      <wp:docPr id="1262" name="Frame126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4">
                      <wp:simplePos x="0" y="0"/>
                      <wp:positionH relativeFrom="character">
                        <wp:align>left</wp:align>
                      </wp:positionH>
                      <wp:positionV relativeFrom="line">
                        <wp:posOffset>635</wp:posOffset>
                      </wp:positionV>
                      <wp:extent cx="98425" cy="1064895"/>
                      <wp:effectExtent l="0" t="0" r="0" b="0"/>
                      <wp:wrapNone/>
                      <wp:docPr id="1263" name="Frame126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Nitrogen,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5">
                      <wp:simplePos x="0" y="0"/>
                      <wp:positionH relativeFrom="character">
                        <wp:align>left</wp:align>
                      </wp:positionH>
                      <wp:positionV relativeFrom="line">
                        <wp:posOffset>635</wp:posOffset>
                      </wp:positionV>
                      <wp:extent cx="69215" cy="220980"/>
                      <wp:effectExtent l="0" t="0" r="0" b="0"/>
                      <wp:wrapNone/>
                      <wp:docPr id="1264" name="Frame126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6">
                      <wp:simplePos x="0" y="0"/>
                      <wp:positionH relativeFrom="character">
                        <wp:align>left</wp:align>
                      </wp:positionH>
                      <wp:positionV relativeFrom="line">
                        <wp:posOffset>635</wp:posOffset>
                      </wp:positionV>
                      <wp:extent cx="98425" cy="1064895"/>
                      <wp:effectExtent l="0" t="0" r="0" b="0"/>
                      <wp:wrapNone/>
                      <wp:docPr id="1265" name="Frame126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Common Assets WYN,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7">
                      <wp:simplePos x="0" y="0"/>
                      <wp:positionH relativeFrom="character">
                        <wp:align>left</wp:align>
                      </wp:positionH>
                      <wp:positionV relativeFrom="line">
                        <wp:posOffset>635</wp:posOffset>
                      </wp:positionV>
                      <wp:extent cx="69215" cy="220980"/>
                      <wp:effectExtent l="0" t="0" r="0" b="0"/>
                      <wp:wrapNone/>
                      <wp:docPr id="1266" name="Frame126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8">
                      <wp:simplePos x="0" y="0"/>
                      <wp:positionH relativeFrom="character">
                        <wp:align>left</wp:align>
                      </wp:positionH>
                      <wp:positionV relativeFrom="line">
                        <wp:posOffset>635</wp:posOffset>
                      </wp:positionV>
                      <wp:extent cx="98425" cy="1064895"/>
                      <wp:effectExtent l="0" t="0" r="0" b="0"/>
                      <wp:wrapNone/>
                      <wp:docPr id="1267" name="Frame126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Common Assets CVL,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9">
                      <wp:simplePos x="0" y="0"/>
                      <wp:positionH relativeFrom="character">
                        <wp:align>left</wp:align>
                      </wp:positionH>
                      <wp:positionV relativeFrom="line">
                        <wp:posOffset>635</wp:posOffset>
                      </wp:positionV>
                      <wp:extent cx="69215" cy="220980"/>
                      <wp:effectExtent l="0" t="0" r="0" b="0"/>
                      <wp:wrapNone/>
                      <wp:docPr id="1268" name="Frame126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0">
                      <wp:simplePos x="0" y="0"/>
                      <wp:positionH relativeFrom="character">
                        <wp:align>left</wp:align>
                      </wp:positionH>
                      <wp:positionV relativeFrom="line">
                        <wp:posOffset>635</wp:posOffset>
                      </wp:positionV>
                      <wp:extent cx="98425" cy="1064895"/>
                      <wp:effectExtent l="0" t="0" r="0" b="0"/>
                      <wp:wrapNone/>
                      <wp:docPr id="1269" name="Frame126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Common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1">
                      <wp:simplePos x="0" y="0"/>
                      <wp:positionH relativeFrom="character">
                        <wp:align>left</wp:align>
                      </wp:positionH>
                      <wp:positionV relativeFrom="line">
                        <wp:posOffset>635</wp:posOffset>
                      </wp:positionV>
                      <wp:extent cx="69215" cy="220980"/>
                      <wp:effectExtent l="0" t="0" r="0" b="0"/>
                      <wp:wrapNone/>
                      <wp:docPr id="1270" name="Frame127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2">
                      <wp:simplePos x="0" y="0"/>
                      <wp:positionH relativeFrom="character">
                        <wp:align>left</wp:align>
                      </wp:positionH>
                      <wp:positionV relativeFrom="line">
                        <wp:posOffset>635</wp:posOffset>
                      </wp:positionV>
                      <wp:extent cx="98425" cy="1064895"/>
                      <wp:effectExtent l="0" t="0" r="0" b="0"/>
                      <wp:wrapNone/>
                      <wp:docPr id="1271" name="Frame127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East Dubuque Nitrogen Fertlizers,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3">
                      <wp:simplePos x="0" y="0"/>
                      <wp:positionH relativeFrom="character">
                        <wp:align>left</wp:align>
                      </wp:positionH>
                      <wp:positionV relativeFrom="line">
                        <wp:posOffset>635</wp:posOffset>
                      </wp:positionV>
                      <wp:extent cx="69215" cy="220980"/>
                      <wp:effectExtent l="0" t="0" r="0" b="0"/>
                      <wp:wrapNone/>
                      <wp:docPr id="1272" name="Frame127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4">
                      <wp:simplePos x="0" y="0"/>
                      <wp:positionH relativeFrom="character">
                        <wp:align>left</wp:align>
                      </wp:positionH>
                      <wp:positionV relativeFrom="line">
                        <wp:posOffset>635</wp:posOffset>
                      </wp:positionV>
                      <wp:extent cx="98425" cy="1064895"/>
                      <wp:effectExtent l="0" t="0" r="0" b="0"/>
                      <wp:wrapNone/>
                      <wp:docPr id="1273" name="Frame127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Wynnewood Insurance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5">
                      <wp:simplePos x="0" y="0"/>
                      <wp:positionH relativeFrom="character">
                        <wp:align>left</wp:align>
                      </wp:positionH>
                      <wp:positionV relativeFrom="line">
                        <wp:posOffset>635</wp:posOffset>
                      </wp:positionV>
                      <wp:extent cx="69215" cy="220980"/>
                      <wp:effectExtent l="0" t="0" r="0" b="0"/>
                      <wp:wrapNone/>
                      <wp:docPr id="1274" name="Frame127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6">
                      <wp:simplePos x="0" y="0"/>
                      <wp:positionH relativeFrom="character">
                        <wp:align>left</wp:align>
                      </wp:positionH>
                      <wp:positionV relativeFrom="line">
                        <wp:posOffset>635</wp:posOffset>
                      </wp:positionV>
                      <wp:extent cx="98425" cy="1064895"/>
                      <wp:effectExtent l="0" t="0" r="0" b="0"/>
                      <wp:wrapNone/>
                      <wp:docPr id="1275" name="Frame127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CVL,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7">
                      <wp:simplePos x="0" y="0"/>
                      <wp:positionH relativeFrom="character">
                        <wp:align>left</wp:align>
                      </wp:positionH>
                      <wp:positionV relativeFrom="line">
                        <wp:posOffset>635</wp:posOffset>
                      </wp:positionV>
                      <wp:extent cx="69215" cy="220980"/>
                      <wp:effectExtent l="0" t="0" r="0" b="0"/>
                      <wp:wrapNone/>
                      <wp:docPr id="1276" name="Frame127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8">
                      <wp:simplePos x="0" y="0"/>
                      <wp:positionH relativeFrom="character">
                        <wp:align>left</wp:align>
                      </wp:positionH>
                      <wp:positionV relativeFrom="line">
                        <wp:posOffset>635</wp:posOffset>
                      </wp:positionV>
                      <wp:extent cx="98425" cy="1064895"/>
                      <wp:effectExtent l="0" t="0" r="0" b="0"/>
                      <wp:wrapNone/>
                      <wp:docPr id="1277" name="Frame127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WYN.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9">
                      <wp:simplePos x="0" y="0"/>
                      <wp:positionH relativeFrom="character">
                        <wp:align>left</wp:align>
                      </wp:positionH>
                      <wp:positionV relativeFrom="line">
                        <wp:posOffset>635</wp:posOffset>
                      </wp:positionV>
                      <wp:extent cx="69215" cy="220980"/>
                      <wp:effectExtent l="0" t="0" r="0" b="0"/>
                      <wp:wrapNone/>
                      <wp:docPr id="1278" name="Frame127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0">
                      <wp:simplePos x="0" y="0"/>
                      <wp:positionH relativeFrom="character">
                        <wp:align>left</wp:align>
                      </wp:positionH>
                      <wp:positionV relativeFrom="line">
                        <wp:posOffset>635</wp:posOffset>
                      </wp:positionV>
                      <wp:extent cx="98425" cy="1064895"/>
                      <wp:effectExtent l="0" t="0" r="0" b="0"/>
                      <wp:wrapNone/>
                      <wp:docPr id="1279" name="Frame127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Supply &amp; Trading,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1">
                      <wp:simplePos x="0" y="0"/>
                      <wp:positionH relativeFrom="character">
                        <wp:align>left</wp:align>
                      </wp:positionH>
                      <wp:positionV relativeFrom="line">
                        <wp:posOffset>635</wp:posOffset>
                      </wp:positionV>
                      <wp:extent cx="69215" cy="220980"/>
                      <wp:effectExtent l="0" t="0" r="0" b="0"/>
                      <wp:wrapNone/>
                      <wp:docPr id="1280" name="Frame128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2">
                      <wp:simplePos x="0" y="0"/>
                      <wp:positionH relativeFrom="character">
                        <wp:align>left</wp:align>
                      </wp:positionH>
                      <wp:positionV relativeFrom="line">
                        <wp:posOffset>635</wp:posOffset>
                      </wp:positionV>
                      <wp:extent cx="98425" cy="1064895"/>
                      <wp:effectExtent l="0" t="0" r="0" b="0"/>
                      <wp:wrapNone/>
                      <wp:docPr id="1281" name="Frame128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Renewables WYN,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3">
                      <wp:simplePos x="0" y="0"/>
                      <wp:positionH relativeFrom="character">
                        <wp:align>left</wp:align>
                      </wp:positionH>
                      <wp:positionV relativeFrom="line">
                        <wp:posOffset>635</wp:posOffset>
                      </wp:positionV>
                      <wp:extent cx="69215" cy="220980"/>
                      <wp:effectExtent l="0" t="0" r="0" b="0"/>
                      <wp:wrapNone/>
                      <wp:docPr id="1282" name="Frame128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4">
                      <wp:simplePos x="0" y="0"/>
                      <wp:positionH relativeFrom="character">
                        <wp:align>left</wp:align>
                      </wp:positionH>
                      <wp:positionV relativeFrom="line">
                        <wp:posOffset>635</wp:posOffset>
                      </wp:positionV>
                      <wp:extent cx="98425" cy="1064895"/>
                      <wp:effectExtent l="0" t="0" r="0" b="0"/>
                      <wp:wrapNone/>
                      <wp:docPr id="1283" name="Frame128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Renewables,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5">
                      <wp:simplePos x="0" y="0"/>
                      <wp:positionH relativeFrom="character">
                        <wp:align>left</wp:align>
                      </wp:positionH>
                      <wp:positionV relativeFrom="line">
                        <wp:posOffset>635</wp:posOffset>
                      </wp:positionV>
                      <wp:extent cx="69215" cy="220980"/>
                      <wp:effectExtent l="0" t="0" r="0" b="0"/>
                      <wp:wrapNone/>
                      <wp:docPr id="1284" name="Frame128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6">
                      <wp:simplePos x="0" y="0"/>
                      <wp:positionH relativeFrom="character">
                        <wp:align>left</wp:align>
                      </wp:positionH>
                      <wp:positionV relativeFrom="line">
                        <wp:posOffset>635</wp:posOffset>
                      </wp:positionV>
                      <wp:extent cx="98425" cy="1064895"/>
                      <wp:effectExtent l="0" t="0" r="0" b="0"/>
                      <wp:wrapNone/>
                      <wp:docPr id="1285" name="Frame128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CHC,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7">
                      <wp:simplePos x="0" y="0"/>
                      <wp:positionH relativeFrom="character">
                        <wp:align>left</wp:align>
                      </wp:positionH>
                      <wp:positionV relativeFrom="line">
                        <wp:posOffset>635</wp:posOffset>
                      </wp:positionV>
                      <wp:extent cx="69215" cy="220980"/>
                      <wp:effectExtent l="0" t="0" r="0" b="0"/>
                      <wp:wrapNone/>
                      <wp:docPr id="1286" name="Frame128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8">
                      <wp:simplePos x="0" y="0"/>
                      <wp:positionH relativeFrom="character">
                        <wp:align>left</wp:align>
                      </wp:positionH>
                      <wp:positionV relativeFrom="line">
                        <wp:posOffset>635</wp:posOffset>
                      </wp:positionV>
                      <wp:extent cx="98425" cy="1064895"/>
                      <wp:effectExtent l="0" t="0" r="0" b="0"/>
                      <wp:wrapNone/>
                      <wp:docPr id="1287" name="Frame128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FHC,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9">
                      <wp:simplePos x="0" y="0"/>
                      <wp:positionH relativeFrom="character">
                        <wp:align>left</wp:align>
                      </wp:positionH>
                      <wp:positionV relativeFrom="line">
                        <wp:posOffset>635</wp:posOffset>
                      </wp:positionV>
                      <wp:extent cx="69215" cy="220980"/>
                      <wp:effectExtent l="0" t="0" r="0" b="0"/>
                      <wp:wrapNone/>
                      <wp:docPr id="1288" name="Frame128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0">
                      <wp:simplePos x="0" y="0"/>
                      <wp:positionH relativeFrom="character">
                        <wp:align>left</wp:align>
                      </wp:positionH>
                      <wp:positionV relativeFrom="line">
                        <wp:posOffset>635</wp:posOffset>
                      </wp:positionV>
                      <wp:extent cx="98425" cy="1064895"/>
                      <wp:effectExtent l="0" t="0" r="0" b="0"/>
                      <wp:wrapNone/>
                      <wp:docPr id="1289" name="Frame128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Companies,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1">
                      <wp:simplePos x="0" y="0"/>
                      <wp:positionH relativeFrom="character">
                        <wp:align>left</wp:align>
                      </wp:positionH>
                      <wp:positionV relativeFrom="line">
                        <wp:posOffset>635</wp:posOffset>
                      </wp:positionV>
                      <wp:extent cx="69215" cy="220980"/>
                      <wp:effectExtent l="0" t="0" r="0" b="0"/>
                      <wp:wrapNone/>
                      <wp:docPr id="1290" name="Frame129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2">
                      <wp:simplePos x="0" y="0"/>
                      <wp:positionH relativeFrom="character">
                        <wp:align>left</wp:align>
                      </wp:positionH>
                      <wp:positionV relativeFrom="line">
                        <wp:posOffset>635</wp:posOffset>
                      </wp:positionV>
                      <wp:extent cx="98425" cy="1064895"/>
                      <wp:effectExtent l="0" t="0" r="0" b="0"/>
                      <wp:wrapNone/>
                      <wp:docPr id="1291" name="Frame129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WSC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3">
                      <wp:simplePos x="0" y="0"/>
                      <wp:positionH relativeFrom="character">
                        <wp:align>left</wp:align>
                      </wp:positionH>
                      <wp:positionV relativeFrom="line">
                        <wp:posOffset>635</wp:posOffset>
                      </wp:positionV>
                      <wp:extent cx="69215" cy="220980"/>
                      <wp:effectExtent l="0" t="0" r="0" b="0"/>
                      <wp:wrapNone/>
                      <wp:docPr id="1292" name="Frame129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4">
                      <wp:simplePos x="0" y="0"/>
                      <wp:positionH relativeFrom="character">
                        <wp:align>left</wp:align>
                      </wp:positionH>
                      <wp:positionV relativeFrom="line">
                        <wp:posOffset>635</wp:posOffset>
                      </wp:positionV>
                      <wp:extent cx="98425" cy="1064895"/>
                      <wp:effectExtent l="0" t="0" r="0" b="0"/>
                      <wp:wrapNone/>
                      <wp:docPr id="1293" name="Frame129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Films,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5">
                      <wp:simplePos x="0" y="0"/>
                      <wp:positionH relativeFrom="character">
                        <wp:align>left</wp:align>
                      </wp:positionH>
                      <wp:positionV relativeFrom="line">
                        <wp:posOffset>635</wp:posOffset>
                      </wp:positionV>
                      <wp:extent cx="69215" cy="220980"/>
                      <wp:effectExtent l="0" t="0" r="0" b="0"/>
                      <wp:wrapNone/>
                      <wp:docPr id="1294" name="Frame129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6">
                      <wp:simplePos x="0" y="0"/>
                      <wp:positionH relativeFrom="character">
                        <wp:align>left</wp:align>
                      </wp:positionH>
                      <wp:positionV relativeFrom="line">
                        <wp:posOffset>635</wp:posOffset>
                      </wp:positionV>
                      <wp:extent cx="98425" cy="1064895"/>
                      <wp:effectExtent l="0" t="0" r="0" b="0"/>
                      <wp:wrapNone/>
                      <wp:docPr id="1295" name="Frame129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del Norte,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7">
                      <wp:simplePos x="0" y="0"/>
                      <wp:positionH relativeFrom="character">
                        <wp:align>left</wp:align>
                      </wp:positionH>
                      <wp:positionV relativeFrom="line">
                        <wp:posOffset>635</wp:posOffset>
                      </wp:positionV>
                      <wp:extent cx="69215" cy="220980"/>
                      <wp:effectExtent l="0" t="0" r="0" b="0"/>
                      <wp:wrapNone/>
                      <wp:docPr id="1296" name="Frame129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8">
                      <wp:simplePos x="0" y="0"/>
                      <wp:positionH relativeFrom="character">
                        <wp:align>left</wp:align>
                      </wp:positionH>
                      <wp:positionV relativeFrom="line">
                        <wp:posOffset>635</wp:posOffset>
                      </wp:positionV>
                      <wp:extent cx="98425" cy="774065"/>
                      <wp:effectExtent l="0" t="0" r="0" b="0"/>
                      <wp:wrapNone/>
                      <wp:docPr id="1297" name="Frame1297"/>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Servicos Viskase del Norte,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9">
                      <wp:simplePos x="0" y="0"/>
                      <wp:positionH relativeFrom="character">
                        <wp:align>left</wp:align>
                      </wp:positionH>
                      <wp:positionV relativeFrom="line">
                        <wp:posOffset>635</wp:posOffset>
                      </wp:positionV>
                      <wp:extent cx="69215" cy="220980"/>
                      <wp:effectExtent l="0" t="0" r="0" b="0"/>
                      <wp:wrapNone/>
                      <wp:docPr id="1298" name="Frame129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0">
                      <wp:simplePos x="0" y="0"/>
                      <wp:positionH relativeFrom="character">
                        <wp:align>left</wp:align>
                      </wp:positionH>
                      <wp:positionV relativeFrom="line">
                        <wp:posOffset>635</wp:posOffset>
                      </wp:positionV>
                      <wp:extent cx="98425" cy="774065"/>
                      <wp:effectExtent l="0" t="0" r="0" b="0"/>
                      <wp:wrapNone/>
                      <wp:docPr id="1299" name="Frame1299"/>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S.A.S.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1">
                      <wp:simplePos x="0" y="0"/>
                      <wp:positionH relativeFrom="character">
                        <wp:align>left</wp:align>
                      </wp:positionH>
                      <wp:positionV relativeFrom="line">
                        <wp:posOffset>635</wp:posOffset>
                      </wp:positionV>
                      <wp:extent cx="69215" cy="220980"/>
                      <wp:effectExtent l="0" t="0" r="0" b="0"/>
                      <wp:wrapNone/>
                      <wp:docPr id="1300" name="Frame130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2">
                      <wp:simplePos x="0" y="0"/>
                      <wp:positionH relativeFrom="character">
                        <wp:align>left</wp:align>
                      </wp:positionH>
                      <wp:positionV relativeFrom="line">
                        <wp:posOffset>635</wp:posOffset>
                      </wp:positionV>
                      <wp:extent cx="98425" cy="919480"/>
                      <wp:effectExtent l="0" t="0" r="0" b="0"/>
                      <wp:wrapNone/>
                      <wp:docPr id="1301" name="Frame1301"/>
                      <a:graphic xmlns:a="http://schemas.openxmlformats.org/drawingml/2006/main">
                        <a:graphicData uri="http://schemas.microsoft.com/office/word/2010/wordprocessingShape">
                          <wps:wsp>
                            <wps:cNvSpPr txBox="1"/>
                            <wps:spPr>
                              <a:xfrm>
                                <a:off x="0" y="0"/>
                                <a:ext cx="98425"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France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France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SpA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3">
                      <wp:simplePos x="0" y="0"/>
                      <wp:positionH relativeFrom="character">
                        <wp:align>left</wp:align>
                      </wp:positionH>
                      <wp:positionV relativeFrom="line">
                        <wp:posOffset>635</wp:posOffset>
                      </wp:positionV>
                      <wp:extent cx="69215" cy="220980"/>
                      <wp:effectExtent l="0" t="0" r="0" b="0"/>
                      <wp:wrapNone/>
                      <wp:docPr id="1302" name="Frame130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4">
                      <wp:simplePos x="0" y="0"/>
                      <wp:positionH relativeFrom="character">
                        <wp:align>left</wp:align>
                      </wp:positionH>
                      <wp:positionV relativeFrom="line">
                        <wp:posOffset>635</wp:posOffset>
                      </wp:positionV>
                      <wp:extent cx="98425" cy="483235"/>
                      <wp:effectExtent l="0" t="0" r="0" b="0"/>
                      <wp:wrapNone/>
                      <wp:docPr id="1303" name="Frame1303"/>
                      <a:graphic xmlns:a="http://schemas.openxmlformats.org/drawingml/2006/main">
                        <a:graphicData uri="http://schemas.microsoft.com/office/word/2010/wordprocessingShape">
                          <wps:wsp>
                            <wps:cNvSpPr txBox="1"/>
                            <wps:spPr>
                              <a:xfrm>
                                <a:off x="0" y="0"/>
                                <a:ext cx="98425" cy="48323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Italy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Italy</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Gmbh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5">
                      <wp:simplePos x="0" y="0"/>
                      <wp:positionH relativeFrom="character">
                        <wp:align>left</wp:align>
                      </wp:positionH>
                      <wp:positionV relativeFrom="line">
                        <wp:posOffset>635</wp:posOffset>
                      </wp:positionV>
                      <wp:extent cx="69215" cy="220980"/>
                      <wp:effectExtent l="0" t="0" r="0" b="0"/>
                      <wp:wrapNone/>
                      <wp:docPr id="1304" name="Frame130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6">
                      <wp:simplePos x="0" y="0"/>
                      <wp:positionH relativeFrom="character">
                        <wp:align>left</wp:align>
                      </wp:positionH>
                      <wp:positionV relativeFrom="line">
                        <wp:posOffset>635</wp:posOffset>
                      </wp:positionV>
                      <wp:extent cx="98425" cy="1064895"/>
                      <wp:effectExtent l="0" t="0" r="0" b="0"/>
                      <wp:wrapNone/>
                      <wp:docPr id="1305" name="Frame130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Polska SP.ZO.O</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7">
                      <wp:simplePos x="0" y="0"/>
                      <wp:positionH relativeFrom="character">
                        <wp:align>left</wp:align>
                      </wp:positionH>
                      <wp:positionV relativeFrom="line">
                        <wp:posOffset>635</wp:posOffset>
                      </wp:positionV>
                      <wp:extent cx="69215" cy="220980"/>
                      <wp:effectExtent l="0" t="0" r="0" b="0"/>
                      <wp:wrapNone/>
                      <wp:docPr id="1306" name="Frame130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8">
                      <wp:simplePos x="0" y="0"/>
                      <wp:positionH relativeFrom="character">
                        <wp:align>left</wp:align>
                      </wp:positionH>
                      <wp:positionV relativeFrom="line">
                        <wp:posOffset>635</wp:posOffset>
                      </wp:positionV>
                      <wp:extent cx="98425" cy="774065"/>
                      <wp:effectExtent l="0" t="0" r="0" b="0"/>
                      <wp:wrapNone/>
                      <wp:docPr id="1307" name="Frame1307"/>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Poland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Poland</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Spain SL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9">
                      <wp:simplePos x="0" y="0"/>
                      <wp:positionH relativeFrom="character">
                        <wp:align>left</wp:align>
                      </wp:positionH>
                      <wp:positionV relativeFrom="line">
                        <wp:posOffset>635</wp:posOffset>
                      </wp:positionV>
                      <wp:extent cx="69215" cy="220980"/>
                      <wp:effectExtent l="0" t="0" r="0" b="0"/>
                      <wp:wrapNone/>
                      <wp:docPr id="1308" name="Frame130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0">
                      <wp:simplePos x="0" y="0"/>
                      <wp:positionH relativeFrom="character">
                        <wp:align>left</wp:align>
                      </wp:positionH>
                      <wp:positionV relativeFrom="line">
                        <wp:posOffset>635</wp:posOffset>
                      </wp:positionV>
                      <wp:extent cx="98425" cy="628650"/>
                      <wp:effectExtent l="0" t="0" r="0" b="0"/>
                      <wp:wrapNone/>
                      <wp:docPr id="1309" name="Frame1309"/>
                      <a:graphic xmlns:a="http://schemas.openxmlformats.org/drawingml/2006/main">
                        <a:graphicData uri="http://schemas.microsoft.com/office/word/2010/wordprocessingShape">
                          <wps:wsp>
                            <wps:cNvSpPr txBox="1"/>
                            <wps:spPr>
                              <a:xfrm>
                                <a:off x="0" y="0"/>
                                <a:ext cx="98425" cy="62865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Spain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Spain</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Brasil Embalagens Ltda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1">
                      <wp:simplePos x="0" y="0"/>
                      <wp:positionH relativeFrom="character">
                        <wp:align>left</wp:align>
                      </wp:positionH>
                      <wp:positionV relativeFrom="line">
                        <wp:posOffset>635</wp:posOffset>
                      </wp:positionV>
                      <wp:extent cx="69215" cy="220980"/>
                      <wp:effectExtent l="0" t="0" r="0" b="0"/>
                      <wp:wrapNone/>
                      <wp:docPr id="1310" name="Frame131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2">
                      <wp:simplePos x="0" y="0"/>
                      <wp:positionH relativeFrom="character">
                        <wp:align>left</wp:align>
                      </wp:positionH>
                      <wp:positionV relativeFrom="line">
                        <wp:posOffset>635</wp:posOffset>
                      </wp:positionV>
                      <wp:extent cx="98425" cy="774065"/>
                      <wp:effectExtent l="0" t="0" r="0" b="0"/>
                      <wp:wrapNone/>
                      <wp:docPr id="1311" name="Frame1311"/>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Brazil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Brazil</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Asia Pacific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3">
                      <wp:simplePos x="0" y="0"/>
                      <wp:positionH relativeFrom="character">
                        <wp:align>left</wp:align>
                      </wp:positionH>
                      <wp:positionV relativeFrom="line">
                        <wp:posOffset>635</wp:posOffset>
                      </wp:positionV>
                      <wp:extent cx="69215" cy="220980"/>
                      <wp:effectExtent l="0" t="0" r="0" b="0"/>
                      <wp:wrapNone/>
                      <wp:docPr id="1312" name="Frame131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4">
                      <wp:simplePos x="0" y="0"/>
                      <wp:positionH relativeFrom="character">
                        <wp:align>left</wp:align>
                      </wp:positionH>
                      <wp:positionV relativeFrom="line">
                        <wp:posOffset>635</wp:posOffset>
                      </wp:positionV>
                      <wp:extent cx="98425" cy="1028700"/>
                      <wp:effectExtent l="0" t="0" r="0" b="0"/>
                      <wp:wrapNone/>
                      <wp:docPr id="1313" name="Frame1313"/>
                      <a:graphic xmlns:a="http://schemas.openxmlformats.org/drawingml/2006/main">
                        <a:graphicData uri="http://schemas.microsoft.com/office/word/2010/wordprocessingShape">
                          <wps:wsp>
                            <wps:cNvSpPr txBox="1"/>
                            <wps:spPr>
                              <a:xfrm>
                                <a:off x="0" y="0"/>
                                <a:ext cx="98425" cy="102870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Sales Philippines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5">
                      <wp:simplePos x="0" y="0"/>
                      <wp:positionH relativeFrom="character">
                        <wp:align>left</wp:align>
                      </wp:positionH>
                      <wp:positionV relativeFrom="line">
                        <wp:posOffset>635</wp:posOffset>
                      </wp:positionV>
                      <wp:extent cx="69215" cy="220980"/>
                      <wp:effectExtent l="0" t="0" r="0" b="0"/>
                      <wp:wrapNone/>
                      <wp:docPr id="1314" name="Frame131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6">
                      <wp:simplePos x="0" y="0"/>
                      <wp:positionH relativeFrom="character">
                        <wp:align>left</wp:align>
                      </wp:positionH>
                      <wp:positionV relativeFrom="line">
                        <wp:posOffset>635</wp:posOffset>
                      </wp:positionV>
                      <wp:extent cx="98425" cy="817245"/>
                      <wp:effectExtent l="0" t="0" r="0" b="0"/>
                      <wp:wrapNone/>
                      <wp:docPr id="1315" name="Frame1315"/>
                      <a:graphic xmlns:a="http://schemas.openxmlformats.org/drawingml/2006/main">
                        <a:graphicData uri="http://schemas.microsoft.com/office/word/2010/wordprocessingShape">
                          <wps:wsp>
                            <wps:cNvSpPr txBox="1"/>
                            <wps:spPr>
                              <a:xfrm>
                                <a:off x="0" y="0"/>
                                <a:ext cx="98425" cy="81724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Holdings,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7">
                      <wp:simplePos x="0" y="0"/>
                      <wp:positionH relativeFrom="character">
                        <wp:align>left</wp:align>
                      </wp:positionH>
                      <wp:positionV relativeFrom="line">
                        <wp:posOffset>635</wp:posOffset>
                      </wp:positionV>
                      <wp:extent cx="69215" cy="220980"/>
                      <wp:effectExtent l="0" t="0" r="0" b="0"/>
                      <wp:wrapNone/>
                      <wp:docPr id="1316" name="Frame131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8">
                      <wp:simplePos x="0" y="0"/>
                      <wp:positionH relativeFrom="character">
                        <wp:align>left</wp:align>
                      </wp:positionH>
                      <wp:positionV relativeFrom="line">
                        <wp:posOffset>635</wp:posOffset>
                      </wp:positionV>
                      <wp:extent cx="98425" cy="605790"/>
                      <wp:effectExtent l="0" t="0" r="0" b="0"/>
                      <wp:wrapNone/>
                      <wp:docPr id="1317" name="Frame1317"/>
                      <a:graphic xmlns:a="http://schemas.openxmlformats.org/drawingml/2006/main">
                        <a:graphicData uri="http://schemas.microsoft.com/office/word/2010/wordprocessingShape">
                          <wps:wsp>
                            <wps:cNvSpPr txBox="1"/>
                            <wps:spPr>
                              <a:xfrm>
                                <a:off x="0" y="0"/>
                                <a:ext cx="98425" cy="60579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Walsroder Casings GmbH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9">
                      <wp:simplePos x="0" y="0"/>
                      <wp:positionH relativeFrom="character">
                        <wp:align>left</wp:align>
                      </wp:positionH>
                      <wp:positionV relativeFrom="line">
                        <wp:posOffset>635</wp:posOffset>
                      </wp:positionV>
                      <wp:extent cx="69215" cy="220980"/>
                      <wp:effectExtent l="0" t="0" r="0" b="0"/>
                      <wp:wrapNone/>
                      <wp:docPr id="1318" name="Frame131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0">
                      <wp:simplePos x="0" y="0"/>
                      <wp:positionH relativeFrom="character">
                        <wp:align>left</wp:align>
                      </wp:positionH>
                      <wp:positionV relativeFrom="line">
                        <wp:posOffset>635</wp:posOffset>
                      </wp:positionV>
                      <wp:extent cx="98425" cy="394335"/>
                      <wp:effectExtent l="0" t="0" r="0" b="0"/>
                      <wp:wrapNone/>
                      <wp:docPr id="1319" name="Frame1319"/>
                      <a:graphic xmlns:a="http://schemas.openxmlformats.org/drawingml/2006/main">
                        <a:graphicData uri="http://schemas.microsoft.com/office/word/2010/wordprocessingShape">
                          <wps:wsp>
                            <wps:cNvSpPr txBox="1"/>
                            <wps:spPr>
                              <a:xfrm>
                                <a:off x="0" y="0"/>
                                <a:ext cx="98425" cy="39433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1.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CT Casings Beteiligungs GmbH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1">
                      <wp:simplePos x="0" y="0"/>
                      <wp:positionH relativeFrom="character">
                        <wp:align>left</wp:align>
                      </wp:positionH>
                      <wp:positionV relativeFrom="line">
                        <wp:posOffset>635</wp:posOffset>
                      </wp:positionV>
                      <wp:extent cx="69215" cy="220980"/>
                      <wp:effectExtent l="0" t="0" r="0" b="0"/>
                      <wp:wrapNone/>
                      <wp:docPr id="1320" name="Frame132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2">
                      <wp:simplePos x="0" y="0"/>
                      <wp:positionH relativeFrom="character">
                        <wp:align>left</wp:align>
                      </wp:positionH>
                      <wp:positionV relativeFrom="line">
                        <wp:posOffset>635</wp:posOffset>
                      </wp:positionV>
                      <wp:extent cx="98425" cy="1064895"/>
                      <wp:effectExtent l="0" t="0" r="0" b="0"/>
                      <wp:wrapNone/>
                      <wp:docPr id="1321" name="Frame132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3">
                      <wp:simplePos x="0" y="0"/>
                      <wp:positionH relativeFrom="character">
                        <wp:align>left</wp:align>
                      </wp:positionH>
                      <wp:positionV relativeFrom="line">
                        <wp:posOffset>635</wp:posOffset>
                      </wp:positionV>
                      <wp:extent cx="69215" cy="220980"/>
                      <wp:effectExtent l="0" t="0" r="0" b="0"/>
                      <wp:wrapNone/>
                      <wp:docPr id="1322" name="Frame132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4">
                      <wp:simplePos x="0" y="0"/>
                      <wp:positionH relativeFrom="character">
                        <wp:align>left</wp:align>
                      </wp:positionH>
                      <wp:positionV relativeFrom="line">
                        <wp:posOffset>635</wp:posOffset>
                      </wp:positionV>
                      <wp:extent cx="98425" cy="1064895"/>
                      <wp:effectExtent l="0" t="0" r="0" b="0"/>
                      <wp:wrapNone/>
                      <wp:docPr id="1323" name="Frame132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Netherlands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5">
                      <wp:simplePos x="0" y="0"/>
                      <wp:positionH relativeFrom="character">
                        <wp:align>left</wp:align>
                      </wp:positionH>
                      <wp:positionV relativeFrom="line">
                        <wp:posOffset>635</wp:posOffset>
                      </wp:positionV>
                      <wp:extent cx="69215" cy="220980"/>
                      <wp:effectExtent l="0" t="0" r="0" b="0"/>
                      <wp:wrapNone/>
                      <wp:docPr id="1324" name="Frame132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6">
                      <wp:simplePos x="0" y="0"/>
                      <wp:positionH relativeFrom="character">
                        <wp:align>left</wp:align>
                      </wp:positionH>
                      <wp:positionV relativeFrom="line">
                        <wp:posOffset>635</wp:posOffset>
                      </wp:positionV>
                      <wp:extent cx="98425" cy="1064895"/>
                      <wp:effectExtent l="0" t="0" r="0" b="0"/>
                      <wp:wrapNone/>
                      <wp:docPr id="1325" name="Frame132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(Netherlands) Coopertief</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7">
                      <wp:simplePos x="0" y="0"/>
                      <wp:positionH relativeFrom="character">
                        <wp:align>left</wp:align>
                      </wp:positionH>
                      <wp:positionV relativeFrom="line">
                        <wp:posOffset>635</wp:posOffset>
                      </wp:positionV>
                      <wp:extent cx="69215" cy="220980"/>
                      <wp:effectExtent l="0" t="0" r="0" b="0"/>
                      <wp:wrapNone/>
                      <wp:docPr id="1326" name="Frame132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8">
                      <wp:simplePos x="0" y="0"/>
                      <wp:positionH relativeFrom="character">
                        <wp:align>left</wp:align>
                      </wp:positionH>
                      <wp:positionV relativeFrom="line">
                        <wp:posOffset>635</wp:posOffset>
                      </wp:positionV>
                      <wp:extent cx="98425" cy="1355725"/>
                      <wp:effectExtent l="0" t="0" r="0" b="0"/>
                      <wp:wrapNone/>
                      <wp:docPr id="1327" name="Frame1327"/>
                      <a:graphic xmlns:a="http://schemas.openxmlformats.org/drawingml/2006/main">
                        <a:graphicData uri="http://schemas.microsoft.com/office/word/2010/wordprocessingShape">
                          <wps:wsp>
                            <wps:cNvSpPr txBox="1"/>
                            <wps:spPr>
                              <a:xfrm>
                                <a:off x="0" y="0"/>
                                <a:ext cx="98425" cy="135572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06.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Asia Ltd.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9">
                      <wp:simplePos x="0" y="0"/>
                      <wp:positionH relativeFrom="character">
                        <wp:align>left</wp:align>
                      </wp:positionH>
                      <wp:positionV relativeFrom="line">
                        <wp:posOffset>635</wp:posOffset>
                      </wp:positionV>
                      <wp:extent cx="69215" cy="220980"/>
                      <wp:effectExtent l="0" t="0" r="0" b="0"/>
                      <wp:wrapNone/>
                      <wp:docPr id="1328" name="Frame132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0">
                      <wp:simplePos x="0" y="0"/>
                      <wp:positionH relativeFrom="character">
                        <wp:align>left</wp:align>
                      </wp:positionH>
                      <wp:positionV relativeFrom="line">
                        <wp:posOffset>635</wp:posOffset>
                      </wp:positionV>
                      <wp:extent cx="98425" cy="2228215"/>
                      <wp:effectExtent l="0" t="0" r="0" b="0"/>
                      <wp:wrapNone/>
                      <wp:docPr id="1329" name="Frame1329"/>
                      <a:graphic xmlns:a="http://schemas.openxmlformats.org/drawingml/2006/main">
                        <a:graphicData uri="http://schemas.microsoft.com/office/word/2010/wordprocessingShape">
                          <wps:wsp>
                            <wps:cNvSpPr txBox="1"/>
                            <wps:spPr>
                              <a:xfrm>
                                <a:off x="0" y="0"/>
                                <a:ext cx="98425" cy="222821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75.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Pakistan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1">
                      <wp:simplePos x="0" y="0"/>
                      <wp:positionH relativeFrom="character">
                        <wp:align>left</wp:align>
                      </wp:positionH>
                      <wp:positionV relativeFrom="line">
                        <wp:posOffset>635</wp:posOffset>
                      </wp:positionV>
                      <wp:extent cx="69215" cy="220980"/>
                      <wp:effectExtent l="0" t="0" r="0" b="0"/>
                      <wp:wrapNone/>
                      <wp:docPr id="1330" name="Frame133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2">
                      <wp:simplePos x="0" y="0"/>
                      <wp:positionH relativeFrom="character">
                        <wp:align>left</wp:align>
                      </wp:positionH>
                      <wp:positionV relativeFrom="line">
                        <wp:posOffset>635</wp:posOffset>
                      </wp:positionV>
                      <wp:extent cx="98425" cy="1064895"/>
                      <wp:effectExtent l="0" t="0" r="0" b="0"/>
                      <wp:wrapNone/>
                      <wp:docPr id="1331" name="Frame133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IP,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3">
                      <wp:simplePos x="0" y="0"/>
                      <wp:positionH relativeFrom="character">
                        <wp:align>left</wp:align>
                      </wp:positionH>
                      <wp:positionV relativeFrom="line">
                        <wp:posOffset>635</wp:posOffset>
                      </wp:positionV>
                      <wp:extent cx="69215" cy="220980"/>
                      <wp:effectExtent l="0" t="0" r="0" b="0"/>
                      <wp:wrapNone/>
                      <wp:docPr id="1332" name="Frame133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4">
                      <wp:simplePos x="0" y="0"/>
                      <wp:positionH relativeFrom="character">
                        <wp:align>left</wp:align>
                      </wp:positionH>
                      <wp:positionV relativeFrom="line">
                        <wp:posOffset>635</wp:posOffset>
                      </wp:positionV>
                      <wp:extent cx="98425" cy="919480"/>
                      <wp:effectExtent l="0" t="0" r="0" b="0"/>
                      <wp:wrapNone/>
                      <wp:docPr id="1333" name="Frame1333"/>
                      <a:graphic xmlns:a="http://schemas.openxmlformats.org/drawingml/2006/main">
                        <a:graphicData uri="http://schemas.microsoft.com/office/word/2010/wordprocessingShape">
                          <wps:wsp>
                            <wps:cNvSpPr txBox="1"/>
                            <wps:spPr>
                              <a:xfrm>
                                <a:off x="0" y="0"/>
                                <a:ext cx="98425"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Nevada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Nevada</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Pakistan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5">
                      <wp:simplePos x="0" y="0"/>
                      <wp:positionH relativeFrom="character">
                        <wp:align>left</wp:align>
                      </wp:positionH>
                      <wp:positionV relativeFrom="line">
                        <wp:posOffset>635</wp:posOffset>
                      </wp:positionV>
                      <wp:extent cx="69215" cy="220980"/>
                      <wp:effectExtent l="0" t="0" r="0" b="0"/>
                      <wp:wrapNone/>
                      <wp:docPr id="1334" name="Frame133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6">
                      <wp:simplePos x="0" y="0"/>
                      <wp:positionH relativeFrom="character">
                        <wp:align>left</wp:align>
                      </wp:positionH>
                      <wp:positionV relativeFrom="line">
                        <wp:posOffset>635</wp:posOffset>
                      </wp:positionV>
                      <wp:extent cx="98425" cy="1064895"/>
                      <wp:effectExtent l="0" t="0" r="0" b="0"/>
                      <wp:wrapNone/>
                      <wp:docPr id="1335" name="Frame133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Trademarks,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7">
                      <wp:simplePos x="0" y="0"/>
                      <wp:positionH relativeFrom="character">
                        <wp:align>left</wp:align>
                      </wp:positionH>
                      <wp:positionV relativeFrom="line">
                        <wp:posOffset>635</wp:posOffset>
                      </wp:positionV>
                      <wp:extent cx="69215" cy="220980"/>
                      <wp:effectExtent l="0" t="0" r="0" b="0"/>
                      <wp:wrapNone/>
                      <wp:docPr id="1336" name="Frame133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8">
                      <wp:simplePos x="0" y="0"/>
                      <wp:positionH relativeFrom="character">
                        <wp:align>left</wp:align>
                      </wp:positionH>
                      <wp:positionV relativeFrom="line">
                        <wp:posOffset>635</wp:posOffset>
                      </wp:positionV>
                      <wp:extent cx="98425" cy="1064895"/>
                      <wp:effectExtent l="0" t="0" r="0" b="0"/>
                      <wp:wrapNone/>
                      <wp:docPr id="1337" name="Frame133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Property Holdings 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9">
                      <wp:simplePos x="0" y="0"/>
                      <wp:positionH relativeFrom="character">
                        <wp:align>left</wp:align>
                      </wp:positionH>
                      <wp:positionV relativeFrom="line">
                        <wp:posOffset>635</wp:posOffset>
                      </wp:positionV>
                      <wp:extent cx="69215" cy="220980"/>
                      <wp:effectExtent l="0" t="0" r="0" b="0"/>
                      <wp:wrapNone/>
                      <wp:docPr id="1338" name="Frame133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0">
                      <wp:simplePos x="0" y="0"/>
                      <wp:positionH relativeFrom="character">
                        <wp:align>left</wp:align>
                      </wp:positionH>
                      <wp:positionV relativeFrom="line">
                        <wp:posOffset>635</wp:posOffset>
                      </wp:positionV>
                      <wp:extent cx="98425" cy="1064895"/>
                      <wp:effectExtent l="0" t="0" r="0" b="0"/>
                      <wp:wrapNone/>
                      <wp:docPr id="1339" name="Frame133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Property Holdings II,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1">
                      <wp:simplePos x="0" y="0"/>
                      <wp:positionH relativeFrom="character">
                        <wp:align>left</wp:align>
                      </wp:positionH>
                      <wp:positionV relativeFrom="line">
                        <wp:posOffset>635</wp:posOffset>
                      </wp:positionV>
                      <wp:extent cx="69215" cy="220980"/>
                      <wp:effectExtent l="0" t="0" r="0" b="0"/>
                      <wp:wrapNone/>
                      <wp:docPr id="1340" name="Frame134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2">
                      <wp:simplePos x="0" y="0"/>
                      <wp:positionH relativeFrom="character">
                        <wp:align>left</wp:align>
                      </wp:positionH>
                      <wp:positionV relativeFrom="line">
                        <wp:posOffset>635</wp:posOffset>
                      </wp:positionV>
                      <wp:extent cx="98425" cy="1064895"/>
                      <wp:effectExtent l="0" t="0" r="0" b="0"/>
                      <wp:wrapNone/>
                      <wp:docPr id="1341" name="Frame134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Stores,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3">
                      <wp:simplePos x="0" y="0"/>
                      <wp:positionH relativeFrom="character">
                        <wp:align>left</wp:align>
                      </wp:positionH>
                      <wp:positionV relativeFrom="line">
                        <wp:posOffset>635</wp:posOffset>
                      </wp:positionV>
                      <wp:extent cx="69215" cy="220980"/>
                      <wp:effectExtent l="0" t="0" r="0" b="0"/>
                      <wp:wrapNone/>
                      <wp:docPr id="1342" name="Frame134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4">
                      <wp:simplePos x="0" y="0"/>
                      <wp:positionH relativeFrom="character">
                        <wp:align>left</wp:align>
                      </wp:positionH>
                      <wp:positionV relativeFrom="line">
                        <wp:posOffset>635</wp:posOffset>
                      </wp:positionV>
                      <wp:extent cx="98425" cy="1064895"/>
                      <wp:effectExtent l="0" t="0" r="0" b="0"/>
                      <wp:wrapNone/>
                      <wp:docPr id="1343" name="Frame134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Sales,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5">
                      <wp:simplePos x="0" y="0"/>
                      <wp:positionH relativeFrom="character">
                        <wp:align>left</wp:align>
                      </wp:positionH>
                      <wp:positionV relativeFrom="line">
                        <wp:posOffset>635</wp:posOffset>
                      </wp:positionV>
                      <wp:extent cx="69215" cy="220980"/>
                      <wp:effectExtent l="0" t="0" r="0" b="0"/>
                      <wp:wrapNone/>
                      <wp:docPr id="1344" name="Frame134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6">
                      <wp:simplePos x="0" y="0"/>
                      <wp:positionH relativeFrom="character">
                        <wp:align>left</wp:align>
                      </wp:positionH>
                      <wp:positionV relativeFrom="line">
                        <wp:posOffset>635</wp:posOffset>
                      </wp:positionV>
                      <wp:extent cx="98425" cy="1064895"/>
                      <wp:effectExtent l="0" t="0" r="0" b="0"/>
                      <wp:wrapNone/>
                      <wp:docPr id="1345" name="Frame134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WPH - Nostalgia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7">
                      <wp:simplePos x="0" y="0"/>
                      <wp:positionH relativeFrom="character">
                        <wp:align>left</wp:align>
                      </wp:positionH>
                      <wp:positionV relativeFrom="line">
                        <wp:posOffset>635</wp:posOffset>
                      </wp:positionV>
                      <wp:extent cx="69215" cy="220980"/>
                      <wp:effectExtent l="0" t="0" r="0" b="0"/>
                      <wp:wrapNone/>
                      <wp:docPr id="1346" name="Frame134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8">
                      <wp:simplePos x="0" y="0"/>
                      <wp:positionH relativeFrom="character">
                        <wp:align>left</wp:align>
                      </wp:positionH>
                      <wp:positionV relativeFrom="line">
                        <wp:posOffset>635</wp:posOffset>
                      </wp:positionV>
                      <wp:extent cx="98425" cy="1064895"/>
                      <wp:effectExtent l="0" t="0" r="0" b="0"/>
                      <wp:wrapNone/>
                      <wp:docPr id="1347" name="Frame134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Lanier/Carter,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9">
                      <wp:simplePos x="0" y="0"/>
                      <wp:positionH relativeFrom="character">
                        <wp:align>left</wp:align>
                      </wp:positionH>
                      <wp:positionV relativeFrom="line">
                        <wp:posOffset>635</wp:posOffset>
                      </wp:positionV>
                      <wp:extent cx="69215" cy="220980"/>
                      <wp:effectExtent l="0" t="0" r="0" b="0"/>
                      <wp:wrapNone/>
                      <wp:docPr id="1348" name="Frame134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0">
                      <wp:simplePos x="0" y="0"/>
                      <wp:positionH relativeFrom="character">
                        <wp:align>left</wp:align>
                      </wp:positionH>
                      <wp:positionV relativeFrom="line">
                        <wp:posOffset>635</wp:posOffset>
                      </wp:positionV>
                      <wp:extent cx="98425" cy="1064895"/>
                      <wp:effectExtent l="0" t="0" r="0" b="0"/>
                      <wp:wrapNone/>
                      <wp:docPr id="1349" name="Frame1349"/>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Lumberton,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1">
                      <wp:simplePos x="0" y="0"/>
                      <wp:positionH relativeFrom="character">
                        <wp:align>left</wp:align>
                      </wp:positionH>
                      <wp:positionV relativeFrom="line">
                        <wp:posOffset>635</wp:posOffset>
                      </wp:positionV>
                      <wp:extent cx="69215" cy="220980"/>
                      <wp:effectExtent l="0" t="0" r="0" b="0"/>
                      <wp:wrapNone/>
                      <wp:docPr id="1350" name="Frame135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2">
                      <wp:simplePos x="0" y="0"/>
                      <wp:positionH relativeFrom="character">
                        <wp:align>left</wp:align>
                      </wp:positionH>
                      <wp:positionV relativeFrom="line">
                        <wp:posOffset>635</wp:posOffset>
                      </wp:positionV>
                      <wp:extent cx="98425" cy="1064895"/>
                      <wp:effectExtent l="0" t="0" r="0" b="0"/>
                      <wp:wrapNone/>
                      <wp:docPr id="1351" name="Frame1351"/>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Wagram,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3">
                      <wp:simplePos x="0" y="0"/>
                      <wp:positionH relativeFrom="character">
                        <wp:align>left</wp:align>
                      </wp:positionH>
                      <wp:positionV relativeFrom="line">
                        <wp:posOffset>635</wp:posOffset>
                      </wp:positionV>
                      <wp:extent cx="69215" cy="220980"/>
                      <wp:effectExtent l="0" t="0" r="0" b="0"/>
                      <wp:wrapNone/>
                      <wp:docPr id="1352" name="Frame135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4">
                      <wp:simplePos x="0" y="0"/>
                      <wp:positionH relativeFrom="character">
                        <wp:align>left</wp:align>
                      </wp:positionH>
                      <wp:positionV relativeFrom="line">
                        <wp:posOffset>635</wp:posOffset>
                      </wp:positionV>
                      <wp:extent cx="98425" cy="1064895"/>
                      <wp:effectExtent l="0" t="0" r="0" b="0"/>
                      <wp:wrapNone/>
                      <wp:docPr id="1353" name="Frame1353"/>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Clemson,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5">
                      <wp:simplePos x="0" y="0"/>
                      <wp:positionH relativeFrom="character">
                        <wp:align>left</wp:align>
                      </wp:positionH>
                      <wp:positionV relativeFrom="line">
                        <wp:posOffset>635</wp:posOffset>
                      </wp:positionV>
                      <wp:extent cx="69215" cy="220980"/>
                      <wp:effectExtent l="0" t="0" r="0" b="0"/>
                      <wp:wrapNone/>
                      <wp:docPr id="1354" name="Frame135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6">
                      <wp:simplePos x="0" y="0"/>
                      <wp:positionH relativeFrom="character">
                        <wp:align>left</wp:align>
                      </wp:positionH>
                      <wp:positionV relativeFrom="line">
                        <wp:posOffset>635</wp:posOffset>
                      </wp:positionV>
                      <wp:extent cx="98425" cy="1064895"/>
                      <wp:effectExtent l="0" t="0" r="0" b="0"/>
                      <wp:wrapNone/>
                      <wp:docPr id="1355" name="Frame1355"/>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Wagram Facility,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7">
                      <wp:simplePos x="0" y="0"/>
                      <wp:positionH relativeFrom="character">
                        <wp:align>left</wp:align>
                      </wp:positionH>
                      <wp:positionV relativeFrom="line">
                        <wp:posOffset>635</wp:posOffset>
                      </wp:positionV>
                      <wp:extent cx="69215" cy="220980"/>
                      <wp:effectExtent l="0" t="0" r="0" b="0"/>
                      <wp:wrapNone/>
                      <wp:docPr id="1356" name="Frame135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8">
                      <wp:simplePos x="0" y="0"/>
                      <wp:positionH relativeFrom="character">
                        <wp:align>left</wp:align>
                      </wp:positionH>
                      <wp:positionV relativeFrom="line">
                        <wp:posOffset>635</wp:posOffset>
                      </wp:positionV>
                      <wp:extent cx="98425" cy="1064895"/>
                      <wp:effectExtent l="0" t="0" r="0" b="0"/>
                      <wp:wrapNone/>
                      <wp:docPr id="1357" name="Frame1357"/>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69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(Netherlands) B.V.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9">
                      <wp:simplePos x="0" y="0"/>
                      <wp:positionH relativeFrom="character">
                        <wp:align>left</wp:align>
                      </wp:positionH>
                      <wp:positionV relativeFrom="line">
                        <wp:posOffset>635</wp:posOffset>
                      </wp:positionV>
                      <wp:extent cx="69215" cy="220980"/>
                      <wp:effectExtent l="0" t="0" r="0" b="0"/>
                      <wp:wrapNone/>
                      <wp:docPr id="1358" name="Frame135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60">
                      <wp:simplePos x="0" y="0"/>
                      <wp:positionH relativeFrom="character">
                        <wp:align>left</wp:align>
                      </wp:positionH>
                      <wp:positionV relativeFrom="line">
                        <wp:posOffset>635</wp:posOffset>
                      </wp:positionV>
                      <wp:extent cx="98425" cy="2228215"/>
                      <wp:effectExtent l="0" t="0" r="0" b="0"/>
                      <wp:wrapNone/>
                      <wp:docPr id="1359" name="Frame1359"/>
                      <a:graphic xmlns:a="http://schemas.openxmlformats.org/drawingml/2006/main">
                        <a:graphicData uri="http://schemas.microsoft.com/office/word/2010/wordprocessingShape">
                          <wps:wsp>
                            <wps:cNvSpPr txBox="1"/>
                            <wps:spPr>
                              <a:xfrm>
                                <a:off x="0" y="0"/>
                                <a:ext cx="98425" cy="222821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75.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5871" w:type="dxa"/>
        <w:jc w:val="center"/>
        <w:tblInd w:w="0" w:type="dxa"/>
        <w:tblLayout w:type="fixed"/>
        <w:tblCellMar>
          <w:top w:w="0" w:type="dxa"/>
          <w:left w:w="0" w:type="dxa"/>
          <w:bottom w:w="0" w:type="dxa"/>
          <w:right w:w="0" w:type="dxa"/>
        </w:tblCellMar>
      </w:tblPr>
      <w:tblGrid>
        <w:gridCol w:w="3871"/>
        <w:gridCol w:w="109"/>
        <w:gridCol w:w="1891"/>
      </w:tblGrid>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(Bahrain) W.L.L.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1">
                      <wp:simplePos x="0" y="0"/>
                      <wp:positionH relativeFrom="character">
                        <wp:align>left</wp:align>
                      </wp:positionH>
                      <wp:positionV relativeFrom="line">
                        <wp:posOffset>635</wp:posOffset>
                      </wp:positionV>
                      <wp:extent cx="69215" cy="220980"/>
                      <wp:effectExtent l="0" t="0" r="0" b="0"/>
                      <wp:wrapNone/>
                      <wp:docPr id="1360" name="Frame136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2">
                      <wp:simplePos x="0" y="0"/>
                      <wp:positionH relativeFrom="character">
                        <wp:align>left</wp:align>
                      </wp:positionH>
                      <wp:positionV relativeFrom="line">
                        <wp:posOffset>635</wp:posOffset>
                      </wp:positionV>
                      <wp:extent cx="1200785" cy="192405"/>
                      <wp:effectExtent l="0" t="0" r="0" b="0"/>
                      <wp:wrapNone/>
                      <wp:docPr id="1361" name="Frame1361"/>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Bahrain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Bahrain</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(Shanghai)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3">
                      <wp:simplePos x="0" y="0"/>
                      <wp:positionH relativeFrom="character">
                        <wp:align>left</wp:align>
                      </wp:positionH>
                      <wp:positionV relativeFrom="line">
                        <wp:posOffset>635</wp:posOffset>
                      </wp:positionV>
                      <wp:extent cx="69215" cy="220980"/>
                      <wp:effectExtent l="0" t="0" r="0" b="0"/>
                      <wp:wrapNone/>
                      <wp:docPr id="1362" name="Frame136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4">
                      <wp:simplePos x="0" y="0"/>
                      <wp:positionH relativeFrom="character">
                        <wp:align>left</wp:align>
                      </wp:positionH>
                      <wp:positionV relativeFrom="line">
                        <wp:posOffset>635</wp:posOffset>
                      </wp:positionV>
                      <wp:extent cx="1200785" cy="192405"/>
                      <wp:effectExtent l="0" t="0" r="0" b="0"/>
                      <wp:wrapNone/>
                      <wp:docPr id="1363" name="Frame1363"/>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Luxury Linens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5">
                      <wp:simplePos x="0" y="0"/>
                      <wp:positionH relativeFrom="character">
                        <wp:align>left</wp:align>
                      </wp:positionH>
                      <wp:positionV relativeFrom="line">
                        <wp:posOffset>635</wp:posOffset>
                      </wp:positionV>
                      <wp:extent cx="69215" cy="220980"/>
                      <wp:effectExtent l="0" t="0" r="0" b="0"/>
                      <wp:wrapNone/>
                      <wp:docPr id="1364" name="Frame136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6">
                      <wp:simplePos x="0" y="0"/>
                      <wp:positionH relativeFrom="character">
                        <wp:align>left</wp:align>
                      </wp:positionH>
                      <wp:positionV relativeFrom="line">
                        <wp:posOffset>635</wp:posOffset>
                      </wp:positionV>
                      <wp:extent cx="1200785" cy="192405"/>
                      <wp:effectExtent l="0" t="0" r="0" b="0"/>
                      <wp:wrapNone/>
                      <wp:docPr id="1365" name="Frame1365"/>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Alamance,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7">
                      <wp:simplePos x="0" y="0"/>
                      <wp:positionH relativeFrom="character">
                        <wp:align>left</wp:align>
                      </wp:positionH>
                      <wp:positionV relativeFrom="line">
                        <wp:posOffset>635</wp:posOffset>
                      </wp:positionV>
                      <wp:extent cx="69215" cy="220980"/>
                      <wp:effectExtent l="0" t="0" r="0" b="0"/>
                      <wp:wrapNone/>
                      <wp:docPr id="1366" name="Frame136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8">
                      <wp:simplePos x="0" y="0"/>
                      <wp:positionH relativeFrom="character">
                        <wp:align>left</wp:align>
                      </wp:positionH>
                      <wp:positionV relativeFrom="line">
                        <wp:posOffset>635</wp:posOffset>
                      </wp:positionV>
                      <wp:extent cx="1200785" cy="192405"/>
                      <wp:effectExtent l="0" t="0" r="0" b="0"/>
                      <wp:wrapNone/>
                      <wp:docPr id="1367" name="Frame1367"/>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Drakes,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9">
                      <wp:simplePos x="0" y="0"/>
                      <wp:positionH relativeFrom="character">
                        <wp:align>left</wp:align>
                      </wp:positionH>
                      <wp:positionV relativeFrom="line">
                        <wp:posOffset>635</wp:posOffset>
                      </wp:positionV>
                      <wp:extent cx="69215" cy="220980"/>
                      <wp:effectExtent l="0" t="0" r="0" b="0"/>
                      <wp:wrapNone/>
                      <wp:docPr id="1368" name="Frame136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0">
                      <wp:simplePos x="0" y="0"/>
                      <wp:positionH relativeFrom="character">
                        <wp:align>left</wp:align>
                      </wp:positionH>
                      <wp:positionV relativeFrom="line">
                        <wp:posOffset>635</wp:posOffset>
                      </wp:positionV>
                      <wp:extent cx="1200785" cy="192405"/>
                      <wp:effectExtent l="0" t="0" r="0" b="0"/>
                      <wp:wrapNone/>
                      <wp:docPr id="1369" name="Frame1369"/>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Fairfax Mill,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1">
                      <wp:simplePos x="0" y="0"/>
                      <wp:positionH relativeFrom="character">
                        <wp:align>left</wp:align>
                      </wp:positionH>
                      <wp:positionV relativeFrom="line">
                        <wp:posOffset>635</wp:posOffset>
                      </wp:positionV>
                      <wp:extent cx="69215" cy="220980"/>
                      <wp:effectExtent l="0" t="0" r="0" b="0"/>
                      <wp:wrapNone/>
                      <wp:docPr id="1370" name="Frame137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2">
                      <wp:simplePos x="0" y="0"/>
                      <wp:positionH relativeFrom="character">
                        <wp:align>left</wp:align>
                      </wp:positionH>
                      <wp:positionV relativeFrom="line">
                        <wp:posOffset>635</wp:posOffset>
                      </wp:positionV>
                      <wp:extent cx="1200785" cy="192405"/>
                      <wp:effectExtent l="0" t="0" r="0" b="0"/>
                      <wp:wrapNone/>
                      <wp:docPr id="1371" name="Frame1371"/>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Fairfax Operations,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3">
                      <wp:simplePos x="0" y="0"/>
                      <wp:positionH relativeFrom="character">
                        <wp:align>left</wp:align>
                      </wp:positionH>
                      <wp:positionV relativeFrom="line">
                        <wp:posOffset>635</wp:posOffset>
                      </wp:positionV>
                      <wp:extent cx="69215" cy="220980"/>
                      <wp:effectExtent l="0" t="0" r="0" b="0"/>
                      <wp:wrapNone/>
                      <wp:docPr id="1372" name="Frame137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4">
                      <wp:simplePos x="0" y="0"/>
                      <wp:positionH relativeFrom="character">
                        <wp:align>left</wp:align>
                      </wp:positionH>
                      <wp:positionV relativeFrom="line">
                        <wp:posOffset>635</wp:posOffset>
                      </wp:positionV>
                      <wp:extent cx="1200785" cy="192405"/>
                      <wp:effectExtent l="0" t="0" r="0" b="0"/>
                      <wp:wrapNone/>
                      <wp:docPr id="1373" name="Frame1373"/>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Graphics,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5">
                      <wp:simplePos x="0" y="0"/>
                      <wp:positionH relativeFrom="character">
                        <wp:align>left</wp:align>
                      </wp:positionH>
                      <wp:positionV relativeFrom="line">
                        <wp:posOffset>635</wp:posOffset>
                      </wp:positionV>
                      <wp:extent cx="69215" cy="220980"/>
                      <wp:effectExtent l="0" t="0" r="0" b="0"/>
                      <wp:wrapNone/>
                      <wp:docPr id="1374" name="Frame137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6">
                      <wp:simplePos x="0" y="0"/>
                      <wp:positionH relativeFrom="character">
                        <wp:align>left</wp:align>
                      </wp:positionH>
                      <wp:positionV relativeFrom="line">
                        <wp:posOffset>635</wp:posOffset>
                      </wp:positionV>
                      <wp:extent cx="1200785" cy="192405"/>
                      <wp:effectExtent l="0" t="0" r="0" b="0"/>
                      <wp:wrapNone/>
                      <wp:docPr id="1375" name="Frame1375"/>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Lanett,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7">
                      <wp:simplePos x="0" y="0"/>
                      <wp:positionH relativeFrom="character">
                        <wp:align>left</wp:align>
                      </wp:positionH>
                      <wp:positionV relativeFrom="line">
                        <wp:posOffset>635</wp:posOffset>
                      </wp:positionV>
                      <wp:extent cx="69215" cy="220980"/>
                      <wp:effectExtent l="0" t="0" r="0" b="0"/>
                      <wp:wrapNone/>
                      <wp:docPr id="1376" name="Frame137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8">
                      <wp:simplePos x="0" y="0"/>
                      <wp:positionH relativeFrom="character">
                        <wp:align>left</wp:align>
                      </wp:positionH>
                      <wp:positionV relativeFrom="line">
                        <wp:posOffset>635</wp:posOffset>
                      </wp:positionV>
                      <wp:extent cx="1200785" cy="192405"/>
                      <wp:effectExtent l="0" t="0" r="0" b="0"/>
                      <wp:wrapNone/>
                      <wp:docPr id="1377" name="Frame1377"/>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Opelika,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9">
                      <wp:simplePos x="0" y="0"/>
                      <wp:positionH relativeFrom="character">
                        <wp:align>left</wp:align>
                      </wp:positionH>
                      <wp:positionV relativeFrom="line">
                        <wp:posOffset>635</wp:posOffset>
                      </wp:positionV>
                      <wp:extent cx="69215" cy="220980"/>
                      <wp:effectExtent l="0" t="0" r="0" b="0"/>
                      <wp:wrapNone/>
                      <wp:docPr id="1378" name="Frame137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0">
                      <wp:simplePos x="0" y="0"/>
                      <wp:positionH relativeFrom="character">
                        <wp:align>left</wp:align>
                      </wp:positionH>
                      <wp:positionV relativeFrom="line">
                        <wp:posOffset>635</wp:posOffset>
                      </wp:positionV>
                      <wp:extent cx="1200785" cy="192405"/>
                      <wp:effectExtent l="0" t="0" r="0" b="0"/>
                      <wp:wrapNone/>
                      <wp:docPr id="1379" name="Frame1379"/>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Greenville,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1">
                      <wp:simplePos x="0" y="0"/>
                      <wp:positionH relativeFrom="character">
                        <wp:align>left</wp:align>
                      </wp:positionH>
                      <wp:positionV relativeFrom="line">
                        <wp:posOffset>635</wp:posOffset>
                      </wp:positionV>
                      <wp:extent cx="69215" cy="220980"/>
                      <wp:effectExtent l="0" t="0" r="0" b="0"/>
                      <wp:wrapNone/>
                      <wp:docPr id="1380" name="Frame138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2">
                      <wp:simplePos x="0" y="0"/>
                      <wp:positionH relativeFrom="character">
                        <wp:align>left</wp:align>
                      </wp:positionH>
                      <wp:positionV relativeFrom="line">
                        <wp:posOffset>635</wp:posOffset>
                      </wp:positionV>
                      <wp:extent cx="1200785" cy="192405"/>
                      <wp:effectExtent l="0" t="0" r="0" b="0"/>
                      <wp:wrapNone/>
                      <wp:docPr id="1381" name="Frame1381"/>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LMP,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3">
                      <wp:simplePos x="0" y="0"/>
                      <wp:positionH relativeFrom="character">
                        <wp:align>left</wp:align>
                      </wp:positionH>
                      <wp:positionV relativeFrom="line">
                        <wp:posOffset>635</wp:posOffset>
                      </wp:positionV>
                      <wp:extent cx="69215" cy="220980"/>
                      <wp:effectExtent l="0" t="0" r="0" b="0"/>
                      <wp:wrapNone/>
                      <wp:docPr id="1382" name="Frame138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4">
                      <wp:simplePos x="0" y="0"/>
                      <wp:positionH relativeFrom="character">
                        <wp:align>left</wp:align>
                      </wp:positionH>
                      <wp:positionV relativeFrom="line">
                        <wp:posOffset>635</wp:posOffset>
                      </wp:positionV>
                      <wp:extent cx="1200785" cy="192405"/>
                      <wp:effectExtent l="0" t="0" r="0" b="0"/>
                      <wp:wrapNone/>
                      <wp:docPr id="1383" name="Frame1383"/>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Opelika Lots,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5">
                      <wp:simplePos x="0" y="0"/>
                      <wp:positionH relativeFrom="character">
                        <wp:align>left</wp:align>
                      </wp:positionH>
                      <wp:positionV relativeFrom="line">
                        <wp:posOffset>635</wp:posOffset>
                      </wp:positionV>
                      <wp:extent cx="69215" cy="220980"/>
                      <wp:effectExtent l="0" t="0" r="0" b="0"/>
                      <wp:wrapNone/>
                      <wp:docPr id="1384" name="Frame138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6">
                      <wp:simplePos x="0" y="0"/>
                      <wp:positionH relativeFrom="character">
                        <wp:align>left</wp:align>
                      </wp:positionH>
                      <wp:positionV relativeFrom="line">
                        <wp:posOffset>635</wp:posOffset>
                      </wp:positionV>
                      <wp:extent cx="1200785" cy="192405"/>
                      <wp:effectExtent l="0" t="0" r="0" b="0"/>
                      <wp:wrapNone/>
                      <wp:docPr id="1385" name="Frame1385"/>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Lakeview,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7">
                      <wp:simplePos x="0" y="0"/>
                      <wp:positionH relativeFrom="character">
                        <wp:align>left</wp:align>
                      </wp:positionH>
                      <wp:positionV relativeFrom="line">
                        <wp:posOffset>635</wp:posOffset>
                      </wp:positionV>
                      <wp:extent cx="69215" cy="220980"/>
                      <wp:effectExtent l="0" t="0" r="0" b="0"/>
                      <wp:wrapNone/>
                      <wp:docPr id="1386" name="Frame138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8">
                      <wp:simplePos x="0" y="0"/>
                      <wp:positionH relativeFrom="character">
                        <wp:align>left</wp:align>
                      </wp:positionH>
                      <wp:positionV relativeFrom="line">
                        <wp:posOffset>635</wp:posOffset>
                      </wp:positionV>
                      <wp:extent cx="1200785" cy="192405"/>
                      <wp:effectExtent l="0" t="0" r="0" b="0"/>
                      <wp:wrapNone/>
                      <wp:docPr id="1387" name="Frame1387"/>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Transportation Center,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9">
                      <wp:simplePos x="0" y="0"/>
                      <wp:positionH relativeFrom="character">
                        <wp:align>left</wp:align>
                      </wp:positionH>
                      <wp:positionV relativeFrom="line">
                        <wp:posOffset>635</wp:posOffset>
                      </wp:positionV>
                      <wp:extent cx="69215" cy="220980"/>
                      <wp:effectExtent l="0" t="0" r="0" b="0"/>
                      <wp:wrapNone/>
                      <wp:docPr id="1388" name="Frame138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0">
                      <wp:simplePos x="0" y="0"/>
                      <wp:positionH relativeFrom="character">
                        <wp:align>left</wp:align>
                      </wp:positionH>
                      <wp:positionV relativeFrom="line">
                        <wp:posOffset>635</wp:posOffset>
                      </wp:positionV>
                      <wp:extent cx="1200785" cy="192405"/>
                      <wp:effectExtent l="0" t="0" r="0" b="0"/>
                      <wp:wrapNone/>
                      <wp:docPr id="1389" name="Frame1389"/>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VSS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1">
                      <wp:simplePos x="0" y="0"/>
                      <wp:positionH relativeFrom="character">
                        <wp:align>left</wp:align>
                      </wp:positionH>
                      <wp:positionV relativeFrom="line">
                        <wp:posOffset>635</wp:posOffset>
                      </wp:positionV>
                      <wp:extent cx="69215" cy="220980"/>
                      <wp:effectExtent l="0" t="0" r="0" b="0"/>
                      <wp:wrapNone/>
                      <wp:docPr id="1390" name="Frame139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2">
                      <wp:simplePos x="0" y="0"/>
                      <wp:positionH relativeFrom="character">
                        <wp:align>left</wp:align>
                      </wp:positionH>
                      <wp:positionV relativeFrom="line">
                        <wp:posOffset>635</wp:posOffset>
                      </wp:positionV>
                      <wp:extent cx="1200785" cy="192405"/>
                      <wp:effectExtent l="0" t="0" r="0" b="0"/>
                      <wp:wrapNone/>
                      <wp:docPr id="1391" name="Frame1391"/>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Global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3">
                      <wp:simplePos x="0" y="0"/>
                      <wp:positionH relativeFrom="character">
                        <wp:align>left</wp:align>
                      </wp:positionH>
                      <wp:positionV relativeFrom="line">
                        <wp:posOffset>635</wp:posOffset>
                      </wp:positionV>
                      <wp:extent cx="69215" cy="220980"/>
                      <wp:effectExtent l="0" t="0" r="0" b="0"/>
                      <wp:wrapNone/>
                      <wp:docPr id="1392" name="Frame139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Group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4">
                      <wp:simplePos x="0" y="0"/>
                      <wp:positionH relativeFrom="character">
                        <wp:align>left</wp:align>
                      </wp:positionH>
                      <wp:positionV relativeFrom="line">
                        <wp:posOffset>635</wp:posOffset>
                      </wp:positionV>
                      <wp:extent cx="69215" cy="220980"/>
                      <wp:effectExtent l="0" t="0" r="0" b="0"/>
                      <wp:wrapNone/>
                      <wp:docPr id="1393" name="Frame139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Asia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5">
                      <wp:simplePos x="0" y="0"/>
                      <wp:positionH relativeFrom="character">
                        <wp:align>left</wp:align>
                      </wp:positionH>
                      <wp:positionV relativeFrom="line">
                        <wp:posOffset>635</wp:posOffset>
                      </wp:positionV>
                      <wp:extent cx="69215" cy="220980"/>
                      <wp:effectExtent l="0" t="0" r="0" b="0"/>
                      <wp:wrapNone/>
                      <wp:docPr id="1394" name="Frame139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Limited Mauritius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6">
                      <wp:simplePos x="0" y="0"/>
                      <wp:positionH relativeFrom="character">
                        <wp:align>left</wp:align>
                      </wp:positionH>
                      <wp:positionV relativeFrom="line">
                        <wp:posOffset>635</wp:posOffset>
                      </wp:positionV>
                      <wp:extent cx="69215" cy="220980"/>
                      <wp:effectExtent l="0" t="0" r="0" b="0"/>
                      <wp:wrapNone/>
                      <wp:docPr id="1395" name="Frame139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Mauritius</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Pakistan (Private) Ltd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7">
                      <wp:simplePos x="0" y="0"/>
                      <wp:positionH relativeFrom="character">
                        <wp:align>left</wp:align>
                      </wp:positionH>
                      <wp:positionV relativeFrom="line">
                        <wp:posOffset>635</wp:posOffset>
                      </wp:positionV>
                      <wp:extent cx="69215" cy="220980"/>
                      <wp:effectExtent l="0" t="0" r="0" b="0"/>
                      <wp:wrapNone/>
                      <wp:docPr id="1396" name="Frame139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Pakistan</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VSS Sourcing (India) Private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8">
                      <wp:simplePos x="0" y="0"/>
                      <wp:positionH relativeFrom="character">
                        <wp:align>left</wp:align>
                      </wp:positionH>
                      <wp:positionV relativeFrom="line">
                        <wp:posOffset>635</wp:posOffset>
                      </wp:positionV>
                      <wp:extent cx="69215" cy="220980"/>
                      <wp:effectExtent l="0" t="0" r="0" b="0"/>
                      <wp:wrapNone/>
                      <wp:docPr id="1397" name="Frame139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(Ningbo)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9">
                      <wp:simplePos x="0" y="0"/>
                      <wp:positionH relativeFrom="character">
                        <wp:align>left</wp:align>
                      </wp:positionH>
                      <wp:positionV relativeFrom="line">
                        <wp:posOffset>635</wp:posOffset>
                      </wp:positionV>
                      <wp:extent cx="69215" cy="220980"/>
                      <wp:effectExtent l="0" t="0" r="0" b="0"/>
                      <wp:wrapNone/>
                      <wp:docPr id="1398" name="Frame139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Gulf FZE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0">
                      <wp:simplePos x="0" y="0"/>
                      <wp:positionH relativeFrom="character">
                        <wp:align>left</wp:align>
                      </wp:positionH>
                      <wp:positionV relativeFrom="line">
                        <wp:posOffset>635</wp:posOffset>
                      </wp:positionV>
                      <wp:extent cx="69215" cy="220980"/>
                      <wp:effectExtent l="0" t="0" r="0" b="0"/>
                      <wp:wrapNone/>
                      <wp:docPr id="1399" name="Frame139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Europe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1">
                      <wp:simplePos x="0" y="0"/>
                      <wp:positionH relativeFrom="character">
                        <wp:align>left</wp:align>
                      </wp:positionH>
                      <wp:positionV relativeFrom="line">
                        <wp:posOffset>635</wp:posOffset>
                      </wp:positionV>
                      <wp:extent cx="69215" cy="220980"/>
                      <wp:effectExtent l="0" t="0" r="0" b="0"/>
                      <wp:wrapNone/>
                      <wp:docPr id="1400" name="Frame140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Republic of Ireland</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2">
                      <wp:simplePos x="0" y="0"/>
                      <wp:positionH relativeFrom="character">
                        <wp:align>left</wp:align>
                      </wp:positionH>
                      <wp:positionV relativeFrom="line">
                        <wp:posOffset>635</wp:posOffset>
                      </wp:positionV>
                      <wp:extent cx="69215" cy="220980"/>
                      <wp:effectExtent l="0" t="0" r="0" b="0"/>
                      <wp:wrapNone/>
                      <wp:docPr id="1401" name="Frame140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Lissadell Liddell Ireland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3">
                      <wp:simplePos x="0" y="0"/>
                      <wp:positionH relativeFrom="character">
                        <wp:align>left</wp:align>
                      </wp:positionH>
                      <wp:positionV relativeFrom="line">
                        <wp:posOffset>635</wp:posOffset>
                      </wp:positionV>
                      <wp:extent cx="69215" cy="220980"/>
                      <wp:effectExtent l="0" t="0" r="0" b="0"/>
                      <wp:wrapNone/>
                      <wp:docPr id="1402" name="Frame140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Republic of Ireland</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B.V.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4">
                      <wp:simplePos x="0" y="0"/>
                      <wp:positionH relativeFrom="character">
                        <wp:align>left</wp:align>
                      </wp:positionH>
                      <wp:positionV relativeFrom="line">
                        <wp:posOffset>635</wp:posOffset>
                      </wp:positionV>
                      <wp:extent cx="69215" cy="220980"/>
                      <wp:effectExtent l="0" t="0" r="0" b="0"/>
                      <wp:wrapNone/>
                      <wp:docPr id="1403" name="Frame140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L Whitaker Services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5">
                      <wp:simplePos x="0" y="0"/>
                      <wp:positionH relativeFrom="character">
                        <wp:align>left</wp:align>
                      </wp:positionH>
                      <wp:positionV relativeFrom="line">
                        <wp:posOffset>635</wp:posOffset>
                      </wp:positionV>
                      <wp:extent cx="69215" cy="220980"/>
                      <wp:effectExtent l="0" t="0" r="0" b="0"/>
                      <wp:wrapNone/>
                      <wp:docPr id="1404" name="Frame140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HLL Linens Private Limited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6">
                      <wp:simplePos x="0" y="0"/>
                      <wp:positionH relativeFrom="character">
                        <wp:align>left</wp:align>
                      </wp:positionH>
                      <wp:positionV relativeFrom="line">
                        <wp:posOffset>635</wp:posOffset>
                      </wp:positionV>
                      <wp:extent cx="69215" cy="220980"/>
                      <wp:effectExtent l="0" t="0" r="0" b="0"/>
                      <wp:wrapNone/>
                      <wp:docPr id="1405" name="Frame140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Trading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7">
                      <wp:simplePos x="0" y="0"/>
                      <wp:positionH relativeFrom="character">
                        <wp:align>left</wp:align>
                      </wp:positionH>
                      <wp:positionV relativeFrom="line">
                        <wp:posOffset>635</wp:posOffset>
                      </wp:positionV>
                      <wp:extent cx="69215" cy="220980"/>
                      <wp:effectExtent l="0" t="0" r="0" b="0"/>
                      <wp:wrapNone/>
                      <wp:docPr id="1406" name="Frame140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VSS Support Global Private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8">
                      <wp:simplePos x="0" y="0"/>
                      <wp:positionH relativeFrom="character">
                        <wp:align>left</wp:align>
                      </wp:positionH>
                      <wp:positionV relativeFrom="line">
                        <wp:posOffset>635</wp:posOffset>
                      </wp:positionV>
                      <wp:extent cx="69215" cy="220980"/>
                      <wp:effectExtent l="0" t="0" r="0" b="0"/>
                      <wp:wrapNone/>
                      <wp:docPr id="1407" name="Frame140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38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(Shanghai)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9">
                      <wp:simplePos x="0" y="0"/>
                      <wp:positionH relativeFrom="character">
                        <wp:align>left</wp:align>
                      </wp:positionH>
                      <wp:positionV relativeFrom="line">
                        <wp:posOffset>635</wp:posOffset>
                      </wp:positionV>
                      <wp:extent cx="69215" cy="220980"/>
                      <wp:effectExtent l="0" t="0" r="0" b="0"/>
                      <wp:wrapNone/>
                      <wp:docPr id="1408" name="Frame140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0">
                      <wp:simplePos x="0" y="0"/>
                      <wp:positionH relativeFrom="character">
                        <wp:align>left</wp:align>
                      </wp:positionH>
                      <wp:positionV relativeFrom="line">
                        <wp:posOffset>635</wp:posOffset>
                      </wp:positionV>
                      <wp:extent cx="2458085" cy="192405"/>
                      <wp:effectExtent l="0" t="0" r="0" b="0"/>
                      <wp:wrapNone/>
                      <wp:docPr id="1409" name="Frame1409"/>
                      <a:graphic xmlns:a="http://schemas.openxmlformats.org/drawingml/2006/main">
                        <a:graphicData uri="http://schemas.microsoft.com/office/word/2010/wordprocessingShape">
                          <wps:wsp>
                            <wps:cNvSpPr txBox="1"/>
                            <wps:spPr>
                              <a:xfrm>
                                <a:off x="0" y="0"/>
                                <a:ext cx="2458085"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1">
                      <wp:simplePos x="0" y="0"/>
                      <wp:positionH relativeFrom="character">
                        <wp:align>left</wp:align>
                      </wp:positionH>
                      <wp:positionV relativeFrom="line">
                        <wp:posOffset>635</wp:posOffset>
                      </wp:positionV>
                      <wp:extent cx="69215" cy="220980"/>
                      <wp:effectExtent l="0" t="0" r="0" b="0"/>
                      <wp:wrapNone/>
                      <wp:docPr id="1410" name="Frame141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2">
                      <wp:simplePos x="0" y="0"/>
                      <wp:positionH relativeFrom="character">
                        <wp:align>left</wp:align>
                      </wp:positionH>
                      <wp:positionV relativeFrom="line">
                        <wp:posOffset>635</wp:posOffset>
                      </wp:positionV>
                      <wp:extent cx="1200785" cy="192405"/>
                      <wp:effectExtent l="0" t="0" r="0" b="0"/>
                      <wp:wrapNone/>
                      <wp:docPr id="1411" name="Frame1411"/>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3">
                      <wp:simplePos x="0" y="0"/>
                      <wp:positionH relativeFrom="character">
                        <wp:align>left</wp:align>
                      </wp:positionH>
                      <wp:positionV relativeFrom="line">
                        <wp:posOffset>635</wp:posOffset>
                      </wp:positionV>
                      <wp:extent cx="2458085" cy="192405"/>
                      <wp:effectExtent l="0" t="0" r="0" b="0"/>
                      <wp:wrapNone/>
                      <wp:docPr id="1412" name="Frame1412"/>
                      <a:graphic xmlns:a="http://schemas.openxmlformats.org/drawingml/2006/main">
                        <a:graphicData uri="http://schemas.microsoft.com/office/word/2010/wordprocessingShape">
                          <wps:wsp>
                            <wps:cNvSpPr txBox="1"/>
                            <wps:spPr>
                              <a:xfrm>
                                <a:off x="0" y="0"/>
                                <a:ext cx="2458085"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Pharmaceuticals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Pharmaceuticals Limited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4">
                      <wp:simplePos x="0" y="0"/>
                      <wp:positionH relativeFrom="character">
                        <wp:align>left</wp:align>
                      </wp:positionH>
                      <wp:positionV relativeFrom="line">
                        <wp:posOffset>635</wp:posOffset>
                      </wp:positionV>
                      <wp:extent cx="69215" cy="220980"/>
                      <wp:effectExtent l="0" t="0" r="0" b="0"/>
                      <wp:wrapNone/>
                      <wp:docPr id="1413" name="Frame141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5">
                      <wp:simplePos x="0" y="0"/>
                      <wp:positionH relativeFrom="character">
                        <wp:align>left</wp:align>
                      </wp:positionH>
                      <wp:positionV relativeFrom="line">
                        <wp:posOffset>635</wp:posOffset>
                      </wp:positionV>
                      <wp:extent cx="1200785" cy="192405"/>
                      <wp:effectExtent l="0" t="0" r="0" b="0"/>
                      <wp:wrapNone/>
                      <wp:docPr id="1414" name="Frame1414"/>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Canada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Canada</w:t>
                            </w:r>
                          </w:p>
                        </w:txbxContent>
                      </v:textbox>
                      <w10:wrap type="none"/>
                    </v:rect>
                  </w:pict>
                </mc:Fallback>
              </mc:AlternateContent>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6">
                      <wp:simplePos x="0" y="0"/>
                      <wp:positionH relativeFrom="character">
                        <wp:align>left</wp:align>
                      </wp:positionH>
                      <wp:positionV relativeFrom="line">
                        <wp:posOffset>635</wp:posOffset>
                      </wp:positionV>
                      <wp:extent cx="2458085" cy="192405"/>
                      <wp:effectExtent l="0" t="0" r="0" b="0"/>
                      <wp:wrapNone/>
                      <wp:docPr id="1415" name="Frame1415"/>
                      <a:graphic xmlns:a="http://schemas.openxmlformats.org/drawingml/2006/main">
                        <a:graphicData uri="http://schemas.microsoft.com/office/word/2010/wordprocessingShape">
                          <wps:wsp>
                            <wps:cNvSpPr txBox="1"/>
                            <wps:spPr>
                              <a:xfrm>
                                <a:off x="0" y="0"/>
                                <a:ext cx="2458085"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BV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BV</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7">
                      <wp:simplePos x="0" y="0"/>
                      <wp:positionH relativeFrom="character">
                        <wp:align>left</wp:align>
                      </wp:positionH>
                      <wp:positionV relativeFrom="line">
                        <wp:posOffset>635</wp:posOffset>
                      </wp:positionV>
                      <wp:extent cx="69215" cy="220980"/>
                      <wp:effectExtent l="0" t="0" r="0" b="0"/>
                      <wp:wrapNone/>
                      <wp:docPr id="1416" name="Frame141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8">
                      <wp:simplePos x="0" y="0"/>
                      <wp:positionH relativeFrom="character">
                        <wp:align>left</wp:align>
                      </wp:positionH>
                      <wp:positionV relativeFrom="line">
                        <wp:posOffset>635</wp:posOffset>
                      </wp:positionV>
                      <wp:extent cx="1200785" cy="192405"/>
                      <wp:effectExtent l="0" t="0" r="0" b="0"/>
                      <wp:wrapNone/>
                      <wp:docPr id="1417" name="Frame1417"/>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v:textbox>
                      <w10:wrap type="none"/>
                    </v:rect>
                  </w:pict>
                </mc:Fallback>
              </mc:AlternateContent>
            </w:r>
          </w:p>
        </w:tc>
      </w:tr>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9">
                      <wp:simplePos x="0" y="0"/>
                      <wp:positionH relativeFrom="character">
                        <wp:align>left</wp:align>
                      </wp:positionH>
                      <wp:positionV relativeFrom="line">
                        <wp:posOffset>635</wp:posOffset>
                      </wp:positionV>
                      <wp:extent cx="2458085" cy="192405"/>
                      <wp:effectExtent l="0" t="0" r="0" b="0"/>
                      <wp:wrapNone/>
                      <wp:docPr id="1418" name="Frame1418"/>
                      <a:graphic xmlns:a="http://schemas.openxmlformats.org/drawingml/2006/main">
                        <a:graphicData uri="http://schemas.microsoft.com/office/word/2010/wordprocessingShape">
                          <wps:wsp>
                            <wps:cNvSpPr txBox="1"/>
                            <wps:spPr>
                              <a:xfrm>
                                <a:off x="0" y="0"/>
                                <a:ext cx="2458085"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Digital Health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Digital Health</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0">
                      <wp:simplePos x="0" y="0"/>
                      <wp:positionH relativeFrom="character">
                        <wp:align>left</wp:align>
                      </wp:positionH>
                      <wp:positionV relativeFrom="line">
                        <wp:posOffset>635</wp:posOffset>
                      </wp:positionV>
                      <wp:extent cx="69215" cy="220980"/>
                      <wp:effectExtent l="0" t="0" r="0" b="0"/>
                      <wp:wrapNone/>
                      <wp:docPr id="1419" name="Frame141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21">
                      <wp:simplePos x="0" y="0"/>
                      <wp:positionH relativeFrom="character">
                        <wp:align>left</wp:align>
                      </wp:positionH>
                      <wp:positionV relativeFrom="line">
                        <wp:posOffset>635</wp:posOffset>
                      </wp:positionV>
                      <wp:extent cx="1200785" cy="192405"/>
                      <wp:effectExtent l="0" t="0" r="0" b="0"/>
                      <wp:wrapNone/>
                      <wp:docPr id="1420" name="Frame1420"/>
                      <a:graphic xmlns:a="http://schemas.openxmlformats.org/drawingml/2006/main">
                        <a:graphicData uri="http://schemas.microsoft.com/office/word/2010/wordprocessingShape">
                          <wps:wsp>
                            <wps:cNvSpPr txBox="1"/>
                            <wps:spPr>
                              <a:xfrm>
                                <a:off x="0" y="0"/>
                                <a:ext cx="1200785"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Development LLC Delaware</w:t>
      </w:r>
    </w:p>
    <w:p>
      <w:pPr>
        <w:pStyle w:val="TextBody"/>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Vivus AG</w:t>
      </w:r>
      <w:r>
        <w:rPr>
          <w:rFonts w:ascii="Times New Roman;Times;serif" w:hAnsi="Times New Roman;Times;serif"/>
          <w:sz w:val="20"/>
        </w:rPr>
        <w:t xml:space="preserve"> Delaware</w:t>
      </w:r>
    </w:p>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92" w:before="0" w:after="0"/>
        <w:ind w:left="0" w:right="0" w:hanging="0"/>
        <w:jc w:val="right"/>
        <w:rPr>
          <w:rFonts w:ascii="Times New Roman;Times;serif" w:hAnsi="Times New Roman;Times;serif"/>
          <w:b/>
          <w:sz w:val="20"/>
        </w:rPr>
      </w:pPr>
      <w:bookmarkStart w:id="2595" w:name="Section1"/>
      <w:bookmarkStart w:id="2596" w:name="tmb-20231231xex22d1.htm"/>
      <w:bookmarkStart w:id="2597" w:name="kstmb20231231xex22d1"/>
      <w:bookmarkEnd w:id="2595"/>
      <w:bookmarkEnd w:id="2596"/>
      <w:bookmarkEnd w:id="2597"/>
      <w:r>
        <w:rPr>
          <w:rFonts w:ascii="Times New Roman;Times;serif" w:hAnsi="Times New Roman;Times;serif"/>
          <w:b/>
          <w:sz w:val="20"/>
        </w:rPr>
        <w:t>EXHIBIT 22.1</w:t>
      </w:r>
      <w:r>
        <w:br w:type="page"/>
      </w:r>
    </w:p>
    <w:p>
      <w:pPr>
        <w:pStyle w:val="TextBody"/>
        <w:bidi w:val="0"/>
        <w:spacing w:lineRule="auto" w:line="307" w:before="0" w:after="160"/>
        <w:ind w:left="0" w:right="0" w:hanging="0"/>
        <w:jc w:val="right"/>
        <w:rPr/>
      </w:pPr>
      <w:r>
        <w:rPr/>
        <w:t>​</w:t>
      </w:r>
    </w:p>
    <w:p>
      <w:pPr>
        <w:pStyle w:val="TextBody"/>
        <w:bidi w:val="0"/>
        <w:spacing w:lineRule="auto" w:line="307" w:before="0" w:after="160"/>
        <w:ind w:left="0" w:right="0" w:hanging="0"/>
        <w:jc w:val="right"/>
        <w:rPr/>
      </w:pPr>
      <w:r>
        <w:rPr/>
        <w:t>​</w:t>
      </w:r>
    </w:p>
    <w:p>
      <w:pPr>
        <w:pStyle w:val="TextBody"/>
        <w:bidi w:val="0"/>
        <w:spacing w:lineRule="auto" w:line="292" w:before="0" w:after="0"/>
        <w:ind w:left="0" w:right="0" w:hanging="0"/>
        <w:jc w:val="center"/>
        <w:rPr>
          <w:rFonts w:ascii="Times New Roman;Times;serif" w:hAnsi="Times New Roman;Times;serif"/>
          <w:b/>
          <w:sz w:val="20"/>
        </w:rPr>
      </w:pPr>
      <w:r>
        <w:rPr>
          <w:rFonts w:ascii="Times New Roman;Times;serif" w:hAnsi="Times New Roman;Times;serif"/>
          <w:b/>
          <w:sz w:val="20"/>
        </w:rPr>
        <w:t>SUBSIDIARY GUARANTOR</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 xml:space="preserve">Each of the senior unsecured notes listed below have been issued by Icahn Enterprises L.P. (“Icahn Enterprises”) and Icahn Enterprises Finance Corp. (“Icahn Enterprises Finance”), as co-issuers, and are guaranteed by Icahn Enterprises Holdings L.P. (“Icahn Enterprises Holdings”). </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 xml:space="preserve">Icahn Enterprises has a 99% limited partner interest in Icahn Enterprises Holdings, which owns substantially all the assets and liabilities of, and conducts substantially all the operations of, Icahn Enterprises. Icahn Enterprises Finance is a wholly owned finance subsidiary of Icahn Enterprises. </w:t>
      </w:r>
    </w:p>
    <w:tbl>
      <w:tblPr>
        <w:tblW w:w="3496" w:type="dxa"/>
        <w:jc w:val="left"/>
        <w:tblInd w:w="0" w:type="dxa"/>
        <w:tblLayout w:type="fixed"/>
        <w:tblCellMar>
          <w:top w:w="0" w:type="dxa"/>
          <w:left w:w="0" w:type="dxa"/>
          <w:bottom w:w="0" w:type="dxa"/>
          <w:right w:w="0" w:type="dxa"/>
        </w:tblCellMar>
      </w:tblPr>
      <w:tblGrid>
        <w:gridCol w:w="3496"/>
      </w:tblGrid>
      <w:tr>
        <w:trPr/>
        <w:tc>
          <w:tcPr>
            <w:tcW w:w="3496" w:type="dxa"/>
            <w:tcBorders/>
            <w:vAlign w:val="center"/>
          </w:tcPr>
          <w:p>
            <w:pPr>
              <w:pStyle w:val="TableContents"/>
              <w:bidi w:val="0"/>
              <w:spacing w:lineRule="auto" w:line="285" w:before="0" w:after="0"/>
              <w:ind w:left="0" w:right="0" w:hanging="0"/>
              <w:jc w:val="left"/>
              <w:rPr/>
            </w:pPr>
            <w:r>
              <w:rPr/>
              <w:t>​</w:t>
            </w:r>
          </w:p>
        </w:tc>
      </w:tr>
      <w:tr>
        <w:trPr/>
        <w:tc>
          <w:tcPr>
            <w:tcW w:w="34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6.375% senior unsecured notes due 2025</w:t>
            </w:r>
          </w:p>
        </w:tc>
      </w:tr>
      <w:tr>
        <w:trPr/>
        <w:tc>
          <w:tcPr>
            <w:tcW w:w="34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6.250% senior unsecured notes due 2026</w:t>
            </w:r>
          </w:p>
        </w:tc>
      </w:tr>
      <w:tr>
        <w:trPr/>
        <w:tc>
          <w:tcPr>
            <w:tcW w:w="34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5.250% senior unsecured notes due 2027</w:t>
            </w:r>
          </w:p>
        </w:tc>
      </w:tr>
      <w:tr>
        <w:trPr/>
        <w:tc>
          <w:tcPr>
            <w:tcW w:w="34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4.375% senior unsecured notes due 2029</w:t>
            </w:r>
          </w:p>
        </w:tc>
      </w:tr>
      <w:tr>
        <w:trPr/>
        <w:tc>
          <w:tcPr>
            <w:tcW w:w="34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9.750% senior unsecured notes due 2029</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95" w:before="0" w:after="0"/>
        <w:ind w:left="0" w:right="0" w:hanging="0"/>
        <w:jc w:val="left"/>
        <w:rPr/>
      </w:pPr>
      <w:bookmarkStart w:id="2598" w:name="tmb-20231231xex23d1.htm"/>
      <w:bookmarkStart w:id="2599" w:name="kstmb20231231xex23d1"/>
      <w:bookmarkEnd w:id="2598"/>
      <w:bookmarkEnd w:id="2599"/>
      <w:r>
        <w:rPr/>
        <w:t>​</w:t>
      </w:r>
      <w:r>
        <w:br w:type="page"/>
      </w:r>
    </w:p>
    <w:p>
      <w:pPr>
        <w:pStyle w:val="TextBody"/>
        <w:bidi w:val="0"/>
        <w:spacing w:lineRule="auto" w:line="295" w:before="0" w:after="0"/>
        <w:ind w:left="0" w:right="0" w:hanging="0"/>
        <w:jc w:val="right"/>
        <w:rPr>
          <w:rFonts w:ascii="Times New Roman;Times;serif" w:hAnsi="Times New Roman;Times;serif"/>
          <w:b/>
          <w:sz w:val="20"/>
        </w:rPr>
      </w:pPr>
      <w:r>
        <w:rPr>
          <w:rFonts w:ascii="Times New Roman;Times;serif" w:hAnsi="Times New Roman;Times;serif"/>
          <w:b/>
          <w:sz w:val="20"/>
        </w:rPr>
        <w:t>EXHIBIT 23.1</w:t>
      </w:r>
      <w:bookmarkStart w:id="2600" w:name="Section11"/>
      <w:bookmarkEnd w:id="2600"/>
    </w:p>
    <w:p>
      <w:pPr>
        <w:pStyle w:val="TextBody"/>
        <w:bidi w:val="0"/>
        <w:spacing w:lineRule="auto" w:line="295" w:before="0" w:after="0"/>
        <w:ind w:left="0" w:right="0" w:hanging="0"/>
        <w:jc w:val="right"/>
        <w:rPr/>
      </w:pPr>
      <w:r>
        <w:rPr/>
        <w:t>​</w:t>
      </w:r>
    </w:p>
    <w:p>
      <w:pPr>
        <w:pStyle w:val="TextBody"/>
        <w:bidi w:val="0"/>
        <w:spacing w:lineRule="auto" w:line="295" w:before="0" w:after="0"/>
        <w:ind w:left="0" w:right="0" w:hanging="0"/>
        <w:jc w:val="right"/>
        <w:rPr/>
      </w:pPr>
      <w:r>
        <w:rPr/>
        <w:t>​</w:t>
      </w:r>
    </w:p>
    <w:p>
      <w:pPr>
        <w:pStyle w:val="TextBody"/>
        <w:bidi w:val="0"/>
        <w:spacing w:lineRule="auto" w:line="295"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95" w:before="0" w:after="0"/>
        <w:ind w:left="0" w:right="0" w:hanging="0"/>
        <w:jc w:val="right"/>
        <w:rPr/>
      </w:pPr>
      <w:r>
        <w:rPr/>
        <w:t>​</w:t>
      </w:r>
    </w:p>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issued our reports dated February 28, 2024, with respect to the consolidated financial statements and internal control over financial reporting of Icahn Enterprises L.P. and subsidiaries included in the Annual Report of Icahn Enterprises L.P. on Form 10-K for the year ended December 31, 2023. We consent to the incorporation by reference of said reports in the Registration Statements of Icahn Enterprises L.P. and subsidiaries on Form S-3 (File No. 333-266174) and on Form S-8 (File No. 333-216934). </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rFonts w:ascii="Times New Roman;Times;serif" w:hAnsi="Times New Roman;Times;serif"/>
          <w:sz w:val="20"/>
        </w:rPr>
      </w:pPr>
      <w:r>
        <w:rPr>
          <w:rFonts w:ascii="Times New Roman;Times;serif" w:hAnsi="Times New Roman;Times;serif"/>
          <w:sz w:val="20"/>
        </w:rPr>
        <w:t>/s/GRANT THORNTON LLP</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rFonts w:ascii="Times New Roman;Times;serif" w:hAnsi="Times New Roman;Times;serif"/>
          <w:sz w:val="20"/>
        </w:rPr>
      </w:pPr>
      <w:r>
        <w:rPr>
          <w:rFonts w:ascii="Times New Roman;Times;serif" w:hAnsi="Times New Roman;Times;serif"/>
          <w:sz w:val="20"/>
        </w:rPr>
        <w:t>Fort Lauderdale, Florida</w:t>
      </w:r>
    </w:p>
    <w:p>
      <w:pPr>
        <w:pStyle w:val="TextBody"/>
        <w:bidi w:val="0"/>
        <w:spacing w:lineRule="auto" w:line="295" w:before="0" w:after="0"/>
        <w:ind w:left="0" w:right="0" w:hanging="0"/>
        <w:jc w:val="left"/>
        <w:rPr>
          <w:rFonts w:ascii="Times New Roman;Times;serif" w:hAnsi="Times New Roman;Times;serif"/>
          <w:sz w:val="20"/>
        </w:rPr>
      </w:pPr>
      <w:r>
        <w:rPr>
          <w:rFonts w:ascii="Times New Roman;Times;serif" w:hAnsi="Times New Roman;Times;serif"/>
          <w:sz w:val="20"/>
        </w:rPr>
        <w:t xml:space="preserve">February 28, 2024 </w:t>
      </w:r>
    </w:p>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601" w:name="Section12"/>
      <w:bookmarkStart w:id="2602" w:name="tmb-20231231xex31d1.htm"/>
      <w:bookmarkStart w:id="2603" w:name="kstmb20231231xex31d1"/>
      <w:bookmarkEnd w:id="2601"/>
      <w:bookmarkEnd w:id="2602"/>
      <w:bookmarkEnd w:id="2603"/>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Andrew Teno,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Icahn Enterprises L.P. for the year ended December 31, 2023;</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2">
                      <wp:simplePos x="0" y="0"/>
                      <wp:positionH relativeFrom="character">
                        <wp:align>left</wp:align>
                      </wp:positionH>
                      <wp:positionV relativeFrom="line">
                        <wp:posOffset>635</wp:posOffset>
                      </wp:positionV>
                      <wp:extent cx="107315" cy="175260"/>
                      <wp:effectExtent l="0" t="0" r="0" b="0"/>
                      <wp:wrapNone/>
                      <wp:docPr id="1421" name="Frame1421"/>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3">
                      <wp:simplePos x="0" y="0"/>
                      <wp:positionH relativeFrom="character">
                        <wp:align>left</wp:align>
                      </wp:positionH>
                      <wp:positionV relativeFrom="line">
                        <wp:posOffset>635</wp:posOffset>
                      </wp:positionV>
                      <wp:extent cx="107315" cy="1646555"/>
                      <wp:effectExtent l="0" t="0" r="0" b="0"/>
                      <wp:wrapNone/>
                      <wp:docPr id="1422" name="Frame1422"/>
                      <a:graphic xmlns:a="http://schemas.openxmlformats.org/drawingml/2006/main">
                        <a:graphicData uri="http://schemas.microsoft.com/office/word/2010/wordprocessingShape">
                          <wps:wsp>
                            <wps:cNvSpPr txBox="1"/>
                            <wps:spPr>
                              <a:xfrm>
                                <a:off x="0" y="0"/>
                                <a:ext cx="107315" cy="164655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4">
                      <wp:simplePos x="0" y="0"/>
                      <wp:positionH relativeFrom="character">
                        <wp:align>left</wp:align>
                      </wp:positionH>
                      <wp:positionV relativeFrom="line">
                        <wp:posOffset>635</wp:posOffset>
                      </wp:positionV>
                      <wp:extent cx="107315" cy="1330325"/>
                      <wp:effectExtent l="0" t="0" r="0" b="0"/>
                      <wp:wrapNone/>
                      <wp:docPr id="1423" name="Frame1423"/>
                      <a:graphic xmlns:a="http://schemas.openxmlformats.org/drawingml/2006/main">
                        <a:graphicData uri="http://schemas.microsoft.com/office/word/2010/wordprocessingShape">
                          <wps:wsp>
                            <wps:cNvSpPr txBox="1"/>
                            <wps:spPr>
                              <a:xfrm>
                                <a:off x="0" y="0"/>
                                <a:ext cx="107315" cy="133032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04.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25">
                      <wp:simplePos x="0" y="0"/>
                      <wp:positionH relativeFrom="character">
                        <wp:align>left</wp:align>
                      </wp:positionH>
                      <wp:positionV relativeFrom="line">
                        <wp:posOffset>635</wp:posOffset>
                      </wp:positionV>
                      <wp:extent cx="107315" cy="1685925"/>
                      <wp:effectExtent l="0" t="0" r="0" b="0"/>
                      <wp:wrapNone/>
                      <wp:docPr id="1424" name="Frame1424"/>
                      <a:graphic xmlns:a="http://schemas.openxmlformats.org/drawingml/2006/main">
                        <a:graphicData uri="http://schemas.microsoft.com/office/word/2010/wordprocessingShape">
                          <wps:wsp>
                            <wps:cNvSpPr txBox="1"/>
                            <wps:spPr>
                              <a:xfrm>
                                <a:off x="0" y="0"/>
                                <a:ext cx="107315" cy="168592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28, 2024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604" w:name="Section13"/>
      <w:bookmarkStart w:id="2605" w:name="tmb-20231231xex31d2.htm"/>
      <w:bookmarkStart w:id="2606" w:name="kstmb20231231xex31d2"/>
      <w:bookmarkEnd w:id="2604"/>
      <w:bookmarkEnd w:id="2605"/>
      <w:bookmarkEnd w:id="2606"/>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Ted Papapostolou,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Icahn Enterprises L.P. for the year ended December 31, 2023;</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8011" w:type="dxa"/>
        <w:jc w:val="right"/>
        <w:tblInd w:w="0" w:type="dxa"/>
        <w:tblLayout w:type="fixed"/>
        <w:tblCellMar>
          <w:top w:w="0" w:type="dxa"/>
          <w:left w:w="0" w:type="dxa"/>
          <w:bottom w:w="0" w:type="dxa"/>
          <w:right w:w="0" w:type="dxa"/>
        </w:tblCellMar>
      </w:tblPr>
      <w:tblGrid>
        <w:gridCol w:w="8011"/>
      </w:tblGrid>
      <w:tr>
        <w:trPr/>
        <w:tc>
          <w:tcPr>
            <w:tcW w:w="8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6">
                      <wp:simplePos x="0" y="0"/>
                      <wp:positionH relativeFrom="character">
                        <wp:align>left</wp:align>
                      </wp:positionH>
                      <wp:positionV relativeFrom="line">
                        <wp:posOffset>635</wp:posOffset>
                      </wp:positionV>
                      <wp:extent cx="5086985" cy="175260"/>
                      <wp:effectExtent l="0" t="0" r="0" b="0"/>
                      <wp:wrapNone/>
                      <wp:docPr id="1425" name="Frame1425"/>
                      <a:graphic xmlns:a="http://schemas.openxmlformats.org/drawingml/2006/main">
                        <a:graphicData uri="http://schemas.microsoft.com/office/word/2010/wordprocessingShape">
                          <wps:wsp>
                            <wps:cNvSpPr txBox="1"/>
                            <wps:spPr>
                              <a:xfrm>
                                <a:off x="0" y="0"/>
                                <a:ext cx="508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11" w:type="dxa"/>
            <w:tcBorders/>
            <w:vAlign w:val="center"/>
          </w:tcPr>
          <w:p>
            <w:pPr>
              <w:pStyle w:val="TableContents"/>
              <w:bidi w:val="0"/>
              <w:spacing w:before="0" w:after="0"/>
              <w:ind w:left="0" w:right="0" w:hanging="0"/>
              <w:jc w:val="left"/>
              <w:rPr/>
            </w:pPr>
            <w:r>
              <w:rPr/>
              <w:t>​</w:t>
            </w:r>
          </w:p>
        </w:tc>
      </w:tr>
      <w:tr>
        <w:trPr/>
        <w:tc>
          <w:tcPr>
            <w:tcW w:w="80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/s/Ted Papapostolou</w:t>
            </w:r>
          </w:p>
        </w:tc>
      </w:tr>
      <w:tr>
        <w:trPr/>
        <w:tc>
          <w:tcPr>
            <w:tcW w:w="8011" w:type="dxa"/>
            <w:tcBorders>
              <w:top w:val="single" w:sz="18" w:space="0" w:color="000000"/>
            </w:tcBorders>
            <w:tcMar>
              <w:top w:w="28" w:type="dxa"/>
            </w:tcMar>
            <w:vAlign w:val="center"/>
          </w:tcPr>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c>
      </w:tr>
      <w:tr>
        <w:trPr/>
        <w:tc>
          <w:tcPr>
            <w:tcW w:w="80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p>
            <w:pPr>
              <w:pStyle w:val="TableContents"/>
              <w:bidi w:val="0"/>
              <w:spacing w:lineRule="auto" w:line="237" w:before="75" w:after="3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28, 2024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rFonts w:ascii="Times New Roman;Times;serif" w:hAnsi="Times New Roman;Times;serif"/>
          <w:b/>
          <w:sz w:val="20"/>
        </w:rPr>
      </w:pPr>
      <w:bookmarkStart w:id="2607" w:name="Section14"/>
      <w:bookmarkStart w:id="2608" w:name="tmb-20231231xex32d1.htm"/>
      <w:bookmarkStart w:id="2609" w:name="kstmb20231231xex32d1"/>
      <w:bookmarkEnd w:id="2607"/>
      <w:bookmarkEnd w:id="2608"/>
      <w:bookmarkEnd w:id="2609"/>
      <w:r>
        <w:rPr>
          <w:rFonts w:ascii="Times New Roman;Times;serif" w:hAnsi="Times New Roman;Times;serif"/>
          <w:b/>
          <w:sz w:val="20"/>
        </w:rPr>
        <w:t>EXHIBIT 32.1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 Oxley Act of 2002 (18 U.S.C. 1350)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13a-14(b) of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annual report on Form 10-K of Icahn Enterprises L.P., for the year ended December 31, 2023, the undersigned certify that, to the best of his knowledge, based upon a review of the Icahn Enterprises L.P. annual report on Form 10-K for the year ended December 31, 2023:</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7">
                      <wp:simplePos x="0" y="0"/>
                      <wp:positionH relativeFrom="character">
                        <wp:align>left</wp:align>
                      </wp:positionH>
                      <wp:positionV relativeFrom="line">
                        <wp:posOffset>635</wp:posOffset>
                      </wp:positionV>
                      <wp:extent cx="107315" cy="175260"/>
                      <wp:effectExtent l="0" t="0" r="0" b="0"/>
                      <wp:wrapNone/>
                      <wp:docPr id="1426" name="Frame1426"/>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8">
                      <wp:simplePos x="0" y="0"/>
                      <wp:positionH relativeFrom="character">
                        <wp:align>left</wp:align>
                      </wp:positionH>
                      <wp:positionV relativeFrom="line">
                        <wp:posOffset>635</wp:posOffset>
                      </wp:positionV>
                      <wp:extent cx="107315" cy="1646555"/>
                      <wp:effectExtent l="0" t="0" r="0" b="0"/>
                      <wp:wrapNone/>
                      <wp:docPr id="1427" name="Frame1427"/>
                      <a:graphic xmlns:a="http://schemas.openxmlformats.org/drawingml/2006/main">
                        <a:graphicData uri="http://schemas.microsoft.com/office/word/2010/wordprocessingShape">
                          <wps:wsp>
                            <wps:cNvSpPr txBox="1"/>
                            <wps:spPr>
                              <a:xfrm>
                                <a:off x="0" y="0"/>
                                <a:ext cx="107315" cy="164655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9">
                      <wp:simplePos x="0" y="0"/>
                      <wp:positionH relativeFrom="character">
                        <wp:align>left</wp:align>
                      </wp:positionH>
                      <wp:positionV relativeFrom="line">
                        <wp:posOffset>635</wp:posOffset>
                      </wp:positionV>
                      <wp:extent cx="107315" cy="1330325"/>
                      <wp:effectExtent l="0" t="0" r="0" b="0"/>
                      <wp:wrapNone/>
                      <wp:docPr id="1428" name="Frame1428"/>
                      <a:graphic xmlns:a="http://schemas.openxmlformats.org/drawingml/2006/main">
                        <a:graphicData uri="http://schemas.microsoft.com/office/word/2010/wordprocessingShape">
                          <wps:wsp>
                            <wps:cNvSpPr txBox="1"/>
                            <wps:spPr>
                              <a:xfrm>
                                <a:off x="0" y="0"/>
                                <a:ext cx="107315" cy="133032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04.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30">
                      <wp:simplePos x="0" y="0"/>
                      <wp:positionH relativeFrom="character">
                        <wp:align>left</wp:align>
                      </wp:positionH>
                      <wp:positionV relativeFrom="line">
                        <wp:posOffset>635</wp:posOffset>
                      </wp:positionV>
                      <wp:extent cx="107315" cy="6783705"/>
                      <wp:effectExtent l="0" t="0" r="0" b="0"/>
                      <wp:wrapNone/>
                      <wp:docPr id="1429" name="Frame1429"/>
                      <a:graphic xmlns:a="http://schemas.openxmlformats.org/drawingml/2006/main">
                        <a:graphicData uri="http://schemas.microsoft.com/office/word/2010/wordprocessingShape">
                          <wps:wsp>
                            <wps:cNvSpPr txBox="1"/>
                            <wps:spPr>
                              <a:xfrm>
                                <a:off x="0" y="0"/>
                                <a:ext cx="107315" cy="67837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53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2024</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1">
                      <wp:simplePos x="0" y="0"/>
                      <wp:positionH relativeFrom="character">
                        <wp:align>left</wp:align>
                      </wp:positionH>
                      <wp:positionV relativeFrom="line">
                        <wp:posOffset>635</wp:posOffset>
                      </wp:positionV>
                      <wp:extent cx="107315" cy="175260"/>
                      <wp:effectExtent l="0" t="0" r="0" b="0"/>
                      <wp:wrapNone/>
                      <wp:docPr id="1430" name="Frame1430"/>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2">
                      <wp:simplePos x="0" y="0"/>
                      <wp:positionH relativeFrom="character">
                        <wp:align>left</wp:align>
                      </wp:positionH>
                      <wp:positionV relativeFrom="line">
                        <wp:posOffset>635</wp:posOffset>
                      </wp:positionV>
                      <wp:extent cx="107315" cy="2228215"/>
                      <wp:effectExtent l="0" t="0" r="0" b="0"/>
                      <wp:wrapNone/>
                      <wp:docPr id="1431" name="Frame1431"/>
                      <a:graphic xmlns:a="http://schemas.openxmlformats.org/drawingml/2006/main">
                        <a:graphicData uri="http://schemas.microsoft.com/office/word/2010/wordprocessingShape">
                          <wps:wsp>
                            <wps:cNvSpPr txBox="1"/>
                            <wps:spPr>
                              <a:xfrm>
                                <a:off x="0" y="0"/>
                                <a:ext cx="107315" cy="222821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75.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/s/Ted Papapostolou</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3">
                      <wp:simplePos x="0" y="0"/>
                      <wp:positionH relativeFrom="character">
                        <wp:align>left</wp:align>
                      </wp:positionH>
                      <wp:positionV relativeFrom="line">
                        <wp:posOffset>635</wp:posOffset>
                      </wp:positionV>
                      <wp:extent cx="107315" cy="1911985"/>
                      <wp:effectExtent l="0" t="0" r="0" b="0"/>
                      <wp:wrapNone/>
                      <wp:docPr id="1432" name="Frame1432"/>
                      <a:graphic xmlns:a="http://schemas.openxmlformats.org/drawingml/2006/main">
                        <a:graphicData uri="http://schemas.microsoft.com/office/word/2010/wordprocessingShape">
                          <wps:wsp>
                            <wps:cNvSpPr txBox="1"/>
                            <wps:spPr>
                              <a:xfrm>
                                <a:off x="0" y="0"/>
                                <a:ext cx="107315" cy="191198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50.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34">
                      <wp:simplePos x="0" y="0"/>
                      <wp:positionH relativeFrom="character">
                        <wp:align>left</wp:align>
                      </wp:positionH>
                      <wp:positionV relativeFrom="line">
                        <wp:posOffset>635</wp:posOffset>
                      </wp:positionV>
                      <wp:extent cx="107315" cy="5232400"/>
                      <wp:effectExtent l="0" t="0" r="0" b="0"/>
                      <wp:wrapNone/>
                      <wp:docPr id="1433" name="Frame1433"/>
                      <a:graphic xmlns:a="http://schemas.openxmlformats.org/drawingml/2006/main">
                        <a:graphicData uri="http://schemas.microsoft.com/office/word/2010/wordprocessingShape">
                          <wps:wsp>
                            <wps:cNvSpPr txBox="1"/>
                            <wps:spPr>
                              <a:xfrm>
                                <a:off x="0" y="0"/>
                                <a:ext cx="107315" cy="5232400"/>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610" w:name="tmb-20231231xex97d1.htm"/>
      <w:bookmarkStart w:id="2611" w:name="kstmb20231231xex97d1"/>
      <w:bookmarkEnd w:id="2610"/>
      <w:bookmarkEnd w:id="2611"/>
      <w:r>
        <w:rPr/>
        <w:t>​</w:t>
      </w:r>
      <w:r>
        <w:br w:type="page"/>
      </w:r>
    </w:p>
    <w:p>
      <w:pPr>
        <w:pStyle w:val="TextBody"/>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97.1</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ICAHN ENTERPRISES L.P.</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DODD-FRANK CLAWBACK POLICY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(Effective as of December 1, 2023)</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Introduction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The Board of Directors (the “</w:t>
      </w:r>
      <w:r>
        <w:rPr>
          <w:rFonts w:ascii="Times New Roman;Times;serif" w:hAnsi="Times New Roman;Times;serif"/>
          <w:sz w:val="24"/>
          <w:u w:val="single"/>
        </w:rPr>
        <w:t>Board</w:t>
      </w:r>
      <w:r>
        <w:rPr>
          <w:rFonts w:ascii="Times New Roman;Times;serif" w:hAnsi="Times New Roman;Times;serif"/>
          <w:sz w:val="20"/>
        </w:rPr>
        <w:t>”</w:t>
      </w:r>
      <w:r>
        <w:rPr>
          <w:rFonts w:ascii="Times New Roman;Times;serif" w:hAnsi="Times New Roman;Times;serif"/>
          <w:sz w:val="24"/>
        </w:rPr>
        <w:t>) of Icahn Enterprises G.P. Inc. (“</w:t>
      </w:r>
      <w:r>
        <w:rPr>
          <w:rFonts w:ascii="Times New Roman;Times;serif" w:hAnsi="Times New Roman;Times;serif"/>
          <w:sz w:val="24"/>
          <w:u w:val="single"/>
        </w:rPr>
        <w:t>IEP G.P.</w:t>
      </w:r>
      <w:r>
        <w:rPr>
          <w:rFonts w:ascii="Times New Roman;Times;serif" w:hAnsi="Times New Roman;Times;serif"/>
          <w:sz w:val="20"/>
        </w:rPr>
        <w:t>”</w:t>
      </w:r>
      <w:r>
        <w:rPr>
          <w:rFonts w:ascii="Times New Roman;Times;serif" w:hAnsi="Times New Roman;Times;serif"/>
          <w:sz w:val="24"/>
        </w:rPr>
        <w:t>), the general partner of Icahn Enterprises L.P.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believes it to be in the best interests of the Company and its unitholders to create and maintain a culture that emphasizes integrity and accountability and complies with the requirements of Section 954 of the Dodd-Frank Wall Street Reform and Consumer Protection Act of 2010 (“</w:t>
      </w:r>
      <w:r>
        <w:rPr>
          <w:rFonts w:ascii="Times New Roman;Times;serif" w:hAnsi="Times New Roman;Times;serif"/>
          <w:sz w:val="24"/>
          <w:u w:val="single"/>
        </w:rPr>
        <w:t>Dodd-Frank</w:t>
      </w:r>
      <w:r>
        <w:rPr>
          <w:rFonts w:ascii="Times New Roman;Times;serif" w:hAnsi="Times New Roman;Times;serif"/>
          <w:sz w:val="20"/>
        </w:rPr>
        <w:t>”</w:t>
      </w:r>
      <w:r>
        <w:rPr>
          <w:rFonts w:ascii="Times New Roman;Times;serif" w:hAnsi="Times New Roman;Times;serif"/>
          <w:sz w:val="24"/>
        </w:rPr>
        <w:t>) and Nasdaq Listing Rule 5608 (the “</w:t>
      </w:r>
      <w:r>
        <w:rPr>
          <w:rFonts w:ascii="Times New Roman;Times;serif" w:hAnsi="Times New Roman;Times;serif"/>
          <w:sz w:val="24"/>
          <w:u w:val="single"/>
        </w:rPr>
        <w:t>Listing Standards</w:t>
      </w:r>
      <w:r>
        <w:rPr>
          <w:rFonts w:ascii="Times New Roman;Times;serif" w:hAnsi="Times New Roman;Times;serif"/>
          <w:sz w:val="20"/>
        </w:rPr>
        <w:t>”</w:t>
      </w:r>
      <w:r>
        <w:rPr>
          <w:rFonts w:ascii="Times New Roman;Times;serif" w:hAnsi="Times New Roman;Times;serif"/>
          <w:sz w:val="24"/>
        </w:rPr>
        <w:t>). The Board hereby adopts this Dodd-Frank Clawback Policy (this “</w:t>
      </w:r>
      <w:r>
        <w:rPr>
          <w:rFonts w:ascii="Times New Roman;Times;serif" w:hAnsi="Times New Roman;Times;serif"/>
          <w:sz w:val="24"/>
          <w:u w:val="single"/>
        </w:rPr>
        <w:t>Policy</w:t>
      </w:r>
      <w:r>
        <w:rPr>
          <w:rFonts w:ascii="Times New Roman;Times;serif" w:hAnsi="Times New Roman;Times;serif"/>
          <w:sz w:val="20"/>
        </w:rPr>
        <w:t>”</w:t>
      </w:r>
      <w:r>
        <w:rPr>
          <w:rFonts w:ascii="Times New Roman;Times;serif" w:hAnsi="Times New Roman;Times;serif"/>
          <w:sz w:val="24"/>
        </w:rPr>
        <w:t>), effective December 1, 2023, which provides for the recoupment of certain compensation in the event of a Restatement (as defined below) in accordance with Dodd-Frank and the Listing Standards.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Definitions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For purposes of this Policy, the following terms shall have the following meanings:</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Applicable Period</w:t>
      </w:r>
      <w:r>
        <w:rPr>
          <w:rFonts w:ascii="Times New Roman;Times;serif" w:hAnsi="Times New Roman;Times;serif"/>
          <w:sz w:val="20"/>
        </w:rPr>
        <w:t xml:space="preserve">” </w:t>
      </w:r>
      <w:r>
        <w:rPr>
          <w:rFonts w:ascii="Times New Roman;Times;serif" w:hAnsi="Times New Roman;Times;serif"/>
          <w:sz w:val="24"/>
        </w:rPr>
        <w:t>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entity directs the Company to prepare a Restatement, in each case, regardless of if or when the Restatement is actually filed. The “Applicable Period” also includes any transition period (that results from a change in the Company’s fiscal year) within or immediately following the three completed fiscal years identified in the preceding sentence (except that a transition period that comprises a period of at least nine months shall count as a completed fiscal year).</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Code</w:t>
      </w:r>
      <w:r>
        <w:rPr>
          <w:rFonts w:ascii="Times New Roman;Times;serif" w:hAnsi="Times New Roman;Times;serif"/>
          <w:sz w:val="20"/>
        </w:rPr>
        <w:t xml:space="preserve">” </w:t>
      </w:r>
      <w:r>
        <w:rPr>
          <w:rFonts w:ascii="Times New Roman;Times;serif" w:hAnsi="Times New Roman;Times;serif"/>
          <w:sz w:val="24"/>
        </w:rPr>
        <w:t>means the Internal Revenue Code of 1986, as amended.</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Covered Executives</w:t>
      </w:r>
      <w:r>
        <w:rPr>
          <w:rFonts w:ascii="Times New Roman;Times;serif" w:hAnsi="Times New Roman;Times;serif"/>
          <w:sz w:val="20"/>
        </w:rPr>
        <w:t xml:space="preserve">” </w:t>
      </w:r>
      <w:r>
        <w:rPr>
          <w:rFonts w:ascii="Times New Roman;Times;serif" w:hAnsi="Times New Roman;Times;serif"/>
          <w:sz w:val="24"/>
        </w:rPr>
        <w:t>means each Executive Officer of the Company including current and former Executive Officers, as determined by the Board in accordance with the definition of “executive officer” in accordance with Dodd-Frank and the Listing Standards.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Exchange Act</w:t>
      </w:r>
      <w:r>
        <w:rPr>
          <w:rFonts w:ascii="Times New Roman;Times;serif" w:hAnsi="Times New Roman;Times;serif"/>
          <w:sz w:val="20"/>
        </w:rPr>
        <w:t xml:space="preserve">” </w:t>
      </w:r>
      <w:r>
        <w:rPr>
          <w:rFonts w:ascii="Times New Roman;Times;serif" w:hAnsi="Times New Roman;Times;serif"/>
          <w:sz w:val="24"/>
        </w:rPr>
        <w:t>means the Securities Exchange Act of 1934, as amended, and the rules promulgated thereunder.</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Executive Officer</w:t>
      </w:r>
      <w:r>
        <w:rPr>
          <w:rFonts w:ascii="Times New Roman;Times;serif" w:hAnsi="Times New Roman;Times;serif"/>
          <w:sz w:val="20"/>
        </w:rPr>
        <w:t xml:space="preserve">” </w:t>
      </w:r>
      <w:r>
        <w:rPr>
          <w:rFonts w:ascii="Times New Roman;Times;serif" w:hAnsi="Times New Roman;Times;serif"/>
          <w:sz w:val="24"/>
        </w:rPr>
        <w:t>means the Company’s president, principal financial officer, principal accounting officer (or if there is no such accounting officer, the controller), any vice-president of the Company in charge of a principal business unit, division, or function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In addition, officers or employees of the general partner(s) who perform policy-making functions for the Company are deemed Executive Officers of the Company. Policy-making function is not intended to include policy-making functions that are not significant. For purposes of this Policy, “Executive Officer” shall also include each person determined to be an “executive officer” for purposes of 17 CFR 229.401(b).</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Financial Reporting Measure</w:t>
      </w:r>
      <w:r>
        <w:rPr>
          <w:rFonts w:ascii="Times New Roman;Times;serif" w:hAnsi="Times New Roman;Times;serif"/>
          <w:sz w:val="20"/>
        </w:rPr>
        <w:t xml:space="preserve">” </w:t>
      </w:r>
      <w:r>
        <w:rPr>
          <w:rFonts w:ascii="Times New Roman;Times;serif" w:hAnsi="Times New Roman;Times;serif"/>
          <w:sz w:val="24"/>
        </w:rPr>
        <w:t>means a measure that is determined and presented in accordance with the accounting principles used in preparing the Company’s financial statements (including “non-GAAP” financial measures, such as those appearing in the Company’s earnings releases or Management’s Discussion and Analysis), and any measures that are derived wholly or in part from such measures (including stock price and total shareholder return). Examples of Financial Reporting Measures include, without limitation, measures based on: revenues, net income, operating income, financial ratios, EBITDA, funds from operations and adjusted funds from operations, liquidity measures, return measures (such as return on assets), earnings measures (</w:t>
      </w:r>
      <w:r>
        <w:rPr>
          <w:rFonts w:ascii="Times New Roman;Times;serif" w:hAnsi="Times New Roman;Times;serif"/>
          <w:i/>
          <w:sz w:val="24"/>
        </w:rPr>
        <w:t>e.g.</w:t>
      </w:r>
      <w:r>
        <w:rPr>
          <w:rFonts w:ascii="Times New Roman;Times;serif" w:hAnsi="Times New Roman;Times;serif"/>
          <w:sz w:val="24"/>
        </w:rPr>
        <w:t>, earnings per share), profitability of one or more segments, cost per employee where cost is subject to a Restatement, any of such financial measures relative to a peer group where the Financial Reporting Measure is subject to a Restatement, and tax basis income. A Financial Reporting Measure need not be presented within the financial statements or included in a filing with the SEC.</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Impracticable</w:t>
      </w:r>
      <w:r>
        <w:rPr>
          <w:rFonts w:ascii="Times New Roman;Times;serif" w:hAnsi="Times New Roman;Times;serif"/>
          <w:sz w:val="20"/>
        </w:rPr>
        <w:t xml:space="preserve">” </w:t>
      </w:r>
      <w:r>
        <w:rPr>
          <w:rFonts w:ascii="Times New Roman;Times;serif" w:hAnsi="Times New Roman;Times;serif"/>
          <w:sz w:val="24"/>
        </w:rPr>
        <w:t>means that a majority of the independent directors serving on the Board have determined in good faith that recovery of Recoverable Compensation would be “Impracticable” because: (i) pursuing such recovery would violate any home country law where that law was adopted prior to November 28, 2022 and the Company provides an opinion of home country counsel acceptable to Nasdaq that recovery would result in such a violation, and such opinion is provided to Nasdaq; (ii) the direct expense paid to a third party to assist in enforcing this Policy would exceed the Recoverable Compensation and the Company has (A) made a reasonable attempt to recover such amounts and (B) provided documentation of such attempts to recover to Nasdaq; or (iii) recovery would likely cause an otherwise tax-qualified retirement plan, under which benefits are broadly available to employees of the Company, to fail to meet the requirements of the Code in each case, in accordance with Dodd-Frank and the Listing Standards.</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Incentive-Based Compensation</w:t>
      </w:r>
      <w:r>
        <w:rPr>
          <w:rFonts w:ascii="Times New Roman;Times;serif" w:hAnsi="Times New Roman;Times;serif"/>
          <w:sz w:val="20"/>
        </w:rPr>
        <w:t xml:space="preserve">” </w:t>
      </w:r>
      <w:r>
        <w:rPr>
          <w:rFonts w:ascii="Times New Roman;Times;serif" w:hAnsi="Times New Roman;Times;serif"/>
          <w:sz w:val="24"/>
        </w:rPr>
        <w:t>means any compensation that is granted, earned, or vested based wholly or in part upon the attainment of a Financial Reporting Measure. Incentive-Based Compensation does not include any base salaries (except with respect to any salary increases earned wholly or in part based on the attainment of a Financial Reporting Measure performance goal); bonuses paid solely at the discretion of the Board that are not paid from a “bonus pool” that is determined by satisfying a Financial Reporting Measure performance goal; bonuses paid solely upon satisfying one or more subjective standards and/or completion of a specified employment period; non-equity incentive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awards earned solely upon satisfying one or more measures that is not a Financial Reporting Measure; and equity awards that vest solely based on the passage of time and/or attaining one or more measures that is not a Financial Reporting Measure.</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Received.</w:t>
      </w:r>
      <w:r>
        <w:rPr>
          <w:rFonts w:ascii="Times New Roman;Times;serif" w:hAnsi="Times New Roman;Times;serif"/>
          <w:sz w:val="20"/>
        </w:rPr>
        <w:t xml:space="preserve">” </w:t>
      </w:r>
      <w:r>
        <w:rPr>
          <w:rFonts w:ascii="Times New Roman;Times;serif" w:hAnsi="Times New Roman;Times;serif"/>
          <w:sz w:val="24"/>
        </w:rPr>
        <w:t>For purposes of this Policy, Incentive-Based Compensation is “Received” in the Company’s fiscal period during which the Financial Reporting Measure specified in the Incentive-Based Compensation award is attained, even if the payment, vesting or settlement of the Incentive-Based Compensation occurs after the end of such period.</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Recoverable Compensation</w:t>
      </w:r>
      <w:r>
        <w:rPr>
          <w:rFonts w:ascii="Times New Roman;Times;serif" w:hAnsi="Times New Roman;Times;serif"/>
          <w:sz w:val="20"/>
        </w:rPr>
        <w:t xml:space="preserve">” </w:t>
      </w:r>
      <w:r>
        <w:rPr>
          <w:rFonts w:ascii="Times New Roman;Times;serif" w:hAnsi="Times New Roman;Times;serif"/>
          <w:sz w:val="24"/>
        </w:rPr>
        <w:t>means the amount of any Incentive-Based Compensation (calculated on a pre-tax basis) Received by a Covered Executive (i) after beginning services as a Covered Executive, (ii) if such person served as a Covered Executive at any time during the performance period applicable to such Incentive-Based Compensation, (iii) while the Company had a listed class of securities on a national securities exchange, and (iv) during the Applicable Period that is in excess of the amount that otherwise would have been Received if the calculation were based on the Restatement. For the avoidance of doubt, Recoverable Compensation may include Incentive-Based Compensation Received by a Covered Executive if such person previously served as a Covered Executive and then left the Company, retired, and/or transitioned to a role that is not a Covered Executive role. For the avoidance of doubt, if the subject Incentive-Based Compensation (calculated on a pre-tax basis) was based on stock price or total shareholder return, where the Recoverable Compensation is not subject to mathematical recalculation directly from the information in a Restatement, the Recoverable Compensation must be based on a reasonable estimate of the effect of the Restatement on the stock price or total shareholder return based upon which the Incentive-Based Compensation was Received, and documentation of such reasonable estimate must be provided to Nasdaq. The amount of Recoverable Compensation shall be determined by the Board in its sole and absolute discretion and in accordance with the applicable laws, including Dodd-Frank and the Listing Standards.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Restatement</w:t>
      </w:r>
      <w:r>
        <w:rPr>
          <w:rFonts w:ascii="Times New Roman;Times;serif" w:hAnsi="Times New Roman;Times;serif"/>
          <w:sz w:val="20"/>
        </w:rPr>
        <w:t xml:space="preserve">” </w:t>
      </w:r>
      <w:r>
        <w:rPr>
          <w:rFonts w:ascii="Times New Roman;Times;serif" w:hAnsi="Times New Roman;Times;serif"/>
          <w:sz w:val="24"/>
        </w:rPr>
        <w:t>means an accounting restatement of any of the Company’s financial statements filed with the SEC under the Exchange Act, or the Securities Act of 1933, as amended, due to the Company’s material noncompliance with any financial reporting requirement under U.S. securities laws.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sz w:val="24"/>
          <w:u w:val="single"/>
        </w:rPr>
        <w:t>SEC</w:t>
      </w:r>
      <w:r>
        <w:rPr>
          <w:rFonts w:ascii="Times New Roman;Times;serif" w:hAnsi="Times New Roman;Times;serif"/>
          <w:sz w:val="20"/>
        </w:rPr>
        <w:t xml:space="preserve">” </w:t>
      </w:r>
      <w:r>
        <w:rPr>
          <w:rFonts w:ascii="Times New Roman;Times;serif" w:hAnsi="Times New Roman;Times;serif"/>
          <w:sz w:val="24"/>
        </w:rPr>
        <w:t>means the Securities and Exchange Commission.</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Administration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Policy shall be administered by the Board, except that the Board may delegate its authority to administer all or any portion of this Policy (other than the authority of a majority of the independent members serving on the Board to make determinations whether recovery would be Impracticable) to the Audit Committee of the Board or such other committee of the Board to the extent permitted by applicable law and applicable Nasdaq rules, subject to any restrictions or limitations as may be imposed by the Board. Notwithstanding any delegation, nothing herein shall be construed as limiting any authority of the Board. References herein to the Board shall be deemed references to the committee to which the Board delegated its authority to administer this Policy, if any. The Board shall interpret and construe this Policy and shall take such actions and prescribe such rules and regulations in connection with the operation of this Policy as it determines to be necessary, appropriate, or advisable for the administration of this Policy, and may rescind and amend its regulations from time to time, in each case, consistent with this Policy. Any determinations made by the Board shall be final, conclusive and binding upon the Company and all persons affected hereunder and need not be uniform with respect to each Covered Executive. Subject to any limitation under applicable law, the Board may authorize and empower any officer or employee of the Company or any of its affiliates to take any and all actions necessary or appropriate to carry out the purpose and intent of this Policy (other than with respect to any recovery under this Policy involving such officer).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Recoupment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If the Company is required to prepare a Restatement, then the Company shall recover, reasonably promptly, all Recoverable Compensation from any Covered Executive during the Applicable Period (including those Covered Executives who are not Executive Officers at the time of the Restatement).  Such recovery shall be made without regard to any individual knowledge or responsibility related to the Restatement or the Recoverable Compensation, and regardless of whether the Company’s or a Covered Executive’s misconduct or other action or omission was the cause for such Restatement. Further, if the achievement of one or more Financial Reporting Measures was considered in determining the Incentive-Based Compensation Received by a Covered Executive, but the Incentive-Based Compensation was not paid or awarded on a formulaic basis, the Board will in its good faith discretion determine the amount of any Recoverable Compensation that must be recouped with respect thereto. Notwithstanding the above provision, the Board can decide to refrain from recovering the Recoverable Compensation if a majority of the independent directors serving on the Board determines that such recovery would be Impracticable.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Method of Recoupment of Incentive-Based Compensation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Upon any recoupment determination by the Board, the Board shall notify the Covered Executive in writing of its determination. The Board will determine, in its sole discretion, the method for the recoupment of the Incentive-Based Compensation. Methods of recoupment may include, without limitation, one or more of the following:</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(a)</w:t>
            </w:r>
          </w:p>
        </w:tc>
        <w:tc>
          <w:tcPr>
            <w:tcW w:w="991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requiring repayment of any cash Incentive-Based Compensation or other cash-based compensation previously paid;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2"/>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(b)</w:t>
            </w:r>
          </w:p>
        </w:tc>
        <w:tc>
          <w:tcPr>
            <w:tcW w:w="992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cancelling outstanding vested or unvested equity or equity-linked awards, including without limitation, awards constituting Incentive-Based Compensation;</w:t>
            </w:r>
          </w:p>
        </w:tc>
      </w:tr>
    </w:tbl>
    <w:p>
      <w:pPr>
        <w:pStyle w:val="TextBody"/>
        <w:bidi w:val="0"/>
        <w:spacing w:before="0" w:after="0"/>
        <w:ind w:left="720" w:right="0" w:hanging="0"/>
        <w:jc w:val="left"/>
        <w:rPr/>
      </w:pPr>
      <w:r>
        <w:rPr/>
        <w:t>​</w:t>
      </w:r>
    </w:p>
    <w:tbl>
      <w:tblPr>
        <w:tblW w:w="9528" w:type="dxa"/>
        <w:jc w:val="left"/>
        <w:tblInd w:w="0" w:type="dxa"/>
        <w:tblLayout w:type="fixed"/>
        <w:tblCellMar>
          <w:top w:w="0" w:type="dxa"/>
          <w:left w:w="0" w:type="dxa"/>
          <w:bottom w:w="0" w:type="dxa"/>
          <w:right w:w="0" w:type="dxa"/>
        </w:tblCellMar>
      </w:tblPr>
      <w:tblGrid>
        <w:gridCol w:w="23"/>
        <w:gridCol w:w="275"/>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(c)</w:t>
            </w:r>
          </w:p>
        </w:tc>
        <w:tc>
          <w:tcPr>
            <w:tcW w:w="923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forfeiture of deferred compensation, subject to compliance with Section 409A (as defined below);</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6"/>
        <w:gridCol w:w="9936"/>
      </w:tblGrid>
      <w:tr>
        <w:trPr/>
        <w:tc>
          <w:tcPr>
            <w:tcW w:w="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w:t>
            </w:r>
          </w:p>
        </w:tc>
        <w:tc>
          <w:tcPr>
            <w:tcW w:w="9936"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seeking recovery of any gain realized from the vesting, exercise, settlement, sale, transfer or other disposition of any equity or equity-linked awards, including without limitation, awards constituting Incentive-Based Compensation;</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(e)</w:t>
            </w:r>
          </w:p>
        </w:tc>
        <w:tc>
          <w:tcPr>
            <w:tcW w:w="991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offsetting the recouped amount from any compensation otherwise owed by the Company to the Covered Executive;</w:t>
            </w:r>
          </w:p>
        </w:tc>
      </w:tr>
    </w:tbl>
    <w:p>
      <w:pPr>
        <w:pStyle w:val="TextBody"/>
        <w:bidi w:val="0"/>
        <w:spacing w:before="0" w:after="0"/>
        <w:ind w:left="720" w:right="0" w:hanging="0"/>
        <w:jc w:val="left"/>
        <w:rPr/>
      </w:pPr>
      <w:r>
        <w:rPr/>
        <w:t>​</w:t>
      </w:r>
    </w:p>
    <w:tbl>
      <w:tblPr>
        <w:tblW w:w="8193" w:type="dxa"/>
        <w:jc w:val="left"/>
        <w:tblInd w:w="0" w:type="dxa"/>
        <w:tblLayout w:type="fixed"/>
        <w:tblCellMar>
          <w:top w:w="0" w:type="dxa"/>
          <w:left w:w="0" w:type="dxa"/>
          <w:bottom w:w="0" w:type="dxa"/>
          <w:right w:w="0" w:type="dxa"/>
        </w:tblCellMar>
      </w:tblPr>
      <w:tblGrid>
        <w:gridCol w:w="23"/>
        <w:gridCol w:w="245"/>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(f)</w:t>
            </w:r>
          </w:p>
        </w:tc>
        <w:tc>
          <w:tcPr>
            <w:tcW w:w="792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cancelling or offsetting against any planned future cash or equity-based awards;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(g)</w:t>
            </w:r>
          </w:p>
        </w:tc>
        <w:tc>
          <w:tcPr>
            <w:tcW w:w="9912"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taking any other remedial or recovery action permitted by law and the Listing Standards, as determined by the Board in its sole discretion.</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To the extent that a Covered Executive is required to repay any Incentive-Based Compensation, or to take any other action required or appropriate to effectuate recoupment in accordance with this Policy, then the Covered Executive shall promptly repay such Incentive-Based Compensation and shall promptly take all such other actions, upon the Company’s demand or within a specified time period (and with or without interest), as determined by the Board in its sole discretion.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Disclosure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It is intended that the Company shall make such disclosures with respect to Incentive-Based Compensation subject to this Policy, and any actions taken or omitted to be taken hereunder, with the SEC and Nasdaq, in each case, as may be required under any applicable requirements, rules or standards thereof.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Interpretation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Board is authorized to interpret and construe this Policy and to make all determinations necessary, appropriate or advisable for the administration of this Policy. This Policy will be interpreted and enforced in accordance with Dodd-Frank and the Listing Standards. Any term or provision that is inconsistent with the requirements of Dodd-Frank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or the Listing Standards in the view of counsel to the Board or to the Company shall be null and void and of no effect.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No Indemnification or Reimbursement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Notwithstanding the terms of any other policy, program, agreement or arrangement, in no event will the Company or any of its affiliates indemnify or reimburse any Covered Executive for the loss of any Recoverable Compensation that is required to be repaid or that is otherwise subject to recoupment under this Policy. Further, in no event shall the Company or any of its affiliates pay or reimburse any Covered Executive for premiums on any insurance policy that would cover a Covered Executive’s potential obligations with respect to Recoverable Compensation under this Policy.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Effective Date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This Policy is effective as of December 1, 2023 (the “</w:t>
      </w:r>
      <w:r>
        <w:rPr>
          <w:rFonts w:ascii="Times New Roman;Times;serif" w:hAnsi="Times New Roman;Times;serif"/>
          <w:sz w:val="24"/>
          <w:u w:val="single"/>
        </w:rPr>
        <w:t>Effective Date</w:t>
      </w:r>
      <w:r>
        <w:rPr>
          <w:rFonts w:ascii="Times New Roman;Times;serif" w:hAnsi="Times New Roman;Times;serif"/>
          <w:sz w:val="20"/>
        </w:rPr>
        <w:t>”</w:t>
      </w:r>
      <w:r>
        <w:rPr>
          <w:rFonts w:ascii="Times New Roman;Times;serif" w:hAnsi="Times New Roman;Times;serif"/>
          <w:sz w:val="24"/>
        </w:rPr>
        <w:t>), and shall apply to Incentive-Based Compensation that is Received by Covered Executives on or after October 2, 2023, except to the extent otherwise required by the Exchange Act and/or Listing Standards or by applicable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Governing Law</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Policy shall be governed by the laws of the State of Delaware (without reference to rules relating to conflicts of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Amendment; Termination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Board may amend or terminate this Policy at any time in its sole discretion.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Company Indemnification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IEP G.P., any members of the Board and any other employees of the Company or its affiliates who assist in the administration of this Policy shall not be personally liable for any action, determination or interpretation made with respect to this Policy and shall be fully indemnified by the Company to the fullest extent permitted under applicable law, Company policy and/or the Company’s organizational documents with respect to any such action, determination or interpretation. The foregoing sentence shall not limit any other rights to indemnification of the members of the Board under applicable law, Company policy, and/or the Company’s organizational documents.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Other Recoupment Rights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Board may require that any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or rights that may be available to the Company pursuant to the terms of any policy or in any employment agreement, equity award agreement, or similar agreement, plan or program, and shall not limit any other right, remedy or enforcement mechanism available to the Company under any local, state or federal law, regulation, agreement or other authority to reduce, eliminate or recover Incentive-Based Compensation or other compensation from any current, former or future Covered Executive, including, without limitation: (i) termination of employment for any reason; (ii) adjusting the Covered Executive’s future compensation; (iii) instituting civil or criminal proceedings, or any actions that may be imposed by law enforcement agencies, regulators, administrative bodies or other authorities; or (iv) taking such other action as the Company may deem appropriate. Nothing herein shall limit the authority of the Board to impose additional requirements or conditions that may give rise to the Company’s right to forfeit or recoup any compensation. To the extent that applicable law (including, without limitation, Dodd-Frank) the Listing Standards, court order or court-approved settlement requires recovery of Recoverable Compensation in additional circumstances beyond those specified in this Policy, nothing in this Policy shall be deemed to limit or restrict the right or obligation of the Company to recover Recoverable Compensation or other compensation to the fullest extent required by applicable law and/or the Listing Standards.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Section 409A</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Although the Company does not guarantee any particular tax treatment to any Covered Executive, in the event of recoupment of any Recoverable Compensation from any Covered Executive pursuant to this Policy by offset from or reduction of any amount that is payable and/or to be provided to the Covered Executive and that is considered “non-qualified deferred compensation” under Section 409A of the Code, and the regulations and guidance promulgated thereunder (collectively, “</w:t>
      </w:r>
      <w:r>
        <w:rPr>
          <w:rFonts w:ascii="Times New Roman;Times;serif" w:hAnsi="Times New Roman;Times;serif"/>
          <w:sz w:val="24"/>
          <w:u w:val="single"/>
        </w:rPr>
        <w:t>Section 409A</w:t>
      </w:r>
      <w:r>
        <w:rPr>
          <w:rFonts w:ascii="Times New Roman;Times;serif" w:hAnsi="Times New Roman;Times;serif"/>
          <w:sz w:val="20"/>
        </w:rPr>
        <w:t>”</w:t>
      </w:r>
      <w:r>
        <w:rPr>
          <w:rFonts w:ascii="Times New Roman;Times;serif" w:hAnsi="Times New Roman;Times;serif"/>
          <w:sz w:val="24"/>
        </w:rPr>
        <w:t>), to the extent determined by the Board, it is intended that such offset and/or reduction shall be implemented in a manner intended to avoid imposition of penalties under Section 409A.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Successors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Policy shall be binding and enforceable against all Covered Executives and their beneficiaries, heirs, executors, administrators or other legal representatives.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RMTPro">
    <w:charset w:val="01"/>
    <w:family w:val="auto"/>
    <w:pitch w:val="default"/>
  </w:font>
  <w:font w:name="TimesNewRomanPSMT">
    <w:charset w:val="01"/>
    <w:family w:val="auto"/>
    <w:pitch w:val="default"/>
  </w:font>
  <w:font w:name="TimesNewRoman">
    <w:charset w:val="01"/>
    <w:family w:val="auto"/>
    <w:pitch w:val="default"/>
  </w:font>
  <w:font w:name="Times">
    <w:altName w:val="Times New Roman"/>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13762/000155837022002150/tmb-20211231x10k.htm" TargetMode="External"/><Relationship Id="rId3" Type="http://schemas.openxmlformats.org/officeDocument/2006/relationships/hyperlink" Target="https://www.sec.gov/ix?doc=/Archives/edgar/data/813762/000155837022002150/tmb-20211231x10k.htm" TargetMode="External"/><Relationship Id="rId4" Type="http://schemas.openxmlformats.org/officeDocument/2006/relationships/hyperlink" Target="https://www.sec.gov/Archives/edgar/data/813762/000110465916143329/a16-17984_1ex2d1.htm" TargetMode="External"/><Relationship Id="rId5" Type="http://schemas.openxmlformats.org/officeDocument/2006/relationships/hyperlink" Target="https://www.sec.gov/Archives/edgar/data/813762/000114420416140174/v449727_ex2-1.htm" TargetMode="External"/><Relationship Id="rId6" Type="http://schemas.openxmlformats.org/officeDocument/2006/relationships/hyperlink" Target="https://www.sec.gov/Archives/edgar/data/813762/000119312518112277/d554615dex21.htm" TargetMode="External"/><Relationship Id="rId7" Type="http://schemas.openxmlformats.org/officeDocument/2006/relationships/hyperlink" Target="https://www.sec.gov/Archives/edgar/data/813762/000110465918024062/a18-11003_1ex2d1.htm" TargetMode="External"/><Relationship Id="rId8" Type="http://schemas.openxmlformats.org/officeDocument/2006/relationships/hyperlink" Target="https://www.sec.gov/Archives/edgar/data/813762/000114036118040981/s002486x3_ex2-1.htm" TargetMode="External"/><Relationship Id="rId9" Type="http://schemas.openxmlformats.org/officeDocument/2006/relationships/hyperlink" Target="https://www.sec.gov/Archives/edgar/data/813762/000114420407050385/v088216_ex3-1.htm" TargetMode="External"/><Relationship Id="rId10" Type="http://schemas.openxmlformats.org/officeDocument/2006/relationships/hyperlink" Target="https://www.sec.gov/Archives/edgar/data/813762/000114420408015862/v106776_ex3-9.htm" TargetMode="External"/><Relationship Id="rId11" Type="http://schemas.openxmlformats.org/officeDocument/2006/relationships/hyperlink" Target="https://www.sec.gov/Archives/edgar/data/813762/000081376216000089/iep-ex31_amendedandrestate.htm" TargetMode="External"/><Relationship Id="rId12" Type="http://schemas.openxmlformats.org/officeDocument/2006/relationships/hyperlink" Target="https://www.sec.gov/Archives/edgar/data/813762/000095012304006078/y97041exv3w5.txt" TargetMode="External"/><Relationship Id="rId13" Type="http://schemas.openxmlformats.org/officeDocument/2006/relationships/hyperlink" Target="https://www.sec.gov/Archives/edgar/data/813762/0000897204-96-000093.txt" TargetMode="External"/><Relationship Id="rId14" Type="http://schemas.openxmlformats.org/officeDocument/2006/relationships/hyperlink" Target="https://www.sec.gov/Archives/edgar/data/813762/000095011703001233/ex3-9.txt" TargetMode="External"/><Relationship Id="rId15" Type="http://schemas.openxmlformats.org/officeDocument/2006/relationships/hyperlink" Target="https://www.sec.gov/Archives/edgar/data/813762/000095012305009643/y11364exv3w2.htm" TargetMode="External"/><Relationship Id="rId16" Type="http://schemas.openxmlformats.org/officeDocument/2006/relationships/hyperlink" Target="https://www.sec.gov/Archives/edgar/data/813762/000114420408015862/v106776_ex3-11.htm" TargetMode="External"/><Relationship Id="rId17" Type="http://schemas.openxmlformats.org/officeDocument/2006/relationships/hyperlink" Target="https://www.sec.gov/Archives/edgar/data/813762/000081376220000008/ex41123119.htm" TargetMode="External"/><Relationship Id="rId18" Type="http://schemas.openxmlformats.org/officeDocument/2006/relationships/hyperlink" Target="https://www.sec.gov/Archives/edgar/data/813762/000095012305003242/y06341exv4w4.htm" TargetMode="External"/><Relationship Id="rId19" Type="http://schemas.openxmlformats.org/officeDocument/2006/relationships/hyperlink" Target="https://www.sec.gov/Archives/edgar/data/813762/000095012305003242/y06341exv4w3.htm" TargetMode="External"/><Relationship Id="rId20" Type="http://schemas.openxmlformats.org/officeDocument/2006/relationships/hyperlink" Target="https://www.sec.gov/Archives/edgar/data/813762/000081376216000089/iep-ex41_certificatex8416.htm" TargetMode="External"/><Relationship Id="rId21" Type="http://schemas.openxmlformats.org/officeDocument/2006/relationships/hyperlink" Target="https://www.sec.gov/Archives/edgar/data/813762/0000897204-95-000016.txt" TargetMode="External"/><Relationship Id="rId22" Type="http://schemas.openxmlformats.org/officeDocument/2006/relationships/hyperlink" Target="https://www.sec.gov/Archives/edgar/data/813762/000095012305003242/y06341exv10w2.htm" TargetMode="External"/><Relationship Id="rId23" Type="http://schemas.openxmlformats.org/officeDocument/2006/relationships/hyperlink" Target="https://www.sec.gov/Archives/edgar/data/813762/000114420407041620/v083035_ex10-5.htm" TargetMode="External"/><Relationship Id="rId24" Type="http://schemas.openxmlformats.org/officeDocument/2006/relationships/hyperlink" Target="https://www.sec.gov/Archives/edgar/data/813762/000114420413047710/v353661_ex10-1.htm" TargetMode="External"/><Relationship Id="rId25" Type="http://schemas.openxmlformats.org/officeDocument/2006/relationships/hyperlink" Target="https://www.sec.gov/Archives/edgar/data/813762/000114420417062610/tv480904_ex4-1.htm" TargetMode="External"/><Relationship Id="rId26" Type="http://schemas.openxmlformats.org/officeDocument/2006/relationships/hyperlink" Target="https://www.sec.gov/Archives/edgar/data/813762/000114420419025269/tv521264_ex4-1.htm" TargetMode="External"/><Relationship Id="rId27" Type="http://schemas.openxmlformats.org/officeDocument/2006/relationships/hyperlink" Target="https://www.sec.gov/Archives/edgar/data/813762/000110465919072211/tm1925028d1_ex4-1.htm" TargetMode="External"/><Relationship Id="rId28" Type="http://schemas.openxmlformats.org/officeDocument/2006/relationships/hyperlink" Target="https://www.sec.gov/Archives/edgar/data/813762/000110465921005325/tm213465d1_ex4-1.htm" TargetMode="External"/><Relationship Id="rId29" Type="http://schemas.openxmlformats.org/officeDocument/2006/relationships/hyperlink" Target="https://www.sec.gov/Archives/edgar/data/813762/000110465921005325/tm213465d1_ex4-1.htm" TargetMode="External"/><Relationship Id="rId30" Type="http://schemas.openxmlformats.org/officeDocument/2006/relationships/hyperlink" Target="https://www.sec.gov/Archives/edgar/data/813762/000119312518290879/d629636dex41.htm" TargetMode="External"/><Relationship Id="rId31" Type="http://schemas.openxmlformats.org/officeDocument/2006/relationships/hyperlink" Target="https://www.sec.gov/Archives/edgar/data/813762/0000897204-95-000029.txt" TargetMode="External"/><Relationship Id="rId32" Type="http://schemas.openxmlformats.org/officeDocument/2006/relationships/hyperlink" Target="https://www.sec.gov/Archives/edgar/data/813762/000095012306003289/y18546exv10w42.htm" TargetMode="External"/><Relationship Id="rId33" Type="http://schemas.openxmlformats.org/officeDocument/2006/relationships/hyperlink" Target="https://www.sec.gov/Archives/edgar/data/813762/000114420407041620/v083035_ex10-4.htm" TargetMode="External"/><Relationship Id="rId34" Type="http://schemas.openxmlformats.org/officeDocument/2006/relationships/hyperlink" Target="https://www.sec.gov/Archives/edgar/data/813762/000114420417002748/v457095_ex10-1.htm" TargetMode="External"/><Relationship Id="rId35" Type="http://schemas.openxmlformats.org/officeDocument/2006/relationships/hyperlink" Target="https://www.sec.gov/Archives/edgar/data/813762/000114420417062610/tv480904_ex10-1.htm" TargetMode="External"/><Relationship Id="rId36" Type="http://schemas.openxmlformats.org/officeDocument/2006/relationships/hyperlink" Target="https://www.sec.gov/Archives/edgar/data/813762/000114420419025269/tv521264_ex10-1.htm" TargetMode="External"/><Relationship Id="rId37" Type="http://schemas.openxmlformats.org/officeDocument/2006/relationships/hyperlink" Target="https://www.sec.gov/Archives/edgar/data/813762/000114420419032722/tv524288_ex10-1.htm" TargetMode="External"/><Relationship Id="rId38" Type="http://schemas.openxmlformats.org/officeDocument/2006/relationships/hyperlink" Target="https://www.sec.gov/Archives/edgar/data/813762/000110465919072211/tm1925028d1_ex10-1.htm" TargetMode="External"/><Relationship Id="rId39" Type="http://schemas.openxmlformats.org/officeDocument/2006/relationships/hyperlink" Target="https://www.sec.gov/Archives/edgar/data/813762/000110465920002683/tm201494d1_ex10-1.htm" TargetMode="External"/><Relationship Id="rId40" Type="http://schemas.openxmlformats.org/officeDocument/2006/relationships/hyperlink" Target="https://www.sec.gov/Archives/edgar/data/813762/000110465920007677/tm205861d2_ex10-1.htm" TargetMode="External"/><Relationship Id="rId41" Type="http://schemas.openxmlformats.org/officeDocument/2006/relationships/hyperlink" Target="https://www.sec.gov/Archives/edgar/data/813762/000110465921005325/tm213465d1_ex10-1.htm" TargetMode="External"/><Relationship Id="rId42" Type="http://schemas.openxmlformats.org/officeDocument/2006/relationships/hyperlink" Target="https://www.sec.gov/Archives/edgar/data/813762/000110465921005325/tm213465d1_ex10-1.htm" TargetMode="External"/><Relationship Id="rId43" Type="http://schemas.openxmlformats.org/officeDocument/2006/relationships/hyperlink" Target="https://www.sec.gov/Archives/edgar/data/813762/000110465920111049/tm2032213d1_ex10-1.htm" TargetMode="External"/><Relationship Id="rId44" Type="http://schemas.openxmlformats.org/officeDocument/2006/relationships/hyperlink" Target="https://www.sec.gov/Archives/edgar/data/813762/000155837022007610/tmb-20220331xex10d1.htm" TargetMode="External"/><Relationship Id="rId45" Type="http://schemas.openxmlformats.org/officeDocument/2006/relationships/hyperlink" Target="https://www.sec.gov/Archives/edgar/data/813762/000110465920111049/tm2032213d1_ex10-2.htm" TargetMode="External"/><Relationship Id="rId46" Type="http://schemas.openxmlformats.org/officeDocument/2006/relationships/hyperlink" Target="https://www.sec.gov/Archives/edgar/data/813762/000110465920111049/tm2032213d1_ex10-3.htm" TargetMode="External"/><Relationship Id="rId47" Type="http://schemas.openxmlformats.org/officeDocument/2006/relationships/hyperlink" Target="https://www.sec.gov/Archives/edgar/data/813762/000114420417016517/0001144204-17-016517-index.htm" TargetMode="External"/><Relationship Id="rId48" Type="http://schemas.openxmlformats.org/officeDocument/2006/relationships/hyperlink" Target="https://www.sec.gov/Archives/edgar/data/813762/000155837022002150/tmb-20211231xex10d19.htm" TargetMode="External"/><Relationship Id="rId49" Type="http://schemas.openxmlformats.org/officeDocument/2006/relationships/hyperlink" Target="https://www.sec.gov/Archives/edgar/data/813762/000155837022002150/tmb-20211231xex10d20.htm" TargetMode="External"/><Relationship Id="rId50" Type="http://schemas.openxmlformats.org/officeDocument/2006/relationships/hyperlink" Target="https://www.sec.gov/Archives/edgar/data/0000813762/000110465921149164/tm2135236d1_ex10-1.htm" TargetMode="External"/><Relationship Id="rId51" Type="http://schemas.openxmlformats.org/officeDocument/2006/relationships/hyperlink" Target="https://www.sec.gov/Archives/edgar/data/813762/000110465921149164/tm2135236d1_ex10-2.htm" TargetMode="External"/><Relationship Id="rId52" Type="http://schemas.openxmlformats.org/officeDocument/2006/relationships/hyperlink" Target="https://www.sec.gov/Archives/edgar/data/0000813762/000110465921049335/tm2112709d1_ex10-1.htm" TargetMode="External"/><Relationship Id="rId53" Type="http://schemas.openxmlformats.org/officeDocument/2006/relationships/hyperlink" Target="https://www.sec.gov/Archives/edgar/data/0000813762/000110465921049335/tm2112709d1_ex10-1.htm" TargetMode="External"/><Relationship Id="rId54" Type="http://schemas.openxmlformats.org/officeDocument/2006/relationships/hyperlink" Target="https://www.sec.gov/Archives/edgar/data/0000813762/000110465921049335/tm2112709d1_ex10-1.htm" TargetMode="External"/><Relationship Id="rId55" Type="http://schemas.openxmlformats.org/officeDocument/2006/relationships/hyperlink" Target="https://www.sec.gov/Archives/edgar/data/813762/000081376212000064/iep-ex141_93012xcodeofethi.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90915</Words>
  <Characters>500413</Characters>
  <CharactersWithSpaces>594377</CharactersWithSpaces>
  <Paragraphs>16332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