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0" w:type="dxa"/>
            <w:vAlign w:val="bottom"/>
          </w:tcPr>
          <w:p>
            <w:pPr>
              <w:jc w:val="center"/>
              <w:ind w:left="8"/>
              <w:spacing w:after="0"/>
              <w:rPr>
                <w:sz w:val="20"/>
                <w:szCs w:val="20"/>
                <w:color w:val="auto"/>
              </w:rPr>
            </w:pPr>
            <w:r>
              <w:rPr>
                <w:rFonts w:ascii="Arial" w:cs="Arial" w:eastAsia="Arial" w:hAnsi="Arial"/>
                <w:sz w:val="14"/>
                <w:szCs w:val="14"/>
                <w:color w:val="auto"/>
                <w:w w:val="90"/>
              </w:rPr>
              <w:t>(State or Other</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780" w:type="dxa"/>
            <w:vAlign w:val="bottom"/>
            <w:gridSpan w:val="4"/>
          </w:tcPr>
          <w:p>
            <w:pPr>
              <w:jc w:val="center"/>
              <w:ind w:right="348"/>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800" w:type="dxa"/>
            <w:vAlign w:val="bottom"/>
          </w:tcPr>
          <w:p>
            <w:pPr>
              <w:jc w:val="center"/>
              <w:ind w:left="8"/>
              <w:spacing w:after="0" w:line="149" w:lineRule="exact"/>
              <w:rPr>
                <w:sz w:val="20"/>
                <w:szCs w:val="20"/>
                <w:color w:val="auto"/>
              </w:rPr>
            </w:pPr>
            <w:r>
              <w:rPr>
                <w:rFonts w:ascii="Arial" w:cs="Arial" w:eastAsia="Arial" w:hAnsi="Arial"/>
                <w:sz w:val="14"/>
                <w:szCs w:val="14"/>
                <w:color w:val="auto"/>
                <w:w w:val="98"/>
              </w:rPr>
              <w:t>Jurisdiction of</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780" w:type="dxa"/>
            <w:vAlign w:val="bottom"/>
            <w:gridSpan w:val="4"/>
          </w:tcPr>
          <w:p>
            <w:pPr>
              <w:jc w:val="center"/>
              <w:ind w:right="32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 or</w:t>
            </w:r>
          </w:p>
        </w:tc>
        <w:tc>
          <w:tcPr>
            <w:tcW w:w="134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tcPr>
          <w:p>
            <w:pPr>
              <w:ind w:left="640"/>
              <w:spacing w:after="0"/>
              <w:rPr>
                <w:sz w:val="20"/>
                <w:szCs w:val="20"/>
                <w:color w:val="auto"/>
              </w:rPr>
            </w:pPr>
            <w:r>
              <w:rPr>
                <w:rFonts w:ascii="Arial" w:cs="Arial" w:eastAsia="Arial" w:hAnsi="Arial"/>
                <w:sz w:val="14"/>
                <w:szCs w:val="14"/>
                <w:color w:val="auto"/>
              </w:rPr>
              <w:t>(Commission File Number)</w:t>
            </w:r>
          </w:p>
        </w:tc>
        <w:tc>
          <w:tcPr>
            <w:tcW w:w="2840" w:type="dxa"/>
            <w:vAlign w:val="bottom"/>
            <w:gridSpan w:val="3"/>
          </w:tcPr>
          <w:p>
            <w:pPr>
              <w:jc w:val="center"/>
              <w:ind w:left="1441"/>
              <w:spacing w:after="0"/>
              <w:rPr>
                <w:sz w:val="20"/>
                <w:szCs w:val="20"/>
                <w:color w:val="auto"/>
              </w:rPr>
            </w:pPr>
            <w:r>
              <w:rPr>
                <w:rFonts w:ascii="Arial" w:cs="Arial" w:eastAsia="Arial" w:hAnsi="Arial"/>
                <w:sz w:val="14"/>
                <w:szCs w:val="14"/>
                <w:color w:val="auto"/>
                <w:w w:val="92"/>
              </w:rPr>
              <w:t>(Telephone Number)</w:t>
            </w:r>
          </w:p>
        </w:tc>
        <w:tc>
          <w:tcPr>
            <w:tcW w:w="1940" w:type="dxa"/>
            <w:vAlign w:val="bottom"/>
          </w:tcPr>
          <w:p>
            <w:pPr>
              <w:spacing w:after="0"/>
              <w:rPr>
                <w:sz w:val="15"/>
                <w:szCs w:val="15"/>
                <w:color w:val="auto"/>
              </w:rPr>
            </w:pPr>
          </w:p>
        </w:tc>
        <w:tc>
          <w:tcPr>
            <w:tcW w:w="1800" w:type="dxa"/>
            <w:vAlign w:val="bottom"/>
          </w:tcPr>
          <w:p>
            <w:pPr>
              <w:jc w:val="center"/>
              <w:ind w:left="8"/>
              <w:spacing w:after="0"/>
              <w:rPr>
                <w:sz w:val="20"/>
                <w:szCs w:val="20"/>
                <w:color w:val="auto"/>
              </w:rPr>
            </w:pPr>
            <w:r>
              <w:rPr>
                <w:rFonts w:ascii="Arial" w:cs="Arial" w:eastAsia="Arial" w:hAnsi="Arial"/>
                <w:sz w:val="14"/>
                <w:szCs w:val="14"/>
                <w:color w:val="auto"/>
                <w:w w:val="95"/>
              </w:rPr>
              <w:t>Organization)</w:t>
            </w:r>
          </w:p>
        </w:tc>
        <w:tc>
          <w:tcPr>
            <w:tcW w:w="1340" w:type="dxa"/>
            <w:vAlign w:val="bottom"/>
          </w:tcPr>
          <w:p>
            <w:pPr>
              <w:jc w:val="center"/>
              <w:ind w:right="4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324"/>
        </w:trPr>
        <w:tc>
          <w:tcPr>
            <w:tcW w:w="3480" w:type="dxa"/>
            <w:vAlign w:val="bottom"/>
            <w:gridSpan w:val="2"/>
          </w:tcPr>
          <w:p>
            <w:pPr>
              <w:jc w:val="right"/>
              <w:ind w:right="1648"/>
              <w:spacing w:after="0"/>
              <w:rPr>
                <w:sz w:val="20"/>
                <w:szCs w:val="20"/>
                <w:color w:val="auto"/>
              </w:rPr>
            </w:pPr>
            <w:r>
              <w:rPr>
                <w:rFonts w:ascii="Arial" w:cs="Arial" w:eastAsia="Arial" w:hAnsi="Arial"/>
                <w:sz w:val="14"/>
                <w:szCs w:val="14"/>
                <w:b w:val="1"/>
                <w:bCs w:val="1"/>
                <w:color w:val="auto"/>
              </w:rPr>
              <w:t>001-09516</w:t>
            </w:r>
          </w:p>
        </w:tc>
        <w:tc>
          <w:tcPr>
            <w:tcW w:w="4780" w:type="dxa"/>
            <w:vAlign w:val="bottom"/>
            <w:gridSpan w:val="4"/>
          </w:tcPr>
          <w:p>
            <w:pPr>
              <w:jc w:val="center"/>
              <w:ind w:right="348"/>
              <w:spacing w:after="0"/>
              <w:rPr>
                <w:sz w:val="20"/>
                <w:szCs w:val="20"/>
                <w:color w:val="auto"/>
              </w:rPr>
            </w:pPr>
            <w:r>
              <w:rPr>
                <w:rFonts w:ascii="Arial" w:cs="Arial" w:eastAsia="Arial" w:hAnsi="Arial"/>
                <w:sz w:val="23"/>
                <w:szCs w:val="23"/>
                <w:b w:val="1"/>
                <w:bCs w:val="1"/>
                <w:color w:val="auto"/>
              </w:rPr>
              <w:t>ICAHN ENTERPRISES L.P.</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13-3398766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780" w:type="dxa"/>
            <w:vAlign w:val="bottom"/>
            <w:gridSpan w:val="4"/>
          </w:tcPr>
          <w:p>
            <w:pPr>
              <w:jc w:val="center"/>
              <w:ind w:right="328"/>
              <w:spacing w:after="0"/>
              <w:rPr>
                <w:sz w:val="20"/>
                <w:szCs w:val="20"/>
                <w:color w:val="auto"/>
              </w:rPr>
            </w:pPr>
            <w:r>
              <w:rPr>
                <w:rFonts w:ascii="Arial" w:cs="Arial" w:eastAsia="Arial" w:hAnsi="Arial"/>
                <w:sz w:val="14"/>
                <w:szCs w:val="14"/>
                <w:b w:val="1"/>
                <w:bCs w:val="1"/>
                <w:color w:val="auto"/>
                <w:w w:val="92"/>
              </w:rPr>
              <w:t>767 Fifth Avenue, Suite 4700</w:t>
            </w:r>
          </w:p>
        </w:tc>
        <w:tc>
          <w:tcPr>
            <w:tcW w:w="1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840" w:type="dxa"/>
            <w:vAlign w:val="bottom"/>
            <w:gridSpan w:val="3"/>
          </w:tcPr>
          <w:p>
            <w:pPr>
              <w:jc w:val="center"/>
              <w:ind w:left="1461"/>
              <w:spacing w:after="0" w:line="149" w:lineRule="exact"/>
              <w:rPr>
                <w:sz w:val="20"/>
                <w:szCs w:val="20"/>
                <w:color w:val="auto"/>
              </w:rPr>
            </w:pPr>
            <w:r>
              <w:rPr>
                <w:rFonts w:ascii="Arial" w:cs="Arial" w:eastAsia="Arial" w:hAnsi="Arial"/>
                <w:sz w:val="14"/>
                <w:szCs w:val="14"/>
                <w:b w:val="1"/>
                <w:bCs w:val="1"/>
                <w:color w:val="auto"/>
                <w:w w:val="97"/>
              </w:rPr>
              <w:t>New York, NY 10153</w:t>
            </w: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840" w:type="dxa"/>
            <w:vAlign w:val="bottom"/>
            <w:gridSpan w:val="3"/>
          </w:tcPr>
          <w:p>
            <w:pPr>
              <w:jc w:val="center"/>
              <w:ind w:left="1461"/>
              <w:spacing w:after="0"/>
              <w:rPr>
                <w:sz w:val="20"/>
                <w:szCs w:val="20"/>
                <w:color w:val="auto"/>
              </w:rPr>
            </w:pPr>
            <w:r>
              <w:rPr>
                <w:rFonts w:ascii="Arial" w:cs="Arial" w:eastAsia="Arial" w:hAnsi="Arial"/>
                <w:sz w:val="14"/>
                <w:szCs w:val="14"/>
                <w:b w:val="1"/>
                <w:bCs w:val="1"/>
                <w:color w:val="auto"/>
                <w:w w:val="93"/>
              </w:rPr>
              <w:t>(212) 702-4300</w:t>
            </w: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3480" w:type="dxa"/>
            <w:vAlign w:val="bottom"/>
            <w:gridSpan w:val="2"/>
          </w:tcPr>
          <w:p>
            <w:pPr>
              <w:jc w:val="right"/>
              <w:ind w:right="1528"/>
              <w:spacing w:after="0"/>
              <w:rPr>
                <w:sz w:val="20"/>
                <w:szCs w:val="20"/>
                <w:color w:val="auto"/>
              </w:rPr>
            </w:pPr>
            <w:r>
              <w:rPr>
                <w:rFonts w:ascii="Arial" w:cs="Arial" w:eastAsia="Arial" w:hAnsi="Arial"/>
                <w:sz w:val="14"/>
                <w:szCs w:val="14"/>
                <w:b w:val="1"/>
                <w:bCs w:val="1"/>
                <w:color w:val="auto"/>
              </w:rPr>
              <w:t>333-118021-01</w:t>
            </w:r>
          </w:p>
        </w:tc>
        <w:tc>
          <w:tcPr>
            <w:tcW w:w="4780" w:type="dxa"/>
            <w:vAlign w:val="bottom"/>
            <w:gridSpan w:val="4"/>
          </w:tcPr>
          <w:p>
            <w:pPr>
              <w:jc w:val="center"/>
              <w:ind w:right="348"/>
              <w:spacing w:after="0"/>
              <w:rPr>
                <w:sz w:val="20"/>
                <w:szCs w:val="20"/>
                <w:color w:val="auto"/>
              </w:rPr>
            </w:pPr>
            <w:r>
              <w:rPr>
                <w:rFonts w:ascii="Arial" w:cs="Arial" w:eastAsia="Arial" w:hAnsi="Arial"/>
                <w:sz w:val="23"/>
                <w:szCs w:val="23"/>
                <w:b w:val="1"/>
                <w:bCs w:val="1"/>
                <w:color w:val="auto"/>
              </w:rPr>
              <w:t>ICAHN ENTERPRISES HOLDINGS L.P.</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13-3398767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780" w:type="dxa"/>
            <w:vAlign w:val="bottom"/>
            <w:gridSpan w:val="4"/>
          </w:tcPr>
          <w:p>
            <w:pPr>
              <w:jc w:val="center"/>
              <w:ind w:right="328"/>
              <w:spacing w:after="0"/>
              <w:rPr>
                <w:sz w:val="20"/>
                <w:szCs w:val="20"/>
                <w:color w:val="auto"/>
              </w:rPr>
            </w:pPr>
            <w:r>
              <w:rPr>
                <w:rFonts w:ascii="Arial" w:cs="Arial" w:eastAsia="Arial" w:hAnsi="Arial"/>
                <w:sz w:val="14"/>
                <w:szCs w:val="14"/>
                <w:b w:val="1"/>
                <w:bCs w:val="1"/>
                <w:color w:val="auto"/>
                <w:w w:val="92"/>
              </w:rPr>
              <w:t>767 Fifth Avenue, Suite 4700</w:t>
            </w:r>
          </w:p>
        </w:tc>
        <w:tc>
          <w:tcPr>
            <w:tcW w:w="1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840" w:type="dxa"/>
            <w:vAlign w:val="bottom"/>
            <w:gridSpan w:val="3"/>
          </w:tcPr>
          <w:p>
            <w:pPr>
              <w:jc w:val="center"/>
              <w:ind w:left="1461"/>
              <w:spacing w:after="0" w:line="149" w:lineRule="exact"/>
              <w:rPr>
                <w:sz w:val="20"/>
                <w:szCs w:val="20"/>
                <w:color w:val="auto"/>
              </w:rPr>
            </w:pPr>
            <w:r>
              <w:rPr>
                <w:rFonts w:ascii="Arial" w:cs="Arial" w:eastAsia="Arial" w:hAnsi="Arial"/>
                <w:sz w:val="14"/>
                <w:szCs w:val="14"/>
                <w:b w:val="1"/>
                <w:bCs w:val="1"/>
                <w:color w:val="auto"/>
                <w:w w:val="97"/>
              </w:rPr>
              <w:t>New York, NY 10153</w:t>
            </w: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840" w:type="dxa"/>
            <w:vAlign w:val="bottom"/>
            <w:gridSpan w:val="3"/>
          </w:tcPr>
          <w:p>
            <w:pPr>
              <w:jc w:val="center"/>
              <w:ind w:left="1461"/>
              <w:spacing w:after="0"/>
              <w:rPr>
                <w:sz w:val="20"/>
                <w:szCs w:val="20"/>
                <w:color w:val="auto"/>
              </w:rPr>
            </w:pPr>
            <w:r>
              <w:rPr>
                <w:rFonts w:ascii="Arial" w:cs="Arial" w:eastAsia="Arial" w:hAnsi="Arial"/>
                <w:sz w:val="14"/>
                <w:szCs w:val="14"/>
                <w:b w:val="1"/>
                <w:bCs w:val="1"/>
                <w:color w:val="auto"/>
                <w:w w:val="93"/>
              </w:rPr>
              <w:t>(212) 702-4300</w:t>
            </w: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780" w:type="dxa"/>
            <w:vAlign w:val="bottom"/>
            <w:gridSpan w:val="4"/>
          </w:tcPr>
          <w:p>
            <w:pPr>
              <w:ind w:left="360"/>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460" w:type="dxa"/>
            <w:vAlign w:val="bottom"/>
            <w:tcBorders>
              <w:bottom w:val="single" w:sz="8" w:color="auto"/>
            </w:tcBorders>
          </w:tcPr>
          <w:p>
            <w:pPr>
              <w:jc w:val="center"/>
              <w:ind w:left="2068"/>
              <w:spacing w:after="0"/>
              <w:rPr>
                <w:sz w:val="20"/>
                <w:szCs w:val="20"/>
                <w:color w:val="auto"/>
              </w:rPr>
            </w:pPr>
            <w:r>
              <w:rPr>
                <w:rFonts w:ascii="Arial" w:cs="Arial" w:eastAsia="Arial" w:hAnsi="Arial"/>
                <w:sz w:val="14"/>
                <w:szCs w:val="14"/>
                <w:b w:val="1"/>
                <w:bCs w:val="1"/>
                <w:color w:val="auto"/>
                <w:w w:val="93"/>
              </w:rPr>
              <w:t>Title of Each Class</w:t>
            </w:r>
          </w:p>
        </w:tc>
        <w:tc>
          <w:tcPr>
            <w:tcW w:w="2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center"/>
              <w:ind w:left="68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gridSpan w:val="4"/>
          </w:tcPr>
          <w:p>
            <w:pPr>
              <w:jc w:val="center"/>
              <w:ind w:right="700"/>
              <w:spacing w:after="0" w:line="157" w:lineRule="exact"/>
              <w:rPr>
                <w:sz w:val="20"/>
                <w:szCs w:val="20"/>
                <w:color w:val="auto"/>
              </w:rPr>
            </w:pPr>
            <w:r>
              <w:rPr>
                <w:rFonts w:ascii="Arial" w:cs="Arial" w:eastAsia="Arial" w:hAnsi="Arial"/>
                <w:sz w:val="14"/>
                <w:szCs w:val="14"/>
                <w:color w:val="auto"/>
                <w:w w:val="93"/>
              </w:rPr>
              <w:t>Depositary Units of Icahn Enterprises L.P.</w:t>
            </w:r>
          </w:p>
        </w:tc>
        <w:tc>
          <w:tcPr>
            <w:tcW w:w="3740" w:type="dxa"/>
            <w:vAlign w:val="bottom"/>
            <w:gridSpan w:val="2"/>
            <w:vMerge w:val="restart"/>
          </w:tcPr>
          <w:p>
            <w:pPr>
              <w:jc w:val="center"/>
              <w:ind w:left="688"/>
              <w:spacing w:after="0"/>
              <w:rPr>
                <w:sz w:val="20"/>
                <w:szCs w:val="20"/>
                <w:color w:val="auto"/>
              </w:rPr>
            </w:pPr>
            <w:r>
              <w:rPr>
                <w:rFonts w:ascii="Arial" w:cs="Arial" w:eastAsia="Arial" w:hAnsi="Arial"/>
                <w:sz w:val="14"/>
                <w:szCs w:val="14"/>
                <w:color w:val="auto"/>
                <w:w w:val="96"/>
              </w:rPr>
              <w:t>NASDAQ Global Select Market</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300" w:type="dxa"/>
            <w:vAlign w:val="bottom"/>
            <w:gridSpan w:val="4"/>
            <w:vMerge w:val="restart"/>
          </w:tcPr>
          <w:p>
            <w:pPr>
              <w:jc w:val="center"/>
              <w:ind w:right="700"/>
              <w:spacing w:after="0"/>
              <w:rPr>
                <w:sz w:val="20"/>
                <w:szCs w:val="20"/>
                <w:color w:val="auto"/>
              </w:rPr>
            </w:pPr>
            <w:r>
              <w:rPr>
                <w:rFonts w:ascii="Arial" w:cs="Arial" w:eastAsia="Arial" w:hAnsi="Arial"/>
                <w:sz w:val="14"/>
                <w:szCs w:val="14"/>
                <w:color w:val="auto"/>
                <w:w w:val="93"/>
              </w:rPr>
              <w:t>Representing Limited Partner Interests</w:t>
            </w:r>
          </w:p>
        </w:tc>
        <w:tc>
          <w:tcPr>
            <w:tcW w:w="3740" w:type="dxa"/>
            <w:vAlign w:val="bottom"/>
            <w:gridSpan w:val="2"/>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300" w:type="dxa"/>
            <w:vAlign w:val="bottom"/>
            <w:gridSpan w:val="4"/>
            <w:vMerge w:val="continue"/>
          </w:tcPr>
          <w:p>
            <w:pPr>
              <w:spacing w:after="0"/>
              <w:rPr>
                <w:sz w:val="7"/>
                <w:szCs w:val="7"/>
                <w:color w:val="auto"/>
              </w:rPr>
            </w:pPr>
          </w:p>
        </w:tc>
        <w:tc>
          <w:tcPr>
            <w:tcW w:w="19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80" w:type="dxa"/>
            <w:vAlign w:val="bottom"/>
            <w:gridSpan w:val="4"/>
          </w:tcPr>
          <w:p>
            <w:pPr>
              <w:ind w:left="16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gridSpan w:val="6"/>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by Rule 405 of the Securities Act.</w:t>
            </w:r>
          </w:p>
        </w:tc>
        <w:tc>
          <w:tcPr>
            <w:tcW w:w="1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40" w:type="dxa"/>
            <w:vAlign w:val="bottom"/>
            <w:gridSpan w:val="3"/>
          </w:tcPr>
          <w:p>
            <w:pPr>
              <w:ind w:left="440"/>
              <w:spacing w:after="0"/>
              <w:rPr>
                <w:sz w:val="20"/>
                <w:szCs w:val="20"/>
                <w:color w:val="auto"/>
              </w:rPr>
            </w:pPr>
            <w:r>
              <w:rPr>
                <w:rFonts w:ascii="Arial" w:cs="Arial" w:eastAsia="Arial" w:hAnsi="Arial"/>
                <w:sz w:val="14"/>
                <w:szCs w:val="14"/>
                <w:color w:val="auto"/>
              </w:rPr>
              <w:t xml:space="preserve">Icahn Enterprises L.P. Yes x No </w:t>
            </w:r>
            <w:r>
              <w:rPr>
                <w:rFonts w:ascii="Arial" w:cs="Arial" w:eastAsia="Arial" w:hAnsi="Arial"/>
                <w:sz w:val="18"/>
                <w:szCs w:val="18"/>
                <w:color w:val="auto"/>
              </w:rPr>
              <w:t>o</w:t>
            </w:r>
          </w:p>
        </w:tc>
        <w:tc>
          <w:tcPr>
            <w:tcW w:w="3740" w:type="dxa"/>
            <w:vAlign w:val="bottom"/>
            <w:gridSpan w:val="2"/>
          </w:tcPr>
          <w:p>
            <w:pPr>
              <w:spacing w:after="0"/>
              <w:rPr>
                <w:sz w:val="20"/>
                <w:szCs w:val="20"/>
                <w:color w:val="auto"/>
              </w:rPr>
            </w:pPr>
            <w:r>
              <w:rPr>
                <w:rFonts w:ascii="Arial" w:cs="Arial" w:eastAsia="Arial" w:hAnsi="Arial"/>
                <w:sz w:val="14"/>
                <w:szCs w:val="14"/>
                <w:color w:val="auto"/>
              </w:rPr>
              <w:t>Icahn Enterprises Holdings L.P. Yes o No x</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260" w:type="dxa"/>
            <w:vAlign w:val="bottom"/>
            <w:gridSpan w:val="6"/>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Exchange Act.</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40" w:type="dxa"/>
            <w:vAlign w:val="bottom"/>
            <w:gridSpan w:val="3"/>
          </w:tcPr>
          <w:p>
            <w:pPr>
              <w:ind w:left="360"/>
              <w:spacing w:after="0"/>
              <w:rPr>
                <w:sz w:val="20"/>
                <w:szCs w:val="20"/>
                <w:color w:val="auto"/>
              </w:rPr>
            </w:pPr>
            <w:r>
              <w:rPr>
                <w:rFonts w:ascii="Arial" w:cs="Arial" w:eastAsia="Arial" w:hAnsi="Arial"/>
                <w:sz w:val="14"/>
                <w:szCs w:val="14"/>
                <w:color w:val="auto"/>
              </w:rPr>
              <w:t xml:space="preserve">Icahn Enterprises L.P. Yes o No </w:t>
            </w:r>
            <w:r>
              <w:rPr>
                <w:rFonts w:ascii="Arial" w:cs="Arial" w:eastAsia="Arial" w:hAnsi="Arial"/>
                <w:sz w:val="18"/>
                <w:szCs w:val="18"/>
                <w:color w:val="auto"/>
              </w:rPr>
              <w:t>x</w:t>
            </w:r>
          </w:p>
        </w:tc>
        <w:tc>
          <w:tcPr>
            <w:tcW w:w="3740" w:type="dxa"/>
            <w:vAlign w:val="bottom"/>
            <w:gridSpan w:val="2"/>
          </w:tcPr>
          <w:p>
            <w:pPr>
              <w:ind w:left="60"/>
              <w:spacing w:after="0"/>
              <w:rPr>
                <w:sz w:val="20"/>
                <w:szCs w:val="20"/>
                <w:color w:val="auto"/>
              </w:rPr>
            </w:pPr>
            <w:r>
              <w:rPr>
                <w:rFonts w:ascii="Arial" w:cs="Arial" w:eastAsia="Arial" w:hAnsi="Arial"/>
                <w:sz w:val="14"/>
                <w:szCs w:val="14"/>
                <w:color w:val="auto"/>
              </w:rPr>
              <w:t>Icahn Enterprises Holdings L.P. Yes o No x</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0" w:lineRule="exact"/>
        <w:rPr>
          <w:sz w:val="24"/>
          <w:szCs w:val="24"/>
          <w:color w:val="auto"/>
        </w:rPr>
      </w:pPr>
    </w:p>
    <w:p>
      <w:pPr>
        <w:ind w:left="3840"/>
        <w:spacing w:after="0"/>
        <w:tabs>
          <w:tab w:leader="none" w:pos="6360" w:val="left"/>
        </w:tabs>
        <w:rPr>
          <w:sz w:val="20"/>
          <w:szCs w:val="20"/>
          <w:color w:val="auto"/>
        </w:rPr>
      </w:pPr>
      <w:r>
        <w:rPr>
          <w:rFonts w:ascii="Arial" w:cs="Arial" w:eastAsia="Arial" w:hAnsi="Arial"/>
          <w:sz w:val="14"/>
          <w:szCs w:val="14"/>
          <w:color w:val="auto"/>
        </w:rPr>
        <w:t xml:space="preserve">Icahn Enterprises L.P. Yes x No </w:t>
      </w:r>
      <w:r>
        <w:rPr>
          <w:rFonts w:ascii="Arial" w:cs="Arial" w:eastAsia="Arial" w:hAnsi="Arial"/>
          <w:sz w:val="18"/>
          <w:szCs w:val="18"/>
          <w:color w:val="auto"/>
        </w:rPr>
        <w:t>o</w:t>
      </w:r>
      <w:r>
        <w:rPr>
          <w:sz w:val="20"/>
          <w:szCs w:val="20"/>
          <w:color w:val="auto"/>
        </w:rPr>
        <w:tab/>
      </w:r>
      <w:r>
        <w:rPr>
          <w:rFonts w:ascii="Arial" w:cs="Arial" w:eastAsia="Arial" w:hAnsi="Arial"/>
          <w:sz w:val="13"/>
          <w:szCs w:val="13"/>
          <w:color w:val="auto"/>
        </w:rPr>
        <w:t>Icahn Enterprises Holdings L.P. Yes x No o</w:t>
      </w:r>
    </w:p>
    <w:p>
      <w:pPr>
        <w:spacing w:after="0" w:line="126" w:lineRule="exact"/>
        <w:rPr>
          <w:sz w:val="24"/>
          <w:szCs w:val="24"/>
          <w:color w:val="auto"/>
        </w:rPr>
      </w:pPr>
    </w:p>
    <w:p>
      <w:pPr>
        <w:ind w:right="200"/>
        <w:spacing w:after="0" w:line="31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48" w:lineRule="exact"/>
        <w:rPr>
          <w:sz w:val="24"/>
          <w:szCs w:val="24"/>
          <w:color w:val="auto"/>
        </w:rPr>
      </w:pPr>
    </w:p>
    <w:p>
      <w:pPr>
        <w:ind w:left="3840"/>
        <w:spacing w:after="0"/>
        <w:tabs>
          <w:tab w:leader="none" w:pos="6360" w:val="left"/>
        </w:tabs>
        <w:rPr>
          <w:sz w:val="20"/>
          <w:szCs w:val="20"/>
          <w:color w:val="auto"/>
        </w:rPr>
      </w:pPr>
      <w:r>
        <w:rPr>
          <w:rFonts w:ascii="Arial" w:cs="Arial" w:eastAsia="Arial" w:hAnsi="Arial"/>
          <w:sz w:val="14"/>
          <w:szCs w:val="14"/>
          <w:color w:val="auto"/>
        </w:rPr>
        <w:t xml:space="preserve">Icahn Enterprises L.P. Yes x No </w:t>
      </w:r>
      <w:r>
        <w:rPr>
          <w:rFonts w:ascii="Arial" w:cs="Arial" w:eastAsia="Arial" w:hAnsi="Arial"/>
          <w:sz w:val="18"/>
          <w:szCs w:val="18"/>
          <w:color w:val="auto"/>
        </w:rPr>
        <w:t>o</w:t>
      </w:r>
      <w:r>
        <w:rPr>
          <w:sz w:val="20"/>
          <w:szCs w:val="20"/>
          <w:color w:val="auto"/>
        </w:rPr>
        <w:tab/>
      </w:r>
      <w:r>
        <w:rPr>
          <w:rFonts w:ascii="Arial" w:cs="Arial" w:eastAsia="Arial" w:hAnsi="Arial"/>
          <w:sz w:val="13"/>
          <w:szCs w:val="13"/>
          <w:color w:val="auto"/>
        </w:rPr>
        <w:t>Icahn Enterprises Holdings L.P. Yes x No o</w:t>
      </w:r>
    </w:p>
    <w:p>
      <w:pPr>
        <w:spacing w:after="0" w:line="126"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66" w:lineRule="exact"/>
        <w:rPr>
          <w:sz w:val="24"/>
          <w:szCs w:val="24"/>
          <w:color w:val="auto"/>
        </w:rPr>
      </w:pPr>
    </w:p>
    <w:p>
      <w:pPr>
        <w:ind w:right="4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3780" w:type="dxa"/>
            <w:vAlign w:val="bottom"/>
            <w:gridSpan w:val="3"/>
          </w:tcPr>
          <w:p>
            <w:pPr>
              <w:spacing w:after="0"/>
              <w:rPr>
                <w:sz w:val="20"/>
                <w:szCs w:val="20"/>
                <w:color w:val="auto"/>
              </w:rPr>
            </w:pPr>
            <w:r>
              <w:rPr>
                <w:rFonts w:ascii="Arial" w:cs="Arial" w:eastAsia="Arial" w:hAnsi="Arial"/>
                <w:sz w:val="14"/>
                <w:szCs w:val="14"/>
                <w:color w:val="auto"/>
              </w:rPr>
              <w:t>Icahn Enterprises L.P.</w:t>
            </w:r>
          </w:p>
        </w:tc>
        <w:tc>
          <w:tcPr>
            <w:tcW w:w="1980" w:type="dxa"/>
            <w:vAlign w:val="bottom"/>
          </w:tcPr>
          <w:p>
            <w:pPr>
              <w:spacing w:after="0"/>
              <w:rPr>
                <w:sz w:val="14"/>
                <w:szCs w:val="14"/>
                <w:color w:val="auto"/>
              </w:rPr>
            </w:pPr>
          </w:p>
        </w:tc>
        <w:tc>
          <w:tcPr>
            <w:tcW w:w="3100" w:type="dxa"/>
            <w:vAlign w:val="bottom"/>
            <w:gridSpan w:val="3"/>
          </w:tcPr>
          <w:p>
            <w:pPr>
              <w:spacing w:after="0"/>
              <w:rPr>
                <w:sz w:val="20"/>
                <w:szCs w:val="20"/>
                <w:color w:val="auto"/>
              </w:rPr>
            </w:pPr>
            <w:r>
              <w:rPr>
                <w:rFonts w:ascii="Arial" w:cs="Arial" w:eastAsia="Arial" w:hAnsi="Arial"/>
                <w:sz w:val="14"/>
                <w:szCs w:val="14"/>
                <w:color w:val="auto"/>
              </w:rPr>
              <w:t>Icahn Enterprises Holdings L.P.</w:t>
            </w: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9"/>
        </w:trPr>
        <w:tc>
          <w:tcPr>
            <w:tcW w:w="2020" w:type="dxa"/>
            <w:vAlign w:val="bottom"/>
            <w:gridSpan w:val="2"/>
          </w:tcPr>
          <w:p>
            <w:pPr>
              <w:jc w:val="center"/>
              <w:ind w:right="488"/>
              <w:spacing w:after="0"/>
              <w:rPr>
                <w:sz w:val="20"/>
                <w:szCs w:val="20"/>
                <w:color w:val="auto"/>
              </w:rPr>
            </w:pPr>
            <w:r>
              <w:rPr>
                <w:rFonts w:ascii="Arial" w:cs="Arial" w:eastAsia="Arial" w:hAnsi="Arial"/>
                <w:sz w:val="14"/>
                <w:szCs w:val="14"/>
                <w:color w:val="auto"/>
                <w:w w:val="93"/>
              </w:rPr>
              <w:t>Large Accelerated Filer x</w:t>
            </w:r>
          </w:p>
        </w:tc>
        <w:tc>
          <w:tcPr>
            <w:tcW w:w="640" w:type="dxa"/>
            <w:vAlign w:val="bottom"/>
          </w:tcPr>
          <w:p>
            <w:pPr>
              <w:spacing w:after="0"/>
              <w:rPr>
                <w:sz w:val="24"/>
                <w:szCs w:val="24"/>
                <w:color w:val="auto"/>
              </w:rPr>
            </w:pPr>
          </w:p>
        </w:tc>
        <w:tc>
          <w:tcPr>
            <w:tcW w:w="2520" w:type="dxa"/>
            <w:vAlign w:val="bottom"/>
          </w:tcPr>
          <w:p>
            <w:pPr>
              <w:jc w:val="center"/>
              <w:ind w:right="848"/>
              <w:spacing w:after="0"/>
              <w:rPr>
                <w:sz w:val="20"/>
                <w:szCs w:val="20"/>
                <w:color w:val="auto"/>
              </w:rPr>
            </w:pPr>
            <w:r>
              <w:rPr>
                <w:rFonts w:ascii="Arial" w:cs="Arial" w:eastAsia="Arial" w:hAnsi="Arial"/>
                <w:sz w:val="14"/>
                <w:szCs w:val="14"/>
                <w:color w:val="auto"/>
                <w:w w:val="95"/>
              </w:rPr>
              <w:t>Accelerated Filer o</w:t>
            </w:r>
          </w:p>
        </w:tc>
        <w:tc>
          <w:tcPr>
            <w:tcW w:w="2820" w:type="dxa"/>
            <w:vAlign w:val="bottom"/>
            <w:gridSpan w:val="2"/>
          </w:tcPr>
          <w:p>
            <w:pPr>
              <w:jc w:val="center"/>
              <w:ind w:left="288"/>
              <w:spacing w:after="0"/>
              <w:rPr>
                <w:sz w:val="20"/>
                <w:szCs w:val="20"/>
                <w:color w:val="auto"/>
              </w:rPr>
            </w:pPr>
            <w:r>
              <w:rPr>
                <w:rFonts w:ascii="Arial" w:cs="Arial" w:eastAsia="Arial" w:hAnsi="Arial"/>
                <w:sz w:val="14"/>
                <w:szCs w:val="14"/>
                <w:color w:val="auto"/>
                <w:w w:val="93"/>
              </w:rPr>
              <w:t>Large Accelerated Filer o</w:t>
            </w:r>
          </w:p>
        </w:tc>
        <w:tc>
          <w:tcPr>
            <w:tcW w:w="2260" w:type="dxa"/>
            <w:vAlign w:val="bottom"/>
            <w:gridSpan w:val="2"/>
          </w:tcPr>
          <w:p>
            <w:pPr>
              <w:jc w:val="center"/>
              <w:ind w:left="448"/>
              <w:spacing w:after="0"/>
              <w:rPr>
                <w:sz w:val="20"/>
                <w:szCs w:val="20"/>
                <w:color w:val="auto"/>
              </w:rPr>
            </w:pPr>
            <w:r>
              <w:rPr>
                <w:rFonts w:ascii="Arial" w:cs="Arial" w:eastAsia="Arial" w:hAnsi="Arial"/>
                <w:sz w:val="14"/>
                <w:szCs w:val="14"/>
                <w:color w:val="auto"/>
                <w:w w:val="94"/>
              </w:rPr>
              <w:t>Accelerated Filer o</w:t>
            </w:r>
          </w:p>
        </w:tc>
      </w:tr>
      <w:tr>
        <w:trPr>
          <w:trHeight w:val="270"/>
        </w:trPr>
        <w:tc>
          <w:tcPr>
            <w:tcW w:w="2020" w:type="dxa"/>
            <w:vAlign w:val="bottom"/>
            <w:gridSpan w:val="2"/>
          </w:tcPr>
          <w:p>
            <w:pPr>
              <w:jc w:val="center"/>
              <w:ind w:right="508"/>
              <w:spacing w:after="0"/>
              <w:rPr>
                <w:sz w:val="20"/>
                <w:szCs w:val="20"/>
                <w:color w:val="auto"/>
              </w:rPr>
            </w:pPr>
            <w:r>
              <w:rPr>
                <w:rFonts w:ascii="Arial" w:cs="Arial" w:eastAsia="Arial" w:hAnsi="Arial"/>
                <w:sz w:val="14"/>
                <w:szCs w:val="14"/>
                <w:color w:val="auto"/>
                <w:w w:val="93"/>
              </w:rPr>
              <w:t>Non-accelerated Filer o</w:t>
            </w:r>
          </w:p>
        </w:tc>
        <w:tc>
          <w:tcPr>
            <w:tcW w:w="3160" w:type="dxa"/>
            <w:vAlign w:val="bottom"/>
            <w:gridSpan w:val="2"/>
          </w:tcPr>
          <w:p>
            <w:pPr>
              <w:jc w:val="center"/>
              <w:ind w:right="208"/>
              <w:spacing w:after="0"/>
              <w:rPr>
                <w:sz w:val="20"/>
                <w:szCs w:val="20"/>
                <w:color w:val="auto"/>
              </w:rPr>
            </w:pPr>
            <w:r>
              <w:rPr>
                <w:rFonts w:ascii="Arial" w:cs="Arial" w:eastAsia="Arial" w:hAnsi="Arial"/>
                <w:sz w:val="14"/>
                <w:szCs w:val="14"/>
                <w:color w:val="auto"/>
                <w:w w:val="93"/>
              </w:rPr>
              <w:t>Smaller Reporting Company o</w:t>
            </w:r>
          </w:p>
        </w:tc>
        <w:tc>
          <w:tcPr>
            <w:tcW w:w="2820" w:type="dxa"/>
            <w:vAlign w:val="bottom"/>
            <w:gridSpan w:val="2"/>
          </w:tcPr>
          <w:p>
            <w:pPr>
              <w:jc w:val="center"/>
              <w:ind w:left="288"/>
              <w:spacing w:after="0"/>
              <w:rPr>
                <w:sz w:val="20"/>
                <w:szCs w:val="20"/>
                <w:color w:val="auto"/>
              </w:rPr>
            </w:pPr>
            <w:r>
              <w:rPr>
                <w:rFonts w:ascii="Arial" w:cs="Arial" w:eastAsia="Arial" w:hAnsi="Arial"/>
                <w:sz w:val="14"/>
                <w:szCs w:val="14"/>
                <w:color w:val="auto"/>
                <w:w w:val="92"/>
              </w:rPr>
              <w:t>Non-accelerated Filer x</w:t>
            </w:r>
          </w:p>
        </w:tc>
        <w:tc>
          <w:tcPr>
            <w:tcW w:w="2260" w:type="dxa"/>
            <w:vAlign w:val="bottom"/>
            <w:gridSpan w:val="2"/>
          </w:tcPr>
          <w:p>
            <w:pPr>
              <w:jc w:val="center"/>
              <w:ind w:left="428"/>
              <w:spacing w:after="0"/>
              <w:rPr>
                <w:sz w:val="20"/>
                <w:szCs w:val="20"/>
                <w:color w:val="auto"/>
              </w:rPr>
            </w:pPr>
            <w:r>
              <w:rPr>
                <w:rFonts w:ascii="Arial" w:cs="Arial" w:eastAsia="Arial" w:hAnsi="Arial"/>
                <w:sz w:val="14"/>
                <w:szCs w:val="14"/>
                <w:color w:val="auto"/>
                <w:w w:val="93"/>
              </w:rPr>
              <w:t>Smaller Reporting Company o</w:t>
            </w:r>
          </w:p>
        </w:tc>
      </w:tr>
    </w:tbl>
    <w:p>
      <w:pPr>
        <w:spacing w:after="0" w:line="142" w:lineRule="exact"/>
        <w:rPr>
          <w:sz w:val="24"/>
          <w:szCs w:val="24"/>
          <w:color w:val="auto"/>
        </w:rPr>
      </w:pPr>
    </w:p>
    <w:p>
      <w:pPr>
        <w:ind w:right="14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13" w:lineRule="exact"/>
        <w:rPr>
          <w:sz w:val="24"/>
          <w:szCs w:val="24"/>
          <w:color w:val="auto"/>
        </w:rPr>
      </w:pPr>
    </w:p>
    <w:p>
      <w:pPr>
        <w:ind w:left="3920"/>
        <w:spacing w:after="0"/>
        <w:tabs>
          <w:tab w:leader="none" w:pos="6300" w:val="left"/>
        </w:tabs>
        <w:rPr>
          <w:sz w:val="20"/>
          <w:szCs w:val="20"/>
          <w:color w:val="auto"/>
        </w:rPr>
      </w:pPr>
      <w:r>
        <w:rPr>
          <w:rFonts w:ascii="Arial" w:cs="Arial" w:eastAsia="Arial" w:hAnsi="Arial"/>
          <w:sz w:val="14"/>
          <w:szCs w:val="14"/>
          <w:color w:val="auto"/>
        </w:rPr>
        <w:t xml:space="preserve">Icahn Enterprises L.P. Yes o No </w:t>
      </w:r>
      <w:r>
        <w:rPr>
          <w:rFonts w:ascii="Arial" w:cs="Arial" w:eastAsia="Arial" w:hAnsi="Arial"/>
          <w:sz w:val="18"/>
          <w:szCs w:val="18"/>
          <w:color w:val="auto"/>
        </w:rPr>
        <w:t>x</w:t>
      </w:r>
      <w:r>
        <w:rPr>
          <w:sz w:val="20"/>
          <w:szCs w:val="20"/>
          <w:color w:val="auto"/>
        </w:rPr>
        <w:tab/>
      </w:r>
      <w:r>
        <w:rPr>
          <w:rFonts w:ascii="Arial" w:cs="Arial" w:eastAsia="Arial" w:hAnsi="Arial"/>
          <w:sz w:val="13"/>
          <w:szCs w:val="13"/>
          <w:color w:val="auto"/>
        </w:rPr>
        <w:t>Icahn Enterprises Holdings L.P. Yes o No x</w:t>
      </w:r>
    </w:p>
    <w:p>
      <w:pPr>
        <w:spacing w:after="0" w:line="126"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The aggregate market value of Icahn Enterprises' depositary units held by non-affiliates of the registrant as of June 29, 2018, the last business day of the registrant's most recently completed second fiscal quarter, based upon the closing price of depositary units on the Nasdaq Global Select Market on such date was $1,123 million.</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2019, there were 191,374,372 of Icahn Enterprises' depositary units outstanding.</w:t>
      </w:r>
    </w:p>
    <w:p>
      <w:pPr>
        <w:sectPr>
          <w:pgSz w:w="11900" w:h="16838" w:orient="portrait"/>
          <w:cols w:equalWidth="0" w:num="1">
            <w:col w:w="11400"/>
          </w:cols>
          <w:pgMar w:left="240" w:top="229"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70"/>
              </w:rPr>
              <w:t>No</w:t>
            </w:r>
            <w:r>
              <w:rPr>
                <w:rFonts w:ascii="Arial" w:cs="Arial" w:eastAsia="Arial" w:hAnsi="Arial"/>
                <w:sz w:val="14"/>
                <w:szCs w:val="14"/>
                <w:color w:val="auto"/>
                <w:w w:val="70"/>
              </w:rPr>
              <w:t>.</w:t>
            </w: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Explanatory Note and Forward-Looking Statements</w:t>
              </w:r>
            </w:hyperlink>
          </w:p>
        </w:tc>
        <w:tc>
          <w:tcPr>
            <w:tcW w:w="580" w:type="dxa"/>
            <w:vAlign w:val="bottom"/>
            <w:tcBorders>
              <w:right w:val="single" w:sz="8" w:color="CCEEFF"/>
            </w:tcBorders>
            <w:gridSpan w:val="3"/>
            <w:shd w:val="clear" w:color="auto" w:fill="CCEEFF"/>
          </w:tcPr>
          <w:p>
            <w:pPr>
              <w:jc w:val="center"/>
              <w:ind w:left="231"/>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20" w:type="dxa"/>
            <w:vAlign w:val="bottom"/>
            <w:shd w:val="clear" w:color="auto" w:fill="CCEEFF"/>
          </w:tcPr>
          <w:p>
            <w:pPr>
              <w:spacing w:after="0"/>
              <w:rPr>
                <w:sz w:val="21"/>
                <w:szCs w:val="21"/>
                <w:color w:val="auto"/>
              </w:rPr>
            </w:pPr>
          </w:p>
        </w:tc>
      </w:tr>
      <w:tr>
        <w:trPr>
          <w:trHeight w:val="284"/>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w w:val="98"/>
              </w:rPr>
              <w:t>PART I</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gridSpan w:val="3"/>
          </w:tcPr>
          <w:p>
            <w:pPr>
              <w:jc w:val="center"/>
              <w:ind w:left="231"/>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Item 1A.</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580" w:type="dxa"/>
            <w:vAlign w:val="bottom"/>
            <w:tcBorders>
              <w:right w:val="single" w:sz="8" w:color="CCEEFF"/>
            </w:tcBorders>
            <w:gridSpan w:val="3"/>
            <w:shd w:val="clear" w:color="auto" w:fill="CCEEFF"/>
          </w:tcPr>
          <w:p>
            <w:pPr>
              <w:jc w:val="center"/>
              <w:ind w:left="231"/>
              <w:spacing w:after="0" w:line="20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9</w:t>
              </w:r>
            </w:hyperlink>
          </w:p>
        </w:tc>
        <w:tc>
          <w:tcPr>
            <w:tcW w:w="3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1B.</w:t>
              </w:r>
            </w:hyperlink>
          </w:p>
        </w:tc>
        <w:tc>
          <w:tcPr>
            <w:tcW w:w="620" w:type="dxa"/>
            <w:vAlign w:val="bottom"/>
          </w:tcPr>
          <w:p>
            <w:pPr>
              <w:spacing w:after="0"/>
              <w:rPr>
                <w:sz w:val="17"/>
                <w:szCs w:val="17"/>
                <w:color w:val="auto"/>
              </w:rPr>
            </w:pPr>
          </w:p>
        </w:tc>
        <w:tc>
          <w:tcPr>
            <w:tcW w:w="9200" w:type="dxa"/>
            <w:vAlign w:val="bottom"/>
            <w:gridSpan w:val="22"/>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Unresolved Staff Comments</w:t>
              </w:r>
            </w:hyperlink>
          </w:p>
        </w:tc>
        <w:tc>
          <w:tcPr>
            <w:tcW w:w="580" w:type="dxa"/>
            <w:vAlign w:val="bottom"/>
            <w:gridSpan w:val="3"/>
          </w:tcPr>
          <w:p>
            <w:pPr>
              <w:jc w:val="center"/>
              <w:ind w:left="231"/>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740" w:type="dxa"/>
            <w:vAlign w:val="bottom"/>
            <w:gridSpan w:val="3"/>
            <w:shd w:val="clear" w:color="auto" w:fill="CCEEFF"/>
          </w:tcPr>
          <w:p>
            <w:pPr>
              <w:spacing w:after="0"/>
              <w:rPr>
                <w:sz w:val="17"/>
                <w:szCs w:val="17"/>
                <w:color w:val="auto"/>
              </w:rPr>
            </w:pPr>
          </w:p>
        </w:tc>
        <w:tc>
          <w:tcPr>
            <w:tcW w:w="74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Properties</w:t>
              </w:r>
            </w:hyperlink>
          </w:p>
        </w:tc>
        <w:tc>
          <w:tcPr>
            <w:tcW w:w="8460" w:type="dxa"/>
            <w:vAlign w:val="bottom"/>
            <w:gridSpan w:val="20"/>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gridSpan w:val="2"/>
            <w:shd w:val="clear" w:color="auto" w:fill="CCEEFF"/>
          </w:tcPr>
          <w:p>
            <w:pPr>
              <w:jc w:val="center"/>
              <w:ind w:right="40"/>
              <w:spacing w:after="0"/>
              <w:rPr>
                <w:rFonts w:ascii="Arial" w:cs="Arial" w:eastAsia="Arial" w:hAnsi="Arial"/>
                <w:sz w:val="17"/>
                <w:szCs w:val="17"/>
                <w:color w:val="0000EE"/>
                <w:w w:val="73"/>
              </w:rPr>
            </w:pPr>
            <w:hyperlink w:anchor="page27">
              <w:r>
                <w:rPr>
                  <w:rFonts w:ascii="Arial" w:cs="Arial" w:eastAsia="Arial" w:hAnsi="Arial"/>
                  <w:sz w:val="17"/>
                  <w:szCs w:val="17"/>
                  <w:color w:val="0000EE"/>
                  <w:w w:val="73"/>
                </w:rPr>
                <w:t>25</w:t>
              </w:r>
            </w:hyperlink>
          </w:p>
        </w:tc>
        <w:tc>
          <w:tcPr>
            <w:tcW w:w="3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740" w:type="dxa"/>
            <w:vAlign w:val="bottom"/>
            <w:gridSpan w:val="3"/>
          </w:tcPr>
          <w:p>
            <w:pPr>
              <w:spacing w:after="0"/>
              <w:rPr>
                <w:sz w:val="17"/>
                <w:szCs w:val="17"/>
                <w:color w:val="auto"/>
              </w:rPr>
            </w:pPr>
          </w:p>
        </w:tc>
        <w:tc>
          <w:tcPr>
            <w:tcW w:w="9200" w:type="dxa"/>
            <w:vAlign w:val="bottom"/>
            <w:gridSpan w:val="22"/>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580" w:type="dxa"/>
            <w:vAlign w:val="bottom"/>
            <w:gridSpan w:val="3"/>
          </w:tcPr>
          <w:p>
            <w:pPr>
              <w:jc w:val="center"/>
              <w:ind w:left="231"/>
              <w:spacing w:after="0" w:line="202"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580" w:type="dxa"/>
            <w:vAlign w:val="bottom"/>
            <w:tcBorders>
              <w:right w:val="single" w:sz="8" w:color="CCEEFF"/>
            </w:tcBorders>
            <w:gridSpan w:val="3"/>
            <w:shd w:val="clear" w:color="auto" w:fill="CCEEFF"/>
          </w:tcPr>
          <w:p>
            <w:pPr>
              <w:jc w:val="center"/>
              <w:ind w:left="231"/>
              <w:spacing w:after="0" w:line="202"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320" w:type="dxa"/>
            <w:vAlign w:val="bottom"/>
            <w:shd w:val="clear" w:color="auto" w:fill="CCEEFF"/>
          </w:tcPr>
          <w:p>
            <w:pPr>
              <w:spacing w:after="0"/>
              <w:rPr>
                <w:sz w:val="21"/>
                <w:szCs w:val="21"/>
                <w:color w:val="auto"/>
              </w:rPr>
            </w:pPr>
          </w:p>
        </w:tc>
      </w:tr>
      <w:tr>
        <w:trPr>
          <w:trHeight w:val="297"/>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rPr>
              <w:t>PART II</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Security Holder Matters and Issuer Purchases of Equity Securities</w:t>
              </w:r>
            </w:hyperlink>
          </w:p>
        </w:tc>
        <w:tc>
          <w:tcPr>
            <w:tcW w:w="580" w:type="dxa"/>
            <w:vAlign w:val="bottom"/>
            <w:gridSpan w:val="3"/>
          </w:tcPr>
          <w:p>
            <w:pPr>
              <w:jc w:val="center"/>
              <w:ind w:left="231"/>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740" w:type="dxa"/>
            <w:vAlign w:val="bottom"/>
            <w:gridSpan w:val="3"/>
            <w:shd w:val="clear" w:color="auto" w:fill="CCEEFF"/>
          </w:tcPr>
          <w:p>
            <w:pPr>
              <w:spacing w:after="0"/>
              <w:rPr>
                <w:sz w:val="17"/>
                <w:szCs w:val="17"/>
                <w:color w:val="auto"/>
              </w:rPr>
            </w:pPr>
          </w:p>
        </w:tc>
        <w:tc>
          <w:tcPr>
            <w:tcW w:w="172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Selected Financial Data</w:t>
              </w:r>
            </w:hyperlink>
          </w:p>
        </w:tc>
        <w:tc>
          <w:tcPr>
            <w:tcW w:w="7480" w:type="dxa"/>
            <w:vAlign w:val="bottom"/>
            <w:gridSpan w:val="15"/>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gridSpan w:val="2"/>
            <w:shd w:val="clear" w:color="auto" w:fill="CCEEFF"/>
          </w:tcPr>
          <w:p>
            <w:pPr>
              <w:jc w:val="center"/>
              <w:ind w:right="40"/>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27</w:t>
              </w:r>
            </w:hyperlink>
          </w:p>
        </w:tc>
        <w:tc>
          <w:tcPr>
            <w:tcW w:w="3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7.</w:t>
              </w:r>
            </w:hyperlink>
          </w:p>
        </w:tc>
        <w:tc>
          <w:tcPr>
            <w:tcW w:w="740" w:type="dxa"/>
            <w:vAlign w:val="bottom"/>
            <w:gridSpan w:val="3"/>
          </w:tcPr>
          <w:p>
            <w:pPr>
              <w:spacing w:after="0"/>
              <w:rPr>
                <w:sz w:val="17"/>
                <w:szCs w:val="17"/>
                <w:color w:val="auto"/>
              </w:rPr>
            </w:pPr>
          </w:p>
        </w:tc>
        <w:tc>
          <w:tcPr>
            <w:tcW w:w="9200" w:type="dxa"/>
            <w:vAlign w:val="bottom"/>
            <w:gridSpan w:val="22"/>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3"/>
          </w:tcPr>
          <w:p>
            <w:pPr>
              <w:jc w:val="center"/>
              <w:ind w:left="231"/>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7A.</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580" w:type="dxa"/>
            <w:vAlign w:val="bottom"/>
            <w:tcBorders>
              <w:right w:val="single" w:sz="8" w:color="CCEEFF"/>
            </w:tcBorders>
            <w:gridSpan w:val="3"/>
            <w:shd w:val="clear" w:color="auto" w:fill="CCEEFF"/>
          </w:tcPr>
          <w:p>
            <w:pPr>
              <w:jc w:val="center"/>
              <w:ind w:left="231"/>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3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8.</w:t>
              </w:r>
            </w:hyperlink>
          </w:p>
        </w:tc>
        <w:tc>
          <w:tcPr>
            <w:tcW w:w="620" w:type="dxa"/>
            <w:vAlign w:val="bottom"/>
          </w:tcPr>
          <w:p>
            <w:pPr>
              <w:spacing w:after="0"/>
              <w:rPr>
                <w:sz w:val="17"/>
                <w:szCs w:val="17"/>
                <w:color w:val="auto"/>
              </w:rPr>
            </w:pPr>
          </w:p>
        </w:tc>
        <w:tc>
          <w:tcPr>
            <w:tcW w:w="4320" w:type="dxa"/>
            <w:vAlign w:val="bottom"/>
            <w:gridSpan w:val="16"/>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Financial Statements and Supplementary Data</w:t>
              </w:r>
            </w:hyperlink>
          </w:p>
        </w:tc>
        <w:tc>
          <w:tcPr>
            <w:tcW w:w="488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gridSpan w:val="2"/>
          </w:tcPr>
          <w:p>
            <w:pPr>
              <w:jc w:val="center"/>
              <w:ind w:right="40"/>
              <w:spacing w:after="0"/>
              <w:rPr>
                <w:rFonts w:ascii="Arial" w:cs="Arial" w:eastAsia="Arial" w:hAnsi="Arial"/>
                <w:sz w:val="17"/>
                <w:szCs w:val="17"/>
                <w:color w:val="0000EE"/>
                <w:w w:val="73"/>
              </w:rPr>
            </w:pPr>
            <w:hyperlink w:anchor="page52">
              <w:r>
                <w:rPr>
                  <w:rFonts w:ascii="Arial" w:cs="Arial" w:eastAsia="Arial" w:hAnsi="Arial"/>
                  <w:sz w:val="17"/>
                  <w:szCs w:val="17"/>
                  <w:color w:val="0000EE"/>
                  <w:w w:val="73"/>
                </w:rPr>
                <w:t>50</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Item 9.</w:t>
              </w:r>
            </w:hyperlink>
          </w:p>
        </w:tc>
        <w:tc>
          <w:tcPr>
            <w:tcW w:w="740" w:type="dxa"/>
            <w:vAlign w:val="bottom"/>
            <w:gridSpan w:val="3"/>
            <w:shd w:val="clear" w:color="auto" w:fill="CCEEFF"/>
          </w:tcPr>
          <w:p>
            <w:pPr>
              <w:spacing w:after="0"/>
              <w:rPr>
                <w:sz w:val="17"/>
                <w:szCs w:val="17"/>
                <w:color w:val="auto"/>
              </w:rPr>
            </w:pPr>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Changes In and Disagreements With Accountants on Accounting and Financial Disclosure</w:t>
              </w:r>
            </w:hyperlink>
          </w:p>
        </w:tc>
        <w:tc>
          <w:tcPr>
            <w:tcW w:w="580" w:type="dxa"/>
            <w:vAlign w:val="bottom"/>
            <w:tcBorders>
              <w:right w:val="single" w:sz="8" w:color="CCEEFF"/>
            </w:tcBorders>
            <w:gridSpan w:val="3"/>
            <w:shd w:val="clear" w:color="auto" w:fill="CCEEFF"/>
          </w:tcPr>
          <w:p>
            <w:pPr>
              <w:jc w:val="center"/>
              <w:ind w:left="231"/>
              <w:spacing w:after="0" w:line="202"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111</w:t>
              </w:r>
            </w:hyperlink>
          </w:p>
        </w:tc>
        <w:tc>
          <w:tcPr>
            <w:tcW w:w="3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Item 9A.</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Controls and Procedures</w:t>
              </w:r>
            </w:hyperlink>
          </w:p>
        </w:tc>
        <w:tc>
          <w:tcPr>
            <w:tcW w:w="580" w:type="dxa"/>
            <w:vAlign w:val="bottom"/>
            <w:gridSpan w:val="3"/>
          </w:tcPr>
          <w:p>
            <w:pPr>
              <w:jc w:val="center"/>
              <w:ind w:left="231"/>
              <w:spacing w:after="0" w:line="202"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111</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118">
              <w:r>
                <w:rPr>
                  <w:rFonts w:ascii="Arial" w:cs="Arial" w:eastAsia="Arial" w:hAnsi="Arial"/>
                  <w:sz w:val="18"/>
                  <w:szCs w:val="18"/>
                  <w:color w:val="0000EE"/>
                </w:rPr>
                <w:t>Item 9B.</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118">
              <w:r>
                <w:rPr>
                  <w:rFonts w:ascii="Arial" w:cs="Arial" w:eastAsia="Arial" w:hAnsi="Arial"/>
                  <w:sz w:val="18"/>
                  <w:szCs w:val="18"/>
                  <w:color w:val="0000EE"/>
                </w:rPr>
                <w:t>Other Information</w:t>
              </w:r>
            </w:hyperlink>
          </w:p>
        </w:tc>
        <w:tc>
          <w:tcPr>
            <w:tcW w:w="580" w:type="dxa"/>
            <w:vAlign w:val="bottom"/>
            <w:tcBorders>
              <w:right w:val="single" w:sz="8" w:color="CCEEFF"/>
            </w:tcBorders>
            <w:gridSpan w:val="3"/>
            <w:shd w:val="clear" w:color="auto" w:fill="CCEEFF"/>
          </w:tcPr>
          <w:p>
            <w:pPr>
              <w:jc w:val="center"/>
              <w:ind w:left="231"/>
              <w:spacing w:after="0" w:line="202" w:lineRule="exact"/>
              <w:rPr>
                <w:rFonts w:ascii="Arial" w:cs="Arial" w:eastAsia="Arial" w:hAnsi="Arial"/>
                <w:sz w:val="18"/>
                <w:szCs w:val="18"/>
                <w:color w:val="0000EE"/>
                <w:w w:val="86"/>
              </w:rPr>
            </w:pPr>
            <w:hyperlink w:anchor="page118">
              <w:r>
                <w:rPr>
                  <w:rFonts w:ascii="Arial" w:cs="Arial" w:eastAsia="Arial" w:hAnsi="Arial"/>
                  <w:sz w:val="18"/>
                  <w:szCs w:val="18"/>
                  <w:color w:val="0000EE"/>
                  <w:w w:val="86"/>
                </w:rPr>
                <w:t>113</w:t>
              </w:r>
            </w:hyperlink>
          </w:p>
        </w:tc>
        <w:tc>
          <w:tcPr>
            <w:tcW w:w="320" w:type="dxa"/>
            <w:vAlign w:val="bottom"/>
            <w:shd w:val="clear" w:color="auto" w:fill="CCEEFF"/>
          </w:tcPr>
          <w:p>
            <w:pPr>
              <w:spacing w:after="0"/>
              <w:rPr>
                <w:sz w:val="21"/>
                <w:szCs w:val="21"/>
                <w:color w:val="auto"/>
              </w:rPr>
            </w:pPr>
          </w:p>
        </w:tc>
      </w:tr>
      <w:tr>
        <w:trPr>
          <w:trHeight w:val="297"/>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119">
              <w:r>
                <w:rPr>
                  <w:rFonts w:ascii="Arial" w:cs="Arial" w:eastAsia="Arial" w:hAnsi="Arial"/>
                  <w:sz w:val="18"/>
                  <w:szCs w:val="18"/>
                  <w:color w:val="0000EE"/>
                </w:rPr>
                <w:t>Item 10.</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119">
              <w:r>
                <w:rPr>
                  <w:rFonts w:ascii="Arial" w:cs="Arial" w:eastAsia="Arial" w:hAnsi="Arial"/>
                  <w:sz w:val="18"/>
                  <w:szCs w:val="18"/>
                  <w:color w:val="0000EE"/>
                </w:rPr>
                <w:t>Directors, Executive Officers and Corporate Governance</w:t>
              </w:r>
            </w:hyperlink>
          </w:p>
        </w:tc>
        <w:tc>
          <w:tcPr>
            <w:tcW w:w="580" w:type="dxa"/>
            <w:vAlign w:val="bottom"/>
            <w:gridSpan w:val="3"/>
          </w:tcPr>
          <w:p>
            <w:pPr>
              <w:jc w:val="center"/>
              <w:ind w:left="231"/>
              <w:spacing w:after="0" w:line="202" w:lineRule="exact"/>
              <w:rPr>
                <w:rFonts w:ascii="Arial" w:cs="Arial" w:eastAsia="Arial" w:hAnsi="Arial"/>
                <w:sz w:val="18"/>
                <w:szCs w:val="18"/>
                <w:color w:val="0000EE"/>
                <w:w w:val="86"/>
              </w:rPr>
            </w:pPr>
            <w:hyperlink w:anchor="page119">
              <w:r>
                <w:rPr>
                  <w:rFonts w:ascii="Arial" w:cs="Arial" w:eastAsia="Arial" w:hAnsi="Arial"/>
                  <w:sz w:val="18"/>
                  <w:szCs w:val="18"/>
                  <w:color w:val="0000EE"/>
                  <w:w w:val="86"/>
                </w:rPr>
                <w:t>114</w:t>
              </w:r>
            </w:hyperlink>
          </w:p>
        </w:tc>
        <w:tc>
          <w:tcPr>
            <w:tcW w:w="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Item 11.</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Executive Compensation</w:t>
              </w:r>
            </w:hyperlink>
          </w:p>
        </w:tc>
        <w:tc>
          <w:tcPr>
            <w:tcW w:w="580" w:type="dxa"/>
            <w:vAlign w:val="bottom"/>
            <w:tcBorders>
              <w:right w:val="single" w:sz="8" w:color="CCEEFF"/>
            </w:tcBorders>
            <w:gridSpan w:val="3"/>
            <w:shd w:val="clear" w:color="auto" w:fill="CCEEFF"/>
          </w:tcPr>
          <w:p>
            <w:pPr>
              <w:jc w:val="center"/>
              <w:ind w:left="231"/>
              <w:spacing w:after="0" w:line="202" w:lineRule="exact"/>
              <w:rPr>
                <w:rFonts w:ascii="Arial" w:cs="Arial" w:eastAsia="Arial" w:hAnsi="Arial"/>
                <w:sz w:val="18"/>
                <w:szCs w:val="18"/>
                <w:color w:val="0000EE"/>
                <w:w w:val="86"/>
              </w:rPr>
            </w:pPr>
            <w:hyperlink w:anchor="page123">
              <w:r>
                <w:rPr>
                  <w:rFonts w:ascii="Arial" w:cs="Arial" w:eastAsia="Arial" w:hAnsi="Arial"/>
                  <w:sz w:val="18"/>
                  <w:szCs w:val="18"/>
                  <w:color w:val="0000EE"/>
                  <w:w w:val="86"/>
                </w:rPr>
                <w:t>118</w:t>
              </w:r>
            </w:hyperlink>
          </w:p>
        </w:tc>
        <w:tc>
          <w:tcPr>
            <w:tcW w:w="3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128">
              <w:r>
                <w:rPr>
                  <w:rFonts w:ascii="Arial" w:cs="Arial" w:eastAsia="Arial" w:hAnsi="Arial"/>
                  <w:sz w:val="18"/>
                  <w:szCs w:val="18"/>
                  <w:color w:val="0000EE"/>
                </w:rPr>
                <w:t>Item 12.</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128">
              <w:r>
                <w:rPr>
                  <w:rFonts w:ascii="Arial" w:cs="Arial" w:eastAsia="Arial" w:hAnsi="Arial"/>
                  <w:sz w:val="18"/>
                  <w:szCs w:val="18"/>
                  <w:color w:val="0000EE"/>
                </w:rPr>
                <w:t>Security Ownership of Certain Beneficial Owners and Management and Related Security Holder Matters</w:t>
              </w:r>
            </w:hyperlink>
          </w:p>
        </w:tc>
        <w:tc>
          <w:tcPr>
            <w:tcW w:w="900" w:type="dxa"/>
            <w:vAlign w:val="bottom"/>
            <w:gridSpan w:val="4"/>
          </w:tcPr>
          <w:p>
            <w:pPr>
              <w:jc w:val="center"/>
              <w:spacing w:after="0" w:line="202"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123</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130">
              <w:r>
                <w:rPr>
                  <w:rFonts w:ascii="Arial" w:cs="Arial" w:eastAsia="Arial" w:hAnsi="Arial"/>
                  <w:sz w:val="18"/>
                  <w:szCs w:val="18"/>
                  <w:color w:val="0000EE"/>
                </w:rPr>
                <w:t>Item 13.</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130">
              <w:r>
                <w:rPr>
                  <w:rFonts w:ascii="Arial" w:cs="Arial" w:eastAsia="Arial" w:hAnsi="Arial"/>
                  <w:sz w:val="18"/>
                  <w:szCs w:val="18"/>
                  <w:color w:val="0000EE"/>
                </w:rPr>
                <w:t>Certain Relationships and Related Transactions, and Director Independence</w:t>
              </w:r>
            </w:hyperlink>
          </w:p>
        </w:tc>
        <w:tc>
          <w:tcPr>
            <w:tcW w:w="900" w:type="dxa"/>
            <w:vAlign w:val="bottom"/>
            <w:gridSpan w:val="4"/>
            <w:shd w:val="clear" w:color="auto" w:fill="CCEEFF"/>
          </w:tcPr>
          <w:p>
            <w:pPr>
              <w:jc w:val="center"/>
              <w:spacing w:after="0" w:line="202" w:lineRule="exact"/>
              <w:rPr>
                <w:rFonts w:ascii="Arial" w:cs="Arial" w:eastAsia="Arial" w:hAnsi="Arial"/>
                <w:sz w:val="18"/>
                <w:szCs w:val="18"/>
                <w:color w:val="0000EE"/>
                <w:w w:val="86"/>
              </w:rPr>
            </w:pPr>
            <w:hyperlink w:anchor="page130">
              <w:r>
                <w:rPr>
                  <w:rFonts w:ascii="Arial" w:cs="Arial" w:eastAsia="Arial" w:hAnsi="Arial"/>
                  <w:sz w:val="18"/>
                  <w:szCs w:val="18"/>
                  <w:color w:val="0000EE"/>
                  <w:w w:val="86"/>
                </w:rPr>
                <w:t>125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133">
              <w:r>
                <w:rPr>
                  <w:rFonts w:ascii="Arial" w:cs="Arial" w:eastAsia="Arial" w:hAnsi="Arial"/>
                  <w:sz w:val="18"/>
                  <w:szCs w:val="18"/>
                  <w:color w:val="0000EE"/>
                </w:rPr>
                <w:t>Item 14.</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133">
              <w:r>
                <w:rPr>
                  <w:rFonts w:ascii="Arial" w:cs="Arial" w:eastAsia="Arial" w:hAnsi="Arial"/>
                  <w:sz w:val="18"/>
                  <w:szCs w:val="18"/>
                  <w:color w:val="0000EE"/>
                </w:rPr>
                <w:t>Principal Accountant Fees and Services</w:t>
              </w:r>
            </w:hyperlink>
          </w:p>
        </w:tc>
        <w:tc>
          <w:tcPr>
            <w:tcW w:w="900" w:type="dxa"/>
            <w:vAlign w:val="bottom"/>
            <w:gridSpan w:val="4"/>
          </w:tcPr>
          <w:p>
            <w:pPr>
              <w:jc w:val="center"/>
              <w:spacing w:after="0" w:line="202" w:lineRule="exact"/>
              <w:rPr>
                <w:rFonts w:ascii="Arial" w:cs="Arial" w:eastAsia="Arial" w:hAnsi="Arial"/>
                <w:sz w:val="18"/>
                <w:szCs w:val="18"/>
                <w:color w:val="0000EE"/>
                <w:w w:val="86"/>
              </w:rPr>
            </w:pPr>
            <w:hyperlink w:anchor="page133">
              <w:r>
                <w:rPr>
                  <w:rFonts w:ascii="Arial" w:cs="Arial" w:eastAsia="Arial" w:hAnsi="Arial"/>
                  <w:sz w:val="18"/>
                  <w:szCs w:val="18"/>
                  <w:color w:val="0000EE"/>
                  <w:w w:val="86"/>
                </w:rPr>
                <w:t>128</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97"/>
        </w:trPr>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10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w w:val="98"/>
              </w:rPr>
              <w:t>PART IV</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Item 15.</w:t>
              </w:r>
            </w:hyperlink>
          </w:p>
        </w:tc>
        <w:tc>
          <w:tcPr>
            <w:tcW w:w="9200" w:type="dxa"/>
            <w:vAlign w:val="bottom"/>
            <w:gridSpan w:val="22"/>
            <w:shd w:val="clear" w:color="auto" w:fill="CCEEFF"/>
          </w:tcPr>
          <w:p>
            <w:pPr>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Exhibits and Financial Statement Schedules</w:t>
              </w:r>
            </w:hyperlink>
          </w:p>
        </w:tc>
        <w:tc>
          <w:tcPr>
            <w:tcW w:w="900" w:type="dxa"/>
            <w:vAlign w:val="bottom"/>
            <w:gridSpan w:val="4"/>
            <w:shd w:val="clear" w:color="auto" w:fill="CCEEFF"/>
          </w:tcPr>
          <w:p>
            <w:pPr>
              <w:jc w:val="center"/>
              <w:spacing w:after="0" w:line="202" w:lineRule="exact"/>
              <w:rPr>
                <w:rFonts w:ascii="Arial" w:cs="Arial" w:eastAsia="Arial" w:hAnsi="Arial"/>
                <w:sz w:val="18"/>
                <w:szCs w:val="18"/>
                <w:color w:val="0000EE"/>
                <w:w w:val="86"/>
              </w:rPr>
            </w:pPr>
            <w:hyperlink w:anchor="page134">
              <w:r>
                <w:rPr>
                  <w:rFonts w:ascii="Arial" w:cs="Arial" w:eastAsia="Arial" w:hAnsi="Arial"/>
                  <w:sz w:val="18"/>
                  <w:szCs w:val="18"/>
                  <w:color w:val="0000EE"/>
                  <w:w w:val="86"/>
                </w:rPr>
                <w:t>129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60" w:type="dxa"/>
            <w:vAlign w:val="bottom"/>
            <w:gridSpan w:val="4"/>
          </w:tcPr>
          <w:p>
            <w:pPr>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Item 16.</w:t>
              </w:r>
            </w:hyperlink>
          </w:p>
        </w:tc>
        <w:tc>
          <w:tcPr>
            <w:tcW w:w="9200" w:type="dxa"/>
            <w:vAlign w:val="bottom"/>
            <w:gridSpan w:val="22"/>
          </w:tcPr>
          <w:p>
            <w:pPr>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Form 10-K Summary</w:t>
              </w:r>
            </w:hyperlink>
          </w:p>
        </w:tc>
        <w:tc>
          <w:tcPr>
            <w:tcW w:w="900" w:type="dxa"/>
            <w:vAlign w:val="bottom"/>
            <w:gridSpan w:val="4"/>
          </w:tcPr>
          <w:p>
            <w:pPr>
              <w:jc w:val="center"/>
              <w:spacing w:after="0" w:line="202" w:lineRule="exact"/>
              <w:rPr>
                <w:rFonts w:ascii="Arial" w:cs="Arial" w:eastAsia="Arial" w:hAnsi="Arial"/>
                <w:sz w:val="18"/>
                <w:szCs w:val="18"/>
                <w:color w:val="0000EE"/>
                <w:w w:val="86"/>
              </w:rPr>
            </w:pPr>
            <w:hyperlink w:anchor="page134">
              <w:r>
                <w:rPr>
                  <w:rFonts w:ascii="Arial" w:cs="Arial" w:eastAsia="Arial" w:hAnsi="Arial"/>
                  <w:sz w:val="18"/>
                  <w:szCs w:val="18"/>
                  <w:color w:val="0000EE"/>
                  <w:w w:val="86"/>
                </w:rPr>
                <w:t>129</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60" w:top="36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This Annual Report on Form 10-K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74"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Forward-looking statements include certain statements made under the caption, “Management’s Discussion and Analysis of Financial Condition and Results of Operations,” under Item 7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risks and uncertainties may include the risks and uncertainties described elsewhere in this Report, including under the caption "Risk Factors," under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4"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indirectly owned and controlled by Mr. Carl C. Icahn, owns a 1% general partner interest in each of Icahn Enterprises and Icahn Enterprises Holdings as of December 31, 2018.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Mr. Icahn and his affiliates owned approximately 91.7% of Icahn Enterprises' outstanding depositary units as of February 28, 2019.</w:t>
      </w:r>
    </w:p>
    <w:p>
      <w:pPr>
        <w:spacing w:after="0" w:line="5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80" w:lineRule="exact"/>
        <w:rPr>
          <w:sz w:val="20"/>
          <w:szCs w:val="20"/>
          <w:color w:val="auto"/>
        </w:rPr>
      </w:pPr>
    </w:p>
    <w:p>
      <w:pPr>
        <w:jc w:val="both"/>
        <w:ind w:right="180" w:firstLine="378"/>
        <w:spacing w:after="0" w:line="264" w:lineRule="auto"/>
        <w:rPr>
          <w:sz w:val="20"/>
          <w:szCs w:val="20"/>
          <w:color w:val="auto"/>
        </w:rPr>
      </w:pPr>
      <w:r>
        <w:rPr>
          <w:rFonts w:ascii="Arial" w:cs="Arial" w:eastAsia="Arial" w:hAnsi="Arial"/>
          <w:sz w:val="18"/>
          <w:szCs w:val="18"/>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family members.</w:t>
      </w:r>
    </w:p>
    <w:p>
      <w:pPr>
        <w:spacing w:after="0" w:line="73" w:lineRule="exact"/>
        <w:rPr>
          <w:sz w:val="20"/>
          <w:szCs w:val="20"/>
          <w:color w:val="auto"/>
        </w:rPr>
      </w:pPr>
    </w:p>
    <w:p>
      <w:pPr>
        <w:ind w:right="540" w:firstLine="378"/>
        <w:spacing w:after="0" w:line="308" w:lineRule="auto"/>
        <w:rPr>
          <w:sz w:val="20"/>
          <w:szCs w:val="20"/>
          <w:color w:val="auto"/>
        </w:rPr>
      </w:pPr>
      <w:r>
        <w:rPr>
          <w:rFonts w:ascii="Arial" w:cs="Arial" w:eastAsia="Arial" w:hAnsi="Arial"/>
          <w:sz w:val="17"/>
          <w:szCs w:val="17"/>
          <w:color w:val="231F20"/>
        </w:rPr>
        <w:t>We are a diversified holding company owning subsidiaries engaged in the following operating businesses: Investment, Energy, Automotive, Food Packaging, Metals, Real Estate, Home Fashion, Mining and, prior to September 2018, Railcar, as discussed further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and Core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Icahn Strategy</w:t>
      </w:r>
    </w:p>
    <w:p>
      <w:pPr>
        <w:spacing w:after="0" w:line="117" w:lineRule="exact"/>
        <w:rPr>
          <w:sz w:val="20"/>
          <w:szCs w:val="20"/>
          <w:color w:val="auto"/>
        </w:rPr>
      </w:pPr>
    </w:p>
    <w:p>
      <w:pPr>
        <w:ind w:right="120" w:firstLine="378"/>
        <w:spacing w:after="0" w:line="273" w:lineRule="auto"/>
        <w:rPr>
          <w:sz w:val="20"/>
          <w:szCs w:val="20"/>
          <w:color w:val="auto"/>
        </w:rPr>
      </w:pPr>
      <w:r>
        <w:rPr>
          <w:rFonts w:ascii="Arial" w:cs="Arial" w:eastAsia="Arial" w:hAnsi="Arial"/>
          <w:sz w:val="17"/>
          <w:szCs w:val="17"/>
          <w:color w:val="auto"/>
        </w:rPr>
        <w:t xml:space="preserve">Across </w:t>
      </w:r>
      <w:r>
        <w:rPr>
          <w:rFonts w:ascii="Arial" w:cs="Arial" w:eastAsia="Arial" w:hAnsi="Arial"/>
          <w:sz w:val="17"/>
          <w:szCs w:val="17"/>
          <w:color w:val="231F20"/>
        </w:rPr>
        <w:t>all of our businesses, our success is based on a simple formula: we seek to find undervalued companies in the Graham &amp; Dodd tradition, a</w:t>
      </w:r>
      <w:r>
        <w:rPr>
          <w:rFonts w:ascii="Arial" w:cs="Arial" w:eastAsia="Arial" w:hAnsi="Arial"/>
          <w:sz w:val="17"/>
          <w:szCs w:val="17"/>
          <w:color w:val="auto"/>
        </w:rPr>
        <w:t xml:space="preserve"> </w:t>
      </w:r>
      <w:r>
        <w:rPr>
          <w:rFonts w:ascii="Arial" w:cs="Arial" w:eastAsia="Arial" w:hAnsi="Arial"/>
          <w:sz w:val="17"/>
          <w:szCs w:val="17"/>
          <w:color w:val="231F20"/>
        </w:rPr>
        <w:t>methodology for valuing stocks that primarily looks for deeply depressed prices. However, while the typical Graham &amp; Dodd value investor purchases undervalued securities and waits for results, we often become actively involved in the companies we target. That activity may involve a broad range of approaches, from influencing the management of a target to take steps to improve shareholder value, to acquiring a controlling interest or outright ownership of the target company in order to implement changes that we believe are required to improve its business, and then operating and expanding that business. This activism has typically brought about very strong returns over the years.</w:t>
      </w:r>
    </w:p>
    <w:p>
      <w:pPr>
        <w:spacing w:after="0" w:line="70" w:lineRule="exact"/>
        <w:rPr>
          <w:sz w:val="20"/>
          <w:szCs w:val="20"/>
          <w:color w:val="auto"/>
        </w:rPr>
      </w:pPr>
    </w:p>
    <w:p>
      <w:pPr>
        <w:ind w:right="240" w:firstLine="378"/>
        <w:spacing w:after="0" w:line="259" w:lineRule="auto"/>
        <w:rPr>
          <w:sz w:val="20"/>
          <w:szCs w:val="20"/>
          <w:color w:val="auto"/>
        </w:rPr>
      </w:pPr>
      <w:r>
        <w:rPr>
          <w:rFonts w:ascii="Arial" w:cs="Arial" w:eastAsia="Arial" w:hAnsi="Arial"/>
          <w:sz w:val="18"/>
          <w:szCs w:val="18"/>
          <w:color w:val="auto"/>
        </w:rPr>
        <w:t>Today</w:t>
      </w:r>
      <w:r>
        <w:rPr>
          <w:rFonts w:ascii="Arial" w:cs="Arial" w:eastAsia="Arial" w:hAnsi="Arial"/>
          <w:sz w:val="18"/>
          <w:szCs w:val="18"/>
          <w:color w:val="231F20"/>
        </w:rPr>
        <w:t>, we are a diversified holding company owning subsidiaries engaged in eight diversified reporting segments. As of</w:t>
      </w:r>
      <w:r>
        <w:rPr>
          <w:rFonts w:ascii="Arial" w:cs="Arial" w:eastAsia="Arial" w:hAnsi="Arial"/>
          <w:sz w:val="18"/>
          <w:szCs w:val="18"/>
          <w:color w:val="auto"/>
        </w:rPr>
        <w:t xml:space="preserve"> December 31, 2018</w:t>
      </w:r>
      <w:r>
        <w:rPr>
          <w:rFonts w:ascii="Arial" w:cs="Arial" w:eastAsia="Arial" w:hAnsi="Arial"/>
          <w:sz w:val="18"/>
          <w:szCs w:val="18"/>
          <w:color w:val="231F20"/>
        </w:rPr>
        <w:t>, through</w:t>
      </w:r>
      <w:r>
        <w:rPr>
          <w:rFonts w:ascii="Arial" w:cs="Arial" w:eastAsia="Arial" w:hAnsi="Arial"/>
          <w:sz w:val="18"/>
          <w:szCs w:val="18"/>
          <w:color w:val="auto"/>
        </w:rPr>
        <w:t xml:space="preserve"> </w:t>
      </w:r>
      <w:r>
        <w:rPr>
          <w:rFonts w:ascii="Arial" w:cs="Arial" w:eastAsia="Arial" w:hAnsi="Arial"/>
          <w:sz w:val="18"/>
          <w:szCs w:val="18"/>
          <w:color w:val="231F20"/>
        </w:rPr>
        <w:t>our Investment segment, we have significant positions in various investments, which include Herbalife Ltd. (HLF), Cheniere Energy Inc. (LNG), Newell Brands, Inc. (NWL), Dell Technologies Inc. Class C (DELL), Diamondback Energy, Inc. (FANG), Xerox Corporation (XRX), Navistar International Corp. (NAV), Hertz Global Holdings, Inc. (HTZ) and Conduent Incorporated (CNDT).</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 xml:space="preserve">Several </w:t>
      </w:r>
      <w:r>
        <w:rPr>
          <w:rFonts w:ascii="Arial" w:cs="Arial" w:eastAsia="Arial" w:hAnsi="Arial"/>
          <w:sz w:val="18"/>
          <w:szCs w:val="18"/>
          <w:color w:val="231F20"/>
        </w:rPr>
        <w:t>of our operating businesses started out as investment positions in debt or equity securities, held either directly by us or Mr. Icahn. Those</w:t>
      </w:r>
      <w:r>
        <w:rPr>
          <w:rFonts w:ascii="Arial" w:cs="Arial" w:eastAsia="Arial" w:hAnsi="Arial"/>
          <w:sz w:val="18"/>
          <w:szCs w:val="18"/>
          <w:color w:val="auto"/>
        </w:rPr>
        <w:t xml:space="preserve"> </w:t>
      </w:r>
      <w:r>
        <w:rPr>
          <w:rFonts w:ascii="Arial" w:cs="Arial" w:eastAsia="Arial" w:hAnsi="Arial"/>
          <w:sz w:val="18"/>
          <w:szCs w:val="18"/>
          <w:color w:val="231F20"/>
        </w:rPr>
        <w:t>positions ultimately resulted in control or complete ownership of the target company. For example, in 2012, we acquired a controlling interest in CVR Energy, Inc. (‘‘CVR Energy’’), which started out as a position in our Investment segment and is now an operating subsidiary that comprises our Energy segment. The acquisition of CVR Energy, like our other operating subsidiaries, reflects our opportunistic approach to value creation, through which returns may be obtained by, among other things, promoting change through minority positions at targeted companies in our Investment segment or by acquiring control of those target companies that we believe we could run more profitably ourselves.</w:t>
      </w:r>
    </w:p>
    <w:p>
      <w:pPr>
        <w:spacing w:after="0" w:line="85" w:lineRule="exact"/>
        <w:rPr>
          <w:sz w:val="20"/>
          <w:szCs w:val="20"/>
          <w:color w:val="auto"/>
        </w:rPr>
      </w:pPr>
    </w:p>
    <w:p>
      <w:pPr>
        <w:ind w:right="840" w:firstLine="378"/>
        <w:spacing w:after="0" w:line="277" w:lineRule="auto"/>
        <w:rPr>
          <w:sz w:val="20"/>
          <w:szCs w:val="20"/>
          <w:color w:val="auto"/>
        </w:rPr>
      </w:pPr>
      <w:r>
        <w:rPr>
          <w:rFonts w:ascii="Arial" w:cs="Arial" w:eastAsia="Arial" w:hAnsi="Arial"/>
          <w:sz w:val="18"/>
          <w:szCs w:val="18"/>
          <w:color w:val="auto"/>
        </w:rPr>
        <w:t xml:space="preserve">During </w:t>
      </w:r>
      <w:r>
        <w:rPr>
          <w:rFonts w:ascii="Arial" w:cs="Arial" w:eastAsia="Arial" w:hAnsi="Arial"/>
          <w:sz w:val="18"/>
          <w:szCs w:val="18"/>
          <w:color w:val="231F20"/>
        </w:rPr>
        <w:t>the next several years, we see a favorable opportunity to follow an activist strategy that centers on the purchase of target stock and the</w:t>
      </w:r>
      <w:r>
        <w:rPr>
          <w:rFonts w:ascii="Arial" w:cs="Arial" w:eastAsia="Arial" w:hAnsi="Arial"/>
          <w:sz w:val="18"/>
          <w:szCs w:val="18"/>
          <w:color w:val="auto"/>
        </w:rPr>
        <w:t xml:space="preserve"> </w:t>
      </w:r>
      <w:r>
        <w:rPr>
          <w:rFonts w:ascii="Arial" w:cs="Arial" w:eastAsia="Arial" w:hAnsi="Arial"/>
          <w:sz w:val="18"/>
          <w:szCs w:val="18"/>
          <w:color w:val="231F20"/>
        </w:rPr>
        <w:t>subsequent removal of any barriers that might interfere with a friendly purchase offer from a strong buyer.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ind w:right="80"/>
        <w:spacing w:after="0" w:line="259" w:lineRule="auto"/>
        <w:rPr>
          <w:sz w:val="20"/>
          <w:szCs w:val="20"/>
          <w:color w:val="auto"/>
        </w:rPr>
      </w:pPr>
      <w:r>
        <w:rPr>
          <w:rFonts w:ascii="Arial" w:cs="Arial" w:eastAsia="Arial" w:hAnsi="Arial"/>
          <w:sz w:val="18"/>
          <w:szCs w:val="18"/>
          <w:color w:val="231F20"/>
        </w:rPr>
        <w:t>Alternatively, in appropriate circumstances, we or our subsidiaries may become the buyer of target companies, adding them to our portfolio of operating subsidiaries, thereby expanding our operations through such opportunistic acquisitions. We believe that the companies that we target for our activist activities are undervalued for many reasons, often including inept management. Unfortunately for the individual investor, in particular, and the economy, in general, many poor management teams are often unaccountable and very difficult to remove.</w:t>
      </w:r>
    </w:p>
    <w:p>
      <w:pPr>
        <w:spacing w:after="0" w:line="79"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Unlike the individual investor, we have the wherewithal to purchase companies that we feel we can operate more effectively than incumbent management. In addition, through our Investment segment, we are in a position to pursue our activist strategy by purchasing stock or debt positions and trying to promulgate change through a variety of activist approaches, ranging from speaking and negotiating with Boards of Directors and Chief Executive Officers ("CEO") to proxy fights, tender offers and acquiring control. We work diligently to enhance value for all shareholders and we believe that the best way to do this is to make underperforming management teams and Boards of Directors accountable or to replace them.</w:t>
      </w:r>
    </w:p>
    <w:p>
      <w:pPr>
        <w:spacing w:after="0" w:line="64"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The Chairman of the Board of Directors of our general partner, Carl C. Icahn, has been an activist investor since 1980. Mr. Icahn believes that the current environment continues to be conducive to activism. Many major companies have substantial amounts of cash. We believe that they are hoarding cash, rather than spending it, because they do not believe investments in their business will translate to earnings.</w:t>
      </w:r>
    </w:p>
    <w:p>
      <w:pPr>
        <w:spacing w:after="0" w:line="73"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We believe that one of the best ways for many cash-rich companies to achieve increased earnings is to use their large amounts of excess cash, together with advantageous borrowing opportunities, to purchase other companies in their industries and take advantage of the meaningful synergies that could result. In our opinion, the CEOs and Boards of Directors of undervalued companies that would be acquisition targets are the major road blocks to this logical use of assets to increase value, because we believe those CEOs and Boards of Directors are not willing to give up their power and perquisites, even if they have done a poor job in administering the companies they have been running. In addition, acquirers are often unwilling to undertake the arduous task of launching a hostile campaign. This is precisely the situation in which we believe a strong activist catalyst is necessary.</w:t>
      </w:r>
    </w:p>
    <w:p>
      <w:pPr>
        <w:spacing w:after="0" w:line="70"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We believe that the activist catalyst adds value because, for companies with strong balance sheets, acquisitions of their weaker industry rivals is often extremely compelling financially. We further believe that there are many transactions that make economic sense, even at a large premium over market. Acquirers can use their excess cash, that is earning a very low return, and/or borrow at the advantageous interest rates now available, to acquire a target company. In either case, an acquirer can add the target company’s earnings and the income from synergies to the acquirer’s bottom line, at a relatively low cost. But for these potential acquirers to act, the target company must be willing to at least entertain an offer. We believe that often the activist can step in and remove the obstacles that a target generally may seek to use to prevent an acquisition.</w:t>
      </w:r>
    </w:p>
    <w:p>
      <w:pPr>
        <w:spacing w:after="0" w:line="70"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It is our belief that our strategy will continue to produce strong results into the future. We believe that the strong cash flow and asset coverage from our operating subsidiaries will allow us to maintain a strong balance sheet and ample liquidity.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Strengths</w:t>
      </w:r>
    </w:p>
    <w:p>
      <w:pPr>
        <w:spacing w:after="0" w:line="117" w:lineRule="exact"/>
        <w:rPr>
          <w:sz w:val="20"/>
          <w:szCs w:val="20"/>
          <w:color w:val="auto"/>
        </w:rPr>
      </w:pPr>
    </w:p>
    <w:p>
      <w:pPr>
        <w:ind w:right="220" w:firstLine="378"/>
        <w:spacing w:after="0" w:line="264" w:lineRule="auto"/>
        <w:rPr>
          <w:sz w:val="20"/>
          <w:szCs w:val="20"/>
          <w:color w:val="auto"/>
        </w:rPr>
      </w:pPr>
      <w:r>
        <w:rPr>
          <w:rFonts w:ascii="Arial" w:cs="Arial" w:eastAsia="Arial" w:hAnsi="Arial"/>
          <w:sz w:val="18"/>
          <w:szCs w:val="18"/>
          <w:color w:val="auto"/>
        </w:rPr>
        <w:t>We believe that our core strengths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key elements of our business strategy include the following:</w:t>
      </w:r>
    </w:p>
    <w:p>
      <w:pPr>
        <w:spacing w:after="0" w:line="117"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i w:val="1"/>
          <w:iCs w:val="1"/>
          <w:color w:val="auto"/>
        </w:rPr>
        <w:t>Capitalize on Growth Opportunities in our Existing Businesses</w:t>
      </w:r>
      <w:r>
        <w:rPr>
          <w:rFonts w:ascii="Arial" w:cs="Arial" w:eastAsia="Arial" w:hAnsi="Arial"/>
          <w:sz w:val="18"/>
          <w:szCs w:val="18"/>
          <w:color w:val="auto"/>
        </w:rPr>
        <w:t>. We believe that we have developed a strong portfolio of businesses with experienced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We may expand our existing businesses if appropriate opportunities are identified, as well as use our established businesses as a platform for additional acquisitions in the same or related areas.</w:t>
      </w:r>
    </w:p>
    <w:p>
      <w:pPr>
        <w:spacing w:after="0" w:line="73" w:lineRule="exact"/>
        <w:rPr>
          <w:sz w:val="20"/>
          <w:szCs w:val="20"/>
          <w:color w:val="auto"/>
        </w:rPr>
      </w:pPr>
    </w:p>
    <w:p>
      <w:pPr>
        <w:ind w:right="140" w:firstLine="378"/>
        <w:spacing w:after="0" w:line="255" w:lineRule="auto"/>
        <w:rPr>
          <w:sz w:val="20"/>
          <w:szCs w:val="20"/>
          <w:color w:val="auto"/>
        </w:rPr>
      </w:pPr>
      <w:r>
        <w:rPr>
          <w:rFonts w:ascii="Arial" w:cs="Arial" w:eastAsia="Arial" w:hAnsi="Arial"/>
          <w:sz w:val="18"/>
          <w:szCs w:val="18"/>
          <w:i w:val="1"/>
          <w:iCs w:val="1"/>
          <w:color w:val="auto"/>
        </w:rPr>
        <w:t xml:space="preserve">Drive Accountability and Financial Discipline in the Management of our Business. </w:t>
      </w:r>
      <w:r>
        <w:rPr>
          <w:rFonts w:ascii="Arial" w:cs="Arial" w:eastAsia="Arial" w:hAnsi="Arial"/>
          <w:sz w:val="18"/>
          <w:szCs w:val="18"/>
          <w:color w:val="auto"/>
        </w:rPr>
        <w:t>Our CEO is accountable directly to our Board of Directors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including the Chairman, Carl C. Icahn, and has day-to-day responsibility, in consultation with our Chairman, for general oversight of our business segments. We continually evaluate our operating subsidiaries with a view towards maximizing value and cost efficiencies, bringing an owner's perspective to our operating businesses. In each of these businesses, we assemble senior management teams with the expertise to run their businesses and boards of directors to oversee the management of those businesses. Each management team is responsible for the day-to-day operations of its businesses and directly accountable to its board of directors.</w:t>
      </w:r>
    </w:p>
    <w:p>
      <w:pPr>
        <w:spacing w:after="0" w:line="85" w:lineRule="exact"/>
        <w:rPr>
          <w:sz w:val="20"/>
          <w:szCs w:val="20"/>
          <w:color w:val="auto"/>
        </w:rPr>
      </w:pPr>
    </w:p>
    <w:p>
      <w:pPr>
        <w:ind w:firstLine="378"/>
        <w:spacing w:after="0" w:line="302" w:lineRule="auto"/>
        <w:rPr>
          <w:sz w:val="20"/>
          <w:szCs w:val="20"/>
          <w:color w:val="auto"/>
        </w:rPr>
      </w:pPr>
      <w:r>
        <w:rPr>
          <w:rFonts w:ascii="Arial" w:cs="Arial" w:eastAsia="Arial" w:hAnsi="Arial"/>
          <w:sz w:val="16"/>
          <w:szCs w:val="16"/>
          <w:i w:val="1"/>
          <w:iCs w:val="1"/>
          <w:color w:val="auto"/>
        </w:rPr>
        <w:t>Seek to Acquire Undervalued Assets</w:t>
      </w:r>
      <w:r>
        <w:rPr>
          <w:rFonts w:ascii="Arial" w:cs="Arial" w:eastAsia="Arial" w:hAnsi="Arial"/>
          <w:sz w:val="16"/>
          <w:szCs w:val="16"/>
          <w:color w:val="auto"/>
        </w:rPr>
        <w:t>. We intend to continue to make investments in businesses that we believe are undervalued and have potential for</w:t>
      </w:r>
      <w:r>
        <w:rPr>
          <w:rFonts w:ascii="Arial" w:cs="Arial" w:eastAsia="Arial" w:hAnsi="Arial"/>
          <w:sz w:val="16"/>
          <w:szCs w:val="16"/>
          <w:i w:val="1"/>
          <w:iCs w:val="1"/>
          <w:color w:val="auto"/>
        </w:rPr>
        <w:t xml:space="preserve"> </w:t>
      </w:r>
      <w:r>
        <w:rPr>
          <w:rFonts w:ascii="Arial" w:cs="Arial" w:eastAsia="Arial" w:hAnsi="Arial"/>
          <w:sz w:val="16"/>
          <w:szCs w:val="16"/>
          <w:color w:val="auto"/>
        </w:rPr>
        <w:t>growth. We also seek to capitalize on investment opportunities arising from market inefficiencies, economic or market trends that have not been identified and reflected in market value, or complex or special situations. Certain opportunities may arise from companies that experience disappointing financial results, liquidity or capital needs, lowered credit ratings, revised industry forecasts or legal complications. We may acquire businesses or assets directly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6"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we may establish an ownership position through the purchase of debt or equity securities in the open market or in privately negotiated transactions.</w:t>
      </w:r>
    </w:p>
    <w:p>
      <w:pPr>
        <w:spacing w:after="0" w:line="129" w:lineRule="exact"/>
        <w:rPr>
          <w:sz w:val="20"/>
          <w:szCs w:val="20"/>
          <w:color w:val="auto"/>
        </w:rPr>
      </w:pPr>
    </w:p>
    <w:p>
      <w:pPr>
        <w:jc w:val="both"/>
        <w:ind w:right="120" w:firstLine="378"/>
        <w:spacing w:after="0" w:line="312" w:lineRule="auto"/>
        <w:rPr>
          <w:sz w:val="20"/>
          <w:szCs w:val="20"/>
          <w:color w:val="auto"/>
        </w:rPr>
      </w:pPr>
      <w:r>
        <w:rPr>
          <w:rFonts w:ascii="Arial" w:cs="Arial" w:eastAsia="Arial" w:hAnsi="Arial"/>
          <w:sz w:val="16"/>
          <w:szCs w:val="16"/>
          <w:i w:val="1"/>
          <w:iCs w:val="1"/>
          <w:color w:val="auto"/>
        </w:rPr>
        <w:t xml:space="preserve">Use Activism to Unlock Value. </w:t>
      </w:r>
      <w:r>
        <w:rPr>
          <w:rFonts w:ascii="Arial" w:cs="Arial" w:eastAsia="Arial" w:hAnsi="Arial"/>
          <w:sz w:val="16"/>
          <w:szCs w:val="16"/>
          <w:color w:val="auto"/>
        </w:rPr>
        <w:t>As described above, we become actively involved in companies in which we invest. Such activism may involve a broad</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activities, from trying to influence management in a proxy fight, to taking outright control of a company in order to bring about the change we think is required to unlock value. The key is flexibility, permanent capital and the willingness and ability to have a long-term investment horizon.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Description</w:t>
      </w:r>
    </w:p>
    <w:p>
      <w:pPr>
        <w:spacing w:after="0" w:line="121"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Icahn Enterprises began as American Real Estate Partners L.P. in 1987 and currently operates a portfolio of eight diversified reporting segments, as discussed above. With the exception of our Investment segment, our operating segments primarily comprise independently operated businesses that we have obtained a controlling interest in through execution of our business strategy. Our Investment segment derives revenues from gains and losses from investment transactions. Our other operating segments derive revenues principally from net sales of various products, primarily within our Energy and Automotive segments, which together accounted for the significant majority of our consolidated net sales for each of the three years ended December 31, 2018. Our other operating segments' revenues are also derived through various other revenue streams which primarily consists of automotive services and real estate leasing operations. The majority of our consolidated revenues are derived from customers in the United States. Our Food Packaging and Mining segments account for the majority of our consolidated revenues derived from customers outside the United States.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20" w:firstLine="378"/>
        <w:spacing w:after="0" w:line="279" w:lineRule="auto"/>
        <w:rPr>
          <w:sz w:val="20"/>
          <w:szCs w:val="20"/>
          <w:color w:val="auto"/>
        </w:rPr>
      </w:pPr>
      <w:r>
        <w:rPr>
          <w:rFonts w:ascii="Arial" w:cs="Arial" w:eastAsia="Arial" w:hAnsi="Arial"/>
          <w:sz w:val="17"/>
          <w:szCs w:val="17"/>
          <w:color w:val="auto"/>
        </w:rPr>
        <w:t>Our Investment segment is comprised of various private investment funds ("Investment Funds") in which we have general partner interests and through which we invest our proprietary capital. We and certain of Mr. Icahn's wholly-owned affiliates are the sole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Strategy</w:t>
      </w:r>
    </w:p>
    <w:p>
      <w:pPr>
        <w:spacing w:after="0" w:line="117"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The investment strategy of the Investment Funds is set and led by Mr. Icahn. The Investment Funds seek to acquire securities in companies that trade at a discount to inherent value as determined by various metrics, including replacement cost, break-up value, cash flow and earnings power and liquidation value.</w:t>
      </w:r>
    </w:p>
    <w:p>
      <w:pPr>
        <w:spacing w:after="0" w:line="73" w:lineRule="exact"/>
        <w:rPr>
          <w:sz w:val="20"/>
          <w:szCs w:val="20"/>
          <w:color w:val="auto"/>
        </w:rPr>
      </w:pPr>
    </w:p>
    <w:p>
      <w:pPr>
        <w:ind w:right="100" w:firstLine="378"/>
        <w:spacing w:after="0" w:line="255" w:lineRule="auto"/>
        <w:rPr>
          <w:sz w:val="20"/>
          <w:szCs w:val="20"/>
          <w:color w:val="auto"/>
        </w:rPr>
      </w:pPr>
      <w:r>
        <w:rPr>
          <w:rFonts w:ascii="Arial" w:cs="Arial" w:eastAsia="Arial" w:hAnsi="Arial"/>
          <w:sz w:val="18"/>
          <w:szCs w:val="18"/>
          <w:color w:val="auto"/>
        </w:rPr>
        <w:t>The Investment Funds utilize a process-oriented, research-intensive, value-based investment approach. This approach generally involves three critical steps: (i) fundamental credit, valuation and capital structure analysis; (ii) intense legal and tax analysis of fulcrum issues such as litigation and regulation that often affect valuation; and (iii) combined business valuation analysis and legal and tax review to establish a strategy for gaining an attractive risk-adjusted investment position. This approach focuses on exploiting market dislocations or misjudgments that may result from market euphoria, litigation, complex contingent liabilities, corporate malfeasance and weak corporate governance, general economic conditions or market cycles and complex and inappropriate capital structures.</w:t>
      </w:r>
    </w:p>
    <w:p>
      <w:pPr>
        <w:spacing w:after="0" w:line="85"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Investment Funds are often activist investors ready to take the steps necessary to seek to unlock value, including tender offers, proxy contests and demands for management accountability. The Investment Funds may employ a number of strategies and are permitted to invest across a variety of industries and types of securities, including long and short equities, long and short bonds, bank debt and other corporate obligations, options, swaps and other derivative instruments thereof, risk arbitrage and capital structure arbitrage and other special situations. The Investment Funds invest a material portion of their capital in publicly traded equity and debt securities of companies that they believe to be undervalued by the marketplace. The Investment Funds often take significant positions in the companies in which they invest.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117"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Our Investment segment's income or loss is driven by the amount of funds allocated to the Investment Funds and the performance of the underlying investments in the Investment Funds. Funds allocated to the Investment Funds are based on the net contributions and redemptions by our Holding Company and by Mr. Icahn and his affiliates.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 Investments</w:t>
      </w:r>
    </w:p>
    <w:p>
      <w:pPr>
        <w:spacing w:after="0" w:line="117"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We and Mr. Icahn, along with the Investment Funds, have entered into a covered affiliate agreement, which was amended on March 31, 2011, pursuant to which Mr. Icahn agreed (on behalf of himself and certain of his affiliates, excluding Icahn Enterprises, Icahn Enterprises Holdings and their subsidiaries) to be bound by certain restrictions on their investments in any assets that we deem suitable for the Investment Funds, other than government and agency bonds and cash equivalents, unless otherwise approved by our Audit Committee. In addition, Mr. Icahn and such affiliates continue to have the right to co-invest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6" w:name="page7"/>
    <w:bookmarkEnd w:id="6"/>
    <w:p>
      <w:pPr>
        <w:ind w:right="140"/>
        <w:spacing w:after="0" w:line="277" w:lineRule="auto"/>
        <w:rPr>
          <w:sz w:val="20"/>
          <w:szCs w:val="20"/>
          <w:color w:val="auto"/>
        </w:rPr>
      </w:pPr>
      <w:r>
        <w:rPr>
          <w:rFonts w:ascii="Arial" w:cs="Arial" w:eastAsia="Arial" w:hAnsi="Arial"/>
          <w:sz w:val="18"/>
          <w:szCs w:val="18"/>
          <w:color w:val="auto"/>
        </w:rPr>
        <w:t>with the Investment Funds. We have no interest in, nor do we generate any income from, any such co-investments, which have been and may continue to be substantial.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360" w:firstLine="378"/>
        <w:spacing w:after="0" w:line="259" w:lineRule="auto"/>
        <w:rPr>
          <w:sz w:val="20"/>
          <w:szCs w:val="20"/>
          <w:color w:val="auto"/>
        </w:rPr>
      </w:pPr>
      <w:r>
        <w:rPr>
          <w:rFonts w:ascii="Arial" w:cs="Arial" w:eastAsia="Arial" w:hAnsi="Arial"/>
          <w:sz w:val="18"/>
          <w:szCs w:val="18"/>
          <w:color w:val="auto"/>
        </w:rPr>
        <w:t>We conduct our Energy segment through our majority owned subsidiary, CVR Energy. We acquired a controlling interest in CVR Energy in 2012 through a cash tender offer for outstanding shares of CVR Energy common stock. CVR Energy is a reporting company under the Exchange Act and files annual, quarterly and current reports, proxy statements and other information with the Securities and Exchange Commission ("SEC") that are publicly available.</w:t>
      </w:r>
    </w:p>
    <w:p>
      <w:pPr>
        <w:spacing w:after="0" w:line="79" w:lineRule="exact"/>
        <w:rPr>
          <w:sz w:val="20"/>
          <w:szCs w:val="20"/>
          <w:color w:val="auto"/>
        </w:rPr>
      </w:pPr>
    </w:p>
    <w:p>
      <w:pPr>
        <w:jc w:val="both"/>
        <w:ind w:right="120" w:firstLine="378"/>
        <w:spacing w:after="0" w:line="259" w:lineRule="auto"/>
        <w:rPr>
          <w:sz w:val="20"/>
          <w:szCs w:val="20"/>
          <w:color w:val="auto"/>
        </w:rPr>
      </w:pPr>
      <w:r>
        <w:rPr>
          <w:rFonts w:ascii="Arial" w:cs="Arial" w:eastAsia="Arial" w:hAnsi="Arial"/>
          <w:sz w:val="18"/>
          <w:szCs w:val="18"/>
          <w:color w:val="auto"/>
        </w:rPr>
        <w:t>CVR Energy is a diversified holding company primarily engaged in the petroleum refining and nitrogen fertilizer manufacturing businesses through its interests in CVR Refining, LP ("CVR Refining") and CVR Partners, LP ("CVR Partners"), respectively. CVR Refining is an independent petroleum refiner and marketer of high value transportation fuels. CVR Partners produces and markets nitrogen fertilizers in the form of ammonia and urea ammonium nitrate ("UAN").</w:t>
      </w:r>
    </w:p>
    <w:p>
      <w:pPr>
        <w:spacing w:after="0" w:line="79"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CVR Energy has a general partner interest in CVR Refining and CVR Partners and also owns approximately 80.6% of the outstanding common units of CVR Refining and 34.4% of the outstanding common units of CVR Partners as of December 31, 2018. On August 1, 2018, CVR Energy completed an exchange offer whereby CVR Refining's public unitholders tendered a total of 21,625,106 common units of CVR Refining in exchange for 13,699,549 shares of CVR Energy common stock. As of December 31, 2018, we owned approximately 70.8% of the total outstanding common stock of CVR Energy. In addition, as of December 31, 2018, we directly owned approximately 3.9% of the total outstanding common units of CVR Refining.</w:t>
      </w:r>
    </w:p>
    <w:p>
      <w:pPr>
        <w:spacing w:after="0" w:line="64"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On January 29, 2019, CVR Energy, pursuant to the exercise of its right under the partnership agreement of CVR Refining to purchase all of the issued and outstanding common units in CVR Refining, purchased the remaining common units of CVR Refining not already owned by CVR Energy, including the purchase of CVR Refining common units owned directly by us. As a result, as of January 29, 2019, CVR Energy owns all of the common units of CVR Refining and we no longer have any direct ownership in CVR Refining. In addition, the common units of CVR Refining have subsequently ceased to be publicly traded or listed on the New York Stock Exchange or any other national securities exchange.</w:t>
      </w:r>
    </w:p>
    <w:p>
      <w:pPr>
        <w:spacing w:after="0" w:line="64"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Our Energy segment's net sales for the years ended December 31, 2018, 2017 and 2016 represented approximately 67%, 64% and 62%, respectively, of our consolidated net sales, primarily from the sale of its petroleum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Raw Materials and Supply</w:t>
      </w:r>
    </w:p>
    <w:p>
      <w:pPr>
        <w:spacing w:after="0" w:line="117" w:lineRule="exact"/>
        <w:rPr>
          <w:sz w:val="20"/>
          <w:szCs w:val="20"/>
          <w:color w:val="auto"/>
        </w:rPr>
      </w:pPr>
    </w:p>
    <w:p>
      <w:pPr>
        <w:ind w:right="140" w:firstLine="378"/>
        <w:spacing w:after="0" w:line="302" w:lineRule="auto"/>
        <w:rPr>
          <w:sz w:val="20"/>
          <w:szCs w:val="20"/>
          <w:color w:val="auto"/>
        </w:rPr>
      </w:pPr>
      <w:r>
        <w:rPr>
          <w:rFonts w:ascii="Arial" w:cs="Arial" w:eastAsia="Arial" w:hAnsi="Arial"/>
          <w:sz w:val="16"/>
          <w:szCs w:val="16"/>
          <w:color w:val="auto"/>
        </w:rPr>
        <w:t>CVR Refining has the capability to process a variety of crude oil blends. CVR Refining's oil refineries in Coffeyville, Kansas and Wynnewood, Oklahoma have a combined capacity of 206,500 barrels per day. In addition to the use of third-party pipelines for the supply of crude oil, CVR Refining has an extensive gathering system consisting of logistics assets that are owned, leased or part of a joint venture operation. Petroleum refining product yield includes gasoline, diesel fuel, pet coke and other refined products such as natural gas liquids, asphalt and jet fuel among other products.</w:t>
      </w:r>
    </w:p>
    <w:p>
      <w:pPr>
        <w:spacing w:after="0" w:line="46"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CVR Partners produces and distributes nitrogen fertilizer products, which are used by farmers to improve the yield and quality of their crops. The principal products are UAN and ammonia. CVR Partners' Coffeyville, Kansas facility uses pet coke to produce nitrogen fertilizer and is supplied primarily by its adjacent crude oil refinery pursuant to a renewable long-term agreement with CVR Refining. Historically, the Coffeyville nitrogen fertilizer plant has obtained the remainder of its pet coke requirements from third parties such as other Midwestern refineries or pet coke brokers at spot-prices. CVR Partners' East Dubuque, Illinois facility uses natural gas to produce nitrogen fertilizer. The East Dubuque facility is able to purchase natural gas at competitive prices due to its connection to the Norther Natural Gas interstate pipeline system, which is within one mile of the facility, and the ANR Pipeline Company pipeline.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Marketing and Distribution</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Customers for CVR Refining's products primarily include retailers, railroads, and farm cooperatives and other refiners/marketers in Group 3 of the PADD II region because of their relative proximity to the refineries and pipeline access. CVR Refining sells bulk products to long-standing customers at spot market prices based on a Group 3 basis differential to prices quoted on the New York Mercantile Exchange, which are reported by industry market-related indices such as Platts and Oil Price Information Service. CVR Refining's rack sales are at posted prices that are influenced by competitor pricing and Group 3 spot market differentials. Additionally, CVR Refining supplies jet fuel to the U.S. Department of Defense. For the year ended December 31, 2018, only one customer accounted for 10% or more of CVR Refining's net sales.</w:t>
      </w:r>
    </w:p>
    <w:p>
      <w:pPr>
        <w:spacing w:after="0" w:line="85" w:lineRule="exact"/>
        <w:rPr>
          <w:sz w:val="20"/>
          <w:szCs w:val="20"/>
          <w:color w:val="auto"/>
        </w:rPr>
      </w:pPr>
    </w:p>
    <w:p>
      <w:pPr>
        <w:ind w:right="60" w:firstLine="378"/>
        <w:spacing w:after="0" w:line="279" w:lineRule="auto"/>
        <w:rPr>
          <w:sz w:val="20"/>
          <w:szCs w:val="20"/>
          <w:color w:val="auto"/>
        </w:rPr>
      </w:pPr>
      <w:r>
        <w:rPr>
          <w:rFonts w:ascii="Arial" w:cs="Arial" w:eastAsia="Arial" w:hAnsi="Arial"/>
          <w:sz w:val="17"/>
          <w:szCs w:val="17"/>
          <w:color w:val="auto"/>
        </w:rPr>
        <w:t>CVR Refining focuses its marketing efforts in the central mid-continent area because of its relative proximity to its refineries and pipeline access. CVR Refining engages in rack marketing, which is the supply of product through tanker trucks and railcars directly to customers located in close geographic proximity to its refineries and to customers at throughput terminals on third-party refined products distribution systems. CVR Refining also makes bulk sales (sales into third-party pipelines) into mid-continent markets and other destinations utilizing third-party product pipeline networks.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76" w:right="279" w:bottom="1440" w:gutter="0" w:footer="0" w:header="0"/>
        </w:sectPr>
      </w:pPr>
    </w:p>
    <w:bookmarkStart w:id="7" w:name="page8"/>
    <w:bookmarkEnd w:id="7"/>
    <w:p>
      <w:pPr>
        <w:ind w:right="360" w:firstLine="378"/>
        <w:spacing w:after="0" w:line="264" w:lineRule="auto"/>
        <w:rPr>
          <w:sz w:val="20"/>
          <w:szCs w:val="20"/>
          <w:color w:val="auto"/>
        </w:rPr>
      </w:pPr>
      <w:r>
        <w:rPr>
          <w:rFonts w:ascii="Arial" w:cs="Arial" w:eastAsia="Arial" w:hAnsi="Arial"/>
          <w:sz w:val="18"/>
          <w:szCs w:val="18"/>
          <w:color w:val="auto"/>
        </w:rPr>
        <w:t>CVR Partners sells UAN products to retailers and distributors and ammonia to agricultural and industrial customers. Its products are primarily distributed by truck or by railcar. Given the nature of its business, and consistent with industry practice, CVR Partners does not have long-term minimum purchase contracts with most of its agricultural customers.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CVR Energy's petroleum business competes primarily on the basis of price, reliability of supply, availability of multiple grades of products and location. The principal competitive factors affecting its refining operations are cost of crude oil and other feedstocks, refinery complexity, refinery efficiency, refinery product mix and product distribution and transportation costs. The location of refineries provides the petroleum business with a reliable supply of crude oil and a transportation cost advantage over its competitors. The petroleum business primarily competes against five refineries operated in the mid-continent region. In addition to these refineries, the refineries compete against trading companies, as well as other refineries located outside the region that are linked to the mid-continent market through an extensive product pipeline system. These competitors include refineries located near the Gulf Coast, the Great Lakes and the Texas panhandle regions.</w:t>
      </w:r>
    </w:p>
    <w:p>
      <w:pPr>
        <w:spacing w:after="0" w:line="81" w:lineRule="exact"/>
        <w:rPr>
          <w:sz w:val="20"/>
          <w:szCs w:val="20"/>
          <w:color w:val="auto"/>
        </w:rPr>
      </w:pPr>
    </w:p>
    <w:p>
      <w:pPr>
        <w:ind w:right="140" w:firstLine="378"/>
        <w:spacing w:after="0" w:line="273" w:lineRule="auto"/>
        <w:rPr>
          <w:sz w:val="20"/>
          <w:szCs w:val="20"/>
          <w:color w:val="auto"/>
        </w:rPr>
      </w:pPr>
      <w:r>
        <w:rPr>
          <w:rFonts w:ascii="Arial" w:cs="Arial" w:eastAsia="Arial" w:hAnsi="Arial"/>
          <w:sz w:val="17"/>
          <w:szCs w:val="17"/>
          <w:color w:val="auto"/>
        </w:rPr>
        <w:t>The nitrogen fertilizer business has experienced, and expects to continue to meet, significant levels of competition from current and potential competitors, many of whom have significantly greater financial and other resources. Competition in the nitrogen fertilizer industry is dominated by price considerations. However, during the spring and fall application seasons, farming activities intensify and delivery capacity is a significant competitive factor. Domestic competition is intense due to customers' sophisticated buying tendencies and competitor strategies that focus on cost and service. The nitrogen fertilizer business also encounters competition from producers of fertilizer products manufactured in foreign countries. In certain cases, foreign producers of fertilizer who export to the United States may be subsidized by their respective governments.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117"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CVR Energy's petroleum and nitrogen fertilizer businesses are subject to extensive and frequently changing federal, state and local, environmental,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diesel fuels, UAN and ammonia. These laws and regulations, their underlying regulatory requirements, and the enforcement thereof, impact the petroleum business and operations and the nitrogen fertilizer business and operations by imposing:</w:t>
      </w:r>
    </w:p>
    <w:p>
      <w:pPr>
        <w:spacing w:after="0" w:line="64" w:lineRule="exact"/>
        <w:rPr>
          <w:sz w:val="20"/>
          <w:szCs w:val="20"/>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restrictions on operations or the need to install enhanced or additional controls;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need to obtain and comply with permits, licenses and authorizations;</w:t>
      </w:r>
    </w:p>
    <w:p>
      <w:pPr>
        <w:spacing w:after="0" w:line="117" w:lineRule="exact"/>
        <w:rPr>
          <w:rFonts w:ascii="Arial" w:cs="Arial" w:eastAsia="Arial" w:hAnsi="Arial"/>
          <w:sz w:val="18"/>
          <w:szCs w:val="18"/>
          <w:color w:val="auto"/>
        </w:rPr>
      </w:pPr>
    </w:p>
    <w:p>
      <w:pPr>
        <w:ind w:left="660" w:right="320" w:hanging="247"/>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liability for the investigation and remediation of contaminated soil and groundwater at current and former facilities (if any) and for off-site waste disposal locations; and</w:t>
      </w:r>
    </w:p>
    <w:p>
      <w:pPr>
        <w:spacing w:after="0" w:line="62" w:lineRule="exact"/>
        <w:rPr>
          <w:rFonts w:ascii="Arial" w:cs="Arial" w:eastAsia="Arial" w:hAnsi="Arial"/>
          <w:sz w:val="18"/>
          <w:szCs w:val="18"/>
          <w:color w:val="auto"/>
        </w:rPr>
      </w:pPr>
    </w:p>
    <w:p>
      <w:pPr>
        <w:ind w:left="660" w:right="380" w:hanging="247"/>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specifications for the products marketed by the petroleum business and the nitrogen fertilizer business, primarily gasoline, diesel fuel, UAN and ammonia.</w:t>
      </w:r>
    </w:p>
    <w:p>
      <w:pPr>
        <w:spacing w:after="0" w:line="62"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CVR Energy's operations require numerous permits, licenses and authorizations. Failure to comply with these permits or environmental laws and regulations could result in fines, penalties or other sanctions or a revocation of CVR Energy's permits. In addition, the laws and regulations to which CVR Energy is subject to are often evolving and many of them have become more stringent or have become subject to more stringent interpretation or enforcement by federal or state agencies. These laws and regulations could result in increased capital, operating and compliance costs.</w:t>
      </w:r>
    </w:p>
    <w:p>
      <w:pPr>
        <w:spacing w:after="0" w:line="63" w:lineRule="exact"/>
        <w:rPr>
          <w:sz w:val="20"/>
          <w:szCs w:val="20"/>
          <w:color w:val="auto"/>
        </w:rPr>
      </w:pPr>
    </w:p>
    <w:p>
      <w:pPr>
        <w:ind w:right="280" w:firstLine="378"/>
        <w:spacing w:after="0" w:line="264" w:lineRule="auto"/>
        <w:rPr>
          <w:sz w:val="20"/>
          <w:szCs w:val="20"/>
          <w:color w:val="auto"/>
        </w:rPr>
      </w:pPr>
      <w:r>
        <w:rPr>
          <w:rFonts w:ascii="Arial" w:cs="Arial" w:eastAsia="Arial" w:hAnsi="Arial"/>
          <w:sz w:val="18"/>
          <w:szCs w:val="18"/>
          <w:color w:val="auto"/>
        </w:rPr>
        <w:t>CVR Energy's businesses are also subject to, or impacted by, various other environmental laws and regulations such as the federal Clean Air Act, the federal Clean Water Act, release reporting requirements relating to the release of hazardous substances into the environment, certain fuel regulations, renewable fuel standards, as discussed below, and various other laws and regulations.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Fuel Standards</w:t>
      </w:r>
    </w:p>
    <w:p>
      <w:pPr>
        <w:spacing w:after="0" w:line="11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CVR Refining is subject to the renewable fuel standards which requires refiners to either blend "renewable fuels" with their transportation fuels or purchase renewable fuel credits, known as renewable identification numbers, in lieu of blending. See Item 1A, "Risk Factors" and Note 17, "Commitments and Contingencies," to the consolidated financial statements for further discussion.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Health and Security Matters</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CVR Energy is subject to a number of federal and state laws and regulations related to safety, including the Occupational Safety and Health Act ("OSHA") and comparable state statutes, the purpose of which are to protect the health and safety of workers. CVR Energy is also subject to OSHA Process Safety Management regulations, which are designed to prevent or minimize the consequences of catastrophic releases of toxic, reactive, flammable or explosive chemicals.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76" w:right="259" w:bottom="1440" w:gutter="0" w:footer="0" w:header="0"/>
        </w:sectPr>
      </w:pPr>
    </w:p>
    <w:bookmarkStart w:id="8" w:name="page9"/>
    <w:bookmarkEnd w:id="8"/>
    <w:p>
      <w:pPr>
        <w:ind w:right="80" w:firstLine="405"/>
        <w:spacing w:after="0" w:line="259" w:lineRule="auto"/>
        <w:rPr>
          <w:sz w:val="20"/>
          <w:szCs w:val="20"/>
          <w:color w:val="auto"/>
        </w:rPr>
      </w:pPr>
      <w:r>
        <w:rPr>
          <w:rFonts w:ascii="Arial" w:cs="Arial" w:eastAsia="Arial" w:hAnsi="Arial"/>
          <w:sz w:val="18"/>
          <w:szCs w:val="18"/>
          <w:color w:val="auto"/>
        </w:rPr>
        <w:t>CVR Energy operates a comprehensive safety, health and security program, with participation by employees at all levels of the organization. They have developed comprehensive safety programs aimed at preventing OSHA recordable incidents. Despite CVR Energy's efforts to achieve excellence in its safety and health performance, there can be no assurances that there will not be accidents resulting in injuries or even fatalities. CVR Energy routinely audits its programs and considers improvements in its management systems.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conduct our Automotive segment through our wholly-owned subsidiary, Icahn Automotive Group LLC ("Icahn Automotive").</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Icahn Automotive was formed by us to invest in and operate businesses involved in automotive repair and maintenance services as well as the distribution and sale of automotive aftermarket parts and accessories to end-user do-it-yourself customers, wholesale distributors, and professional auto mechanics. Icahn Automotive acquired IEH Auto Parts Holding LLC in 2015, The Pep Boys - Manny, Moe &amp; Jack in 2016, the franchise businesses of Precision Tune Auto Care and American Driveline Systems, the franchisor of AAMCO and Cottman Transmission service centers, in 2017, and various other businesses in recent years.</w:t>
      </w:r>
    </w:p>
    <w:p>
      <w:pPr>
        <w:spacing w:after="0" w:line="80" w:lineRule="exact"/>
        <w:rPr>
          <w:sz w:val="20"/>
          <w:szCs w:val="20"/>
          <w:color w:val="auto"/>
        </w:rPr>
      </w:pPr>
    </w:p>
    <w:p>
      <w:pPr>
        <w:ind w:right="920" w:firstLine="378"/>
        <w:spacing w:after="0" w:line="277" w:lineRule="auto"/>
        <w:rPr>
          <w:sz w:val="20"/>
          <w:szCs w:val="20"/>
          <w:color w:val="auto"/>
        </w:rPr>
      </w:pPr>
      <w:r>
        <w:rPr>
          <w:rFonts w:ascii="Arial" w:cs="Arial" w:eastAsia="Arial" w:hAnsi="Arial"/>
          <w:sz w:val="18"/>
          <w:szCs w:val="18"/>
          <w:color w:val="auto"/>
        </w:rPr>
        <w:t>Our Automotive segment's net sales for the years ended December 31, 2018, 2017 and 2016 represented approximately 22%, 24% and 27%, respectively, of our consolidated net sales.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Services and Customers</w:t>
      </w:r>
    </w:p>
    <w:p>
      <w:pPr>
        <w:spacing w:after="0" w:line="117" w:lineRule="exact"/>
        <w:rPr>
          <w:sz w:val="20"/>
          <w:szCs w:val="20"/>
          <w:color w:val="auto"/>
        </w:rPr>
      </w:pPr>
    </w:p>
    <w:p>
      <w:pPr>
        <w:ind w:right="100" w:firstLine="378"/>
        <w:spacing w:after="0" w:line="272" w:lineRule="auto"/>
        <w:rPr>
          <w:sz w:val="20"/>
          <w:szCs w:val="20"/>
          <w:color w:val="auto"/>
        </w:rPr>
      </w:pPr>
      <w:r>
        <w:rPr>
          <w:rFonts w:ascii="Arial" w:cs="Arial" w:eastAsia="Arial" w:hAnsi="Arial"/>
          <w:sz w:val="17"/>
          <w:szCs w:val="17"/>
          <w:color w:val="auto"/>
        </w:rPr>
        <w:t>The automotive aftermarket industry is in the mature stage of its life cycle. Over the past decade, consumers have moved away from do-it-yourself (retail) toward do-it-for-me (services) due to increasing vehicle complexity and electronic content, as well as decreasing availability of diagnostic equipment and know-how. Consistent with this long-term trend, Icahn Automotive's long-term strategy is to grow its commercial parts sales to automotive services businesses as well to grow its own automotive service business, while maintaining its retail parts customer bases by offering the newest and broadest product assortment in the automotive aftermarket. Icahn Automotive provides its customers with access to over two million replacement parts for domestic and imported vehicles through an extensive network of suppliers. Icahn Automotive seeks to provide (i) an extensive selection of product offerings, (ii) competitive pricing, (iii) exceptional in-store service experience and (iv) superior delivery to its customers.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Suppliers</w:t>
      </w:r>
    </w:p>
    <w:p>
      <w:pPr>
        <w:spacing w:after="0" w:line="9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Icahn Automotive purchases parts from manufacturers and other distributors for sale in the aftermarket. Purchases are made based on current inventory or operational needs and are fulfilled by suppliers within short periods of time. During 2018, Icahn Automotive's ten largest suppliers accounted for approximately 48% of the merchandise purchased and one supplier accounted for more than 10% of the merchandise purchased. Icahn Automotive believes that the relationships that it has established with its suppliers are generally positive. In the past, Icahn Automotive has not experienced difficulty in obtaining satisfactory sources of supply and it believes that adequate alternative sources of supply exist, at similar cost, for the types of merchandise sold in its stores.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Icahn Automotive operates in a highly competitive environment. Icahn Automotive's competitors for automotive service include national and regional chains, automotive dealerships, and local independent service providers. Its competitors for distribution and sales of auto parts and accessories include general, full range and discount retailers, national and regional auto parts retailers, and online retailers which carry automotive parts and accessories. Icahn Automotive believes that its operations in both do-it-for-me and do-it-yourself differentiates it from most of their competitors.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We conduct our Food Packaging segment through our majority owned subsidiary, Viskase Companies, Inc. ("Viskase"). We acquired a controlling interest in Viskase in 2010 from affiliates of Mr. Icahn in a common control transaction. In January 2018, we increased our ownership in Viskase as a result of a rights offering and as of December 31, 2018, we owned approximately 78.6% of the total outstanding common stock of Viskase. Viskase is a producer of cellulosic, fibrous and plastic casings used to prepare and package processed meat products. Approximately 71% of Viskase's net sales during 2018 were derived from customers outside the United States.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We conduct our Metals segment through our wholly-owned subsidiary, PSC Metals LLC, f/k/a, PSC Metals, Inc. (“PSC Metals”). We acquired PSC Metals in 2007 from affiliates of Mr. Icahn in a common control transaction. PSC Metals is principally engaged in the business of collecting, processing and selling ferrous and non-ferrous metals, as well as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76" w:right="239" w:bottom="1440" w:gutter="0" w:footer="0" w:header="0"/>
        </w:sectPr>
      </w:pPr>
    </w:p>
    <w:bookmarkStart w:id="9" w:name="page10"/>
    <w:bookmarkEnd w:id="9"/>
    <w:p>
      <w:pPr>
        <w:ind w:right="400"/>
        <w:spacing w:after="0" w:line="277" w:lineRule="auto"/>
        <w:rPr>
          <w:sz w:val="20"/>
          <w:szCs w:val="20"/>
          <w:color w:val="auto"/>
        </w:rPr>
      </w:pPr>
      <w:r>
        <w:rPr>
          <w:rFonts w:ascii="Arial" w:cs="Arial" w:eastAsia="Arial" w:hAnsi="Arial"/>
          <w:sz w:val="18"/>
          <w:szCs w:val="18"/>
          <w:color w:val="auto"/>
        </w:rPr>
        <w:t>processing and distribution of steel pipe and plate products in the Midwest and Southern United States. PSC Metals collects industrial and obsolete scrap metal, processes it into reusable forms and supplies the recycled metals to its customers</w:t>
      </w:r>
      <w:r>
        <w:rPr>
          <w:rFonts w:ascii="Arial" w:cs="Arial" w:eastAsia="Arial" w:hAnsi="Arial"/>
          <w:sz w:val="18"/>
          <w:szCs w:val="18"/>
          <w:i w:val="1"/>
          <w:i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Our Real Estate operations consist primarily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In addition, our Real Estate operations also includes a hotel, timeshare and casino resort property in Aruba as well as a casino property in Atlantic City, New Jersey, which ceased operations in September 2014 prior to our obtaining control of the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jc w:val="both"/>
        <w:ind w:right="280" w:firstLine="378"/>
        <w:spacing w:after="0" w:line="264" w:lineRule="auto"/>
        <w:rPr>
          <w:sz w:val="20"/>
          <w:szCs w:val="20"/>
          <w:color w:val="auto"/>
        </w:rPr>
      </w:pPr>
      <w:r>
        <w:rPr>
          <w:rFonts w:ascii="Arial" w:cs="Arial" w:eastAsia="Arial" w:hAnsi="Arial"/>
          <w:sz w:val="18"/>
          <w:szCs w:val="18"/>
          <w:color w:val="auto"/>
        </w:rPr>
        <w:t>We conduct our Home Fashion segment through our wholly-owned subsidiary, WestPoint Home LLC (“WPH”). We acquired a controlling interest in WPH, previously known as WestPoint International, Inc., out of bankruptcy in 2005 and became sole owner of WPH in 2011. WPH's business consists of manufacturing, sourcing, marketing, distributing and selling home fashion consumer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200" w:firstLine="378"/>
        <w:spacing w:after="0" w:line="302" w:lineRule="auto"/>
        <w:rPr>
          <w:sz w:val="20"/>
          <w:szCs w:val="20"/>
          <w:color w:val="auto"/>
        </w:rPr>
      </w:pPr>
      <w:r>
        <w:rPr>
          <w:rFonts w:ascii="Arial" w:cs="Arial" w:eastAsia="Arial" w:hAnsi="Arial"/>
          <w:sz w:val="16"/>
          <w:szCs w:val="16"/>
          <w:color w:val="auto"/>
        </w:rPr>
        <w:t>We conduct our Mining segment through our majority owned subsidiary, Ferrous Resources Ltd ("Ferrous Resources"). We acquired a controlling interest in Ferrous Resources in 2015 through a cash tender offer for outstanding shares of Ferrous Resources common stock. As of December 31, 2018, we owned approximately 77.2% of the total outstanding common stock of Ferrous Resources. Ferrous Resources acquired certain rights to iron ore mineral resources in Brazil and develops mining operations and related infrastructure to produce and sell iron ore products to the global steel industry.</w:t>
      </w:r>
    </w:p>
    <w:p>
      <w:pPr>
        <w:spacing w:after="0" w:line="46" w:lineRule="exact"/>
        <w:rPr>
          <w:sz w:val="20"/>
          <w:szCs w:val="20"/>
          <w:color w:val="auto"/>
        </w:rPr>
      </w:pPr>
    </w:p>
    <w:p>
      <w:pPr>
        <w:ind w:right="1520" w:firstLine="378"/>
        <w:spacing w:after="0" w:line="375" w:lineRule="auto"/>
        <w:rPr>
          <w:sz w:val="20"/>
          <w:szCs w:val="20"/>
          <w:color w:val="auto"/>
        </w:rPr>
      </w:pPr>
      <w:r>
        <w:rPr>
          <w:rFonts w:ascii="Arial" w:cs="Arial" w:eastAsia="Arial" w:hAnsi="Arial"/>
          <w:sz w:val="18"/>
          <w:szCs w:val="18"/>
          <w:color w:val="auto"/>
        </w:rPr>
        <w:t xml:space="preserve">On December 5, 2018, we announced a definitive agreement to sell Ferrous Resources. The transaction is expected to close in 2019. </w:t>
      </w:r>
      <w:r>
        <w:rPr>
          <w:rFonts w:ascii="Arial" w:cs="Arial" w:eastAsia="Arial" w:hAnsi="Arial"/>
          <w:sz w:val="18"/>
          <w:szCs w:val="18"/>
          <w:b w:val="1"/>
          <w:bCs w:val="1"/>
          <w:i w:val="1"/>
          <w:iCs w:val="1"/>
          <w:color w:val="auto"/>
        </w:rPr>
        <w:t>Railcar</w:t>
      </w:r>
    </w:p>
    <w:p>
      <w:pPr>
        <w:spacing w:after="0" w:line="1" w:lineRule="exact"/>
        <w:rPr>
          <w:sz w:val="20"/>
          <w:szCs w:val="20"/>
          <w:color w:val="auto"/>
        </w:rPr>
      </w:pPr>
    </w:p>
    <w:p>
      <w:pPr>
        <w:ind w:right="20" w:firstLine="378"/>
        <w:spacing w:after="0" w:line="286" w:lineRule="auto"/>
        <w:rPr>
          <w:sz w:val="20"/>
          <w:szCs w:val="20"/>
          <w:color w:val="auto"/>
        </w:rPr>
      </w:pPr>
      <w:r>
        <w:rPr>
          <w:rFonts w:ascii="Arial" w:cs="Arial" w:eastAsia="Arial" w:hAnsi="Arial"/>
          <w:sz w:val="17"/>
          <w:szCs w:val="17"/>
          <w:color w:val="auto"/>
        </w:rPr>
        <w:t>We conducted our Railcar segment through our wholly-owned subsidiary, American Railcar Leasing, LLC ("ARL"). We acquired a controlling interest in ARL in 2010 from affiliates of Mr. Icahn in a common control transaction and acquired the remaining interests in ARL in 2016 from affiliates of Mr. Icahn. ARL operated a leasing business consisting of purchased railcars leased to third parties under operating leases.</w:t>
      </w:r>
    </w:p>
    <w:p>
      <w:pPr>
        <w:spacing w:after="0" w:line="57" w:lineRule="exact"/>
        <w:rPr>
          <w:sz w:val="20"/>
          <w:szCs w:val="20"/>
          <w:color w:val="auto"/>
        </w:rPr>
      </w:pPr>
    </w:p>
    <w:p>
      <w:pPr>
        <w:ind w:right="240" w:firstLine="378"/>
        <w:spacing w:after="0" w:line="342" w:lineRule="auto"/>
        <w:rPr>
          <w:sz w:val="20"/>
          <w:szCs w:val="20"/>
          <w:color w:val="auto"/>
        </w:rPr>
      </w:pPr>
      <w:r>
        <w:rPr>
          <w:rFonts w:ascii="Arial" w:cs="Arial" w:eastAsia="Arial" w:hAnsi="Arial"/>
          <w:sz w:val="16"/>
          <w:szCs w:val="16"/>
          <w:color w:val="auto"/>
        </w:rPr>
        <w:t>On June 1, 2017 we sold ARL along with a majority of its railcar lease fleet. We sold the remaining railcars previously owned by ARL throughout the remainder of 2017 and the first nine months of 2018. As a result, as of December 31, 2018, our business no longer includes an active Railcar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to certain dispositions described above, the following businesses were sold in 2018 and reclassified as discontinued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Federal-Mogul LLC</w:t>
      </w:r>
    </w:p>
    <w:p>
      <w:pPr>
        <w:spacing w:after="0" w:line="121"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Federal-Mogul LLC ("Federal-Mogul") is a diversified, global supplier of automotive products to a variety of end markets. Federal-Mogul was previously reported within our Automotive segment prior to its reclassification as discontinued operations in the second quarter of 2018. In January 2017, we increased our ownership in Federal-Mogul to 100%. In February 2017, Federal-Mogul was converted from a Delaware corporation to a Delaware limited liability company. Prior to this, Federal-Mogul was a majority owned subsidiary of ours with publicly traded common stock. In April 2018, we entered into an agreement to sell Federal-Mogul to Tenneco Inc. ("Tenneco"). On October 1, 2018, we closed on the sale of Federal-Mogul to Tenneco for cash and shares of Tenneco common stock, which includes a 9.9% voting interest in Tenneco in addition to a non-voting interest in Tenneco.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Tropicana Entertainment, Inc.</w:t>
      </w:r>
    </w:p>
    <w:p>
      <w:pPr>
        <w:spacing w:after="0" w:line="121" w:lineRule="exact"/>
        <w:rPr>
          <w:sz w:val="20"/>
          <w:szCs w:val="20"/>
          <w:color w:val="auto"/>
        </w:rPr>
      </w:pPr>
    </w:p>
    <w:p>
      <w:pPr>
        <w:ind w:right="60" w:firstLine="378"/>
        <w:spacing w:after="0" w:line="302" w:lineRule="auto"/>
        <w:rPr>
          <w:sz w:val="20"/>
          <w:szCs w:val="20"/>
          <w:color w:val="auto"/>
        </w:rPr>
      </w:pPr>
      <w:r>
        <w:rPr>
          <w:rFonts w:ascii="Arial" w:cs="Arial" w:eastAsia="Arial" w:hAnsi="Arial"/>
          <w:sz w:val="16"/>
          <w:szCs w:val="16"/>
          <w:color w:val="auto"/>
        </w:rPr>
        <w:t>Tropicana Entertainment, Inc. ("Tropicana") is an owner and operator of regional casino and entertainment properties. Tropicana was previously reported within our former Gaming segment prior to its reclassification as discontinued operations in the second quarter of 2018. During August 2017, we increased our ownership in Tropicana from 72.5% to 83.9% through a tender offer for additional shares of Tropicana common stock not already owned by us. Tropicana was a majority owned subsidiary of ours with publicly traded common stock. In April 2018, we entered into an agreement to sell Tropicana's real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76" w:right="239" w:bottom="1440" w:gutter="0" w:footer="0" w:header="0"/>
        </w:sectPr>
      </w:pPr>
    </w:p>
    <w:bookmarkStart w:id="10" w:name="page11"/>
    <w:bookmarkEnd w:id="10"/>
    <w:p>
      <w:pPr>
        <w:ind w:right="540"/>
        <w:spacing w:after="0" w:line="277" w:lineRule="auto"/>
        <w:rPr>
          <w:sz w:val="20"/>
          <w:szCs w:val="20"/>
          <w:color w:val="auto"/>
        </w:rPr>
      </w:pPr>
      <w:r>
        <w:rPr>
          <w:rFonts w:ascii="Arial" w:cs="Arial" w:eastAsia="Arial" w:hAnsi="Arial"/>
          <w:sz w:val="18"/>
          <w:szCs w:val="18"/>
          <w:color w:val="auto"/>
        </w:rPr>
        <w:t>estate to Gaming and Leisure Properties, Inc. and to merge Tropicana's gaming and hotel operations into Eldorado Resorts, Inc. The transaction did not include Tropicana's Aruba assets. On October 1, 2018, we closed on the Tropicana transaction.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Railcar Industries, Inc.</w:t>
      </w:r>
    </w:p>
    <w:p>
      <w:pPr>
        <w:spacing w:after="0" w:line="121"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American Railcar Industries, Inc. ("ARI") is a prominent North American designer and manufacturer of hopper and tank railcars that provides its railcar customers with integrated solutions through a comprehensive set of high-quality products and related services through its railcar manufacturing, railcar leasing and railcar repair operations. ARI was previously reported within our Railcar segment prior to its reclassification as discontinued operations in the fourth quarter of 2018. ARI was a majority owned subsidiary of ours with publicly traded common stock. In October 2018, we entered into an agreement to sell ARI to ITE Rail Fund L.P. On December 5, 2018, we closed on the sale of ARI.</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We seek to invest our available cash and cash equivalents in liquid investments with a view to enhancing returns as we continue to assess further acquisitions of, or investments in, operating businesses. As of December 31, 2018, we had investments with a fair market value of approximately $5.1 billion in the Investment Funds. In addition, as of December 31, 2018, our Holding Company had various other investments, primarily equity investments, with a fair market value of approximately $1.3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40" w:firstLine="378"/>
        <w:spacing w:after="0" w:line="312" w:lineRule="auto"/>
        <w:rPr>
          <w:sz w:val="20"/>
          <w:szCs w:val="20"/>
          <w:color w:val="auto"/>
        </w:rPr>
      </w:pPr>
      <w:r>
        <w:rPr>
          <w:rFonts w:ascii="Arial" w:cs="Arial" w:eastAsia="Arial" w:hAnsi="Arial"/>
          <w:sz w:val="16"/>
          <w:szCs w:val="16"/>
          <w:color w:val="auto"/>
        </w:rPr>
        <w:t>We have an aggregate of 34 employees at our Holding Company and Investment segment. Our other reporting segments employ an aggregate of approximately 29,000 employees, of which approximately 72% are employed within our Automotive segment and less than 10% at each of our other segments. Approximately 17% of our employees are employed internationally, primarily within our Food Packaging, Home Fashion and Mining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378"/>
        <w:spacing w:after="0" w:line="289" w:lineRule="auto"/>
        <w:rPr>
          <w:sz w:val="20"/>
          <w:szCs w:val="20"/>
          <w:color w:val="auto"/>
        </w:rPr>
      </w:pPr>
      <w:r>
        <w:rPr>
          <w:rFonts w:ascii="Arial" w:cs="Arial" w:eastAsia="Arial" w:hAnsi="Arial"/>
          <w:sz w:val="16"/>
          <w:szCs w:val="16"/>
          <w:color w:val="auto"/>
        </w:rPr>
        <w:t xml:space="preserve">Icahn Enterprises maintains a website at </w:t>
      </w:r>
      <w:r>
        <w:rPr>
          <w:rFonts w:ascii="Arial" w:cs="Arial" w:eastAsia="Arial" w:hAnsi="Arial"/>
          <w:sz w:val="16"/>
          <w:szCs w:val="16"/>
          <w:i w:val="1"/>
          <w:iCs w:val="1"/>
          <w:color w:val="auto"/>
        </w:rPr>
        <w:t>www.ielp.com</w:t>
      </w:r>
      <w:r>
        <w:rPr>
          <w:rFonts w:ascii="Arial" w:cs="Arial" w:eastAsia="Arial" w:hAnsi="Arial"/>
          <w:sz w:val="16"/>
          <w:szCs w:val="16"/>
          <w:color w:val="auto"/>
        </w:rPr>
        <w:t xml:space="preserve">. We provide access to our annual reports on Form 10-K, quarterly reports on Form 10-Q, current reports on Form 8-K and all amendments to those reports free of charge through this website as soon as reasonably practicable after such material is electronically filed with the SEC. Paper copies of annual and periodic reports filed with the SEC may be obtained free of charge upon written request by contacting our headquarters at the address located on the front cover of this report or under Investor Relations on our website. In addition, our corporate governance guidelines, including Code of Business Conduct and Ethics and Audit Committee Charter, are available on our website (under Corporate Governance) and are available in print without charge to any stockholder requesting them. You may obtain and copy any document we furnish or file with the SEC at the SEC's public reference room at 100 F Street, NE, Room 1580, Washington, D.C. 20549. You may obtain information on the operation of the SEC's public reference facilities by calling the SEC at 1-800-SEC-0330. The SEC maintains a website that contains reports, information statements, and other information regarding issuers like us who file electronically with the SEC. The SEC's website is located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We and our subsidiaries are subject to certain risks and uncertainties which are described below. The risks and uncertainties described below are not the only risks that affect our businesses. Additional risks and uncertainties that are unknown or not deemed significant may also have a negative impact on our businesses.</w:t>
      </w:r>
    </w:p>
    <w:p>
      <w:pPr>
        <w:spacing w:after="0" w:line="17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Risks Relating to Our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and its control person, has significant influence over us.</w:t>
      </w:r>
    </w:p>
    <w:p>
      <w:pPr>
        <w:spacing w:after="0" w:line="117"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Mr. Icahn, through affiliates, owns 100% of Icahn Enterprises GP, the general partner of Icahn Enterprises and Icahn Enterprises Holdings, and approximately 91.7% of Icahn Enterprises' outstanding depositary units as of December 31, 2018, and, as a result, has the ability to influence many aspects of our operations and affairs.</w:t>
      </w:r>
    </w:p>
    <w:p>
      <w:pPr>
        <w:spacing w:after="0" w:line="73" w:lineRule="exact"/>
        <w:rPr>
          <w:sz w:val="20"/>
          <w:szCs w:val="20"/>
          <w:color w:val="auto"/>
        </w:rPr>
      </w:pPr>
    </w:p>
    <w:p>
      <w:pPr>
        <w:jc w:val="both"/>
        <w:ind w:right="160" w:firstLine="378"/>
        <w:spacing w:after="0" w:line="259" w:lineRule="auto"/>
        <w:rPr>
          <w:sz w:val="20"/>
          <w:szCs w:val="20"/>
          <w:color w:val="auto"/>
        </w:rPr>
      </w:pPr>
      <w:r>
        <w:rPr>
          <w:rFonts w:ascii="Arial" w:cs="Arial" w:eastAsia="Arial" w:hAnsi="Arial"/>
          <w:sz w:val="18"/>
          <w:szCs w:val="18"/>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Icahn family members. However, there can be no assurance that such planning will be effective.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engaged, and in the future may engage, in transactions with our affiliates.</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 Mr. Icahn may pursue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76" w:right="239" w:bottom="1440" w:gutter="0" w:footer="0" w:header="0"/>
        </w:sectPr>
      </w:pPr>
    </w:p>
    <w:bookmarkStart w:id="11" w:name="page12"/>
    <w:bookmarkEnd w:id="11"/>
    <w:p>
      <w:pPr>
        <w:ind w:right="140"/>
        <w:spacing w:after="0" w:line="286" w:lineRule="auto"/>
        <w:rPr>
          <w:sz w:val="20"/>
          <w:szCs w:val="20"/>
          <w:color w:val="auto"/>
        </w:rPr>
      </w:pPr>
      <w:r>
        <w:rPr>
          <w:rFonts w:ascii="Arial" w:cs="Arial" w:eastAsia="Arial" w:hAnsi="Arial"/>
          <w:sz w:val="17"/>
          <w:szCs w:val="17"/>
          <w:color w:val="auto"/>
        </w:rPr>
        <w:t>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 of becoming an investment company.</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recent sales of Federal-Mogul, Tropicana and ARI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7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If we are unsuccessful, then we will be required to register as a registered investment company and will be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currently operate our business, nor are registered investment companies permitted to have many of the relationships that we have with our affiliated companies. In addition, if we become required to register under the Investment Company Act, it is likely that we would be treated as a corporation for U.S. federal income tax purposes and would be subject to the tax consequences described below under the caption, “We may become taxable as a corporation if we are no longer treated as a partnership for federal income tax purposes."</w:t>
      </w:r>
    </w:p>
    <w:p>
      <w:pPr>
        <w:spacing w:after="0" w:line="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If it were established that we were an investment company and did not register as an investment company when required to do so,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structure transactions in a less advantageous manner to avoid becoming subject to the Investment Company Act.</w:t>
      </w:r>
    </w:p>
    <w:p>
      <w:pPr>
        <w:spacing w:after="0" w:line="117" w:lineRule="exact"/>
        <w:rPr>
          <w:sz w:val="20"/>
          <w:szCs w:val="20"/>
          <w:color w:val="auto"/>
        </w:rPr>
      </w:pPr>
    </w:p>
    <w:p>
      <w:pPr>
        <w:ind w:right="180" w:firstLine="378"/>
        <w:spacing w:after="0" w:line="312" w:lineRule="auto"/>
        <w:rPr>
          <w:sz w:val="20"/>
          <w:szCs w:val="20"/>
          <w:color w:val="auto"/>
        </w:rPr>
      </w:pPr>
      <w:r>
        <w:rPr>
          <w:rFonts w:ascii="Arial" w:cs="Arial" w:eastAsia="Arial" w:hAnsi="Arial"/>
          <w:sz w:val="16"/>
          <w:szCs w:val="16"/>
          <w:color w:val="auto"/>
        </w:rPr>
        <w:t>In order not to become an investment company required to register under the Investment Company Act, we monitor the value of our investments and structure transactions with an eye toward the Investment Company Act. As a result, we may structure transactions in a less advantageous manner than if we did not have Investment Company Act concerns, or we may avoid otherwise economically desirable transactions due to those concerns.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as a corporation if we are no longer treated as a partnership for federal income tax purposes.</w:t>
      </w:r>
    </w:p>
    <w:p>
      <w:pPr>
        <w:spacing w:after="0" w:line="117" w:lineRule="exact"/>
        <w:rPr>
          <w:sz w:val="20"/>
          <w:szCs w:val="20"/>
          <w:color w:val="auto"/>
        </w:rPr>
      </w:pPr>
    </w:p>
    <w:p>
      <w:pPr>
        <w:ind w:firstLine="378"/>
        <w:spacing w:after="0" w:line="286" w:lineRule="auto"/>
        <w:rPr>
          <w:sz w:val="20"/>
          <w:szCs w:val="20"/>
          <w:color w:val="auto"/>
        </w:rPr>
      </w:pPr>
      <w:r>
        <w:rPr>
          <w:rFonts w:ascii="Arial" w:cs="Arial" w:eastAsia="Arial" w:hAnsi="Arial"/>
          <w:sz w:val="16"/>
          <w:szCs w:val="16"/>
          <w:color w:val="auto"/>
        </w:rPr>
        <w:t>We believe that we have been and are properly treated as a partnership for federal income tax purposes. This allows us to pass through our income and deductions to our partners. However, the Internal Revenue Service could challenge our partnership status and we could fail to qualify as a partnership for past years as well as future years. 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76"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may be negatively impacted by the potential for changes in tax laws.</w:t>
      </w:r>
    </w:p>
    <w:p>
      <w:pPr>
        <w:spacing w:after="0" w:line="117" w:lineRule="exact"/>
        <w:rPr>
          <w:sz w:val="20"/>
          <w:szCs w:val="20"/>
          <w:color w:val="auto"/>
        </w:rPr>
      </w:pPr>
    </w:p>
    <w:p>
      <w:pPr>
        <w:ind w:right="40" w:firstLine="378"/>
        <w:spacing w:after="0" w:line="297" w:lineRule="auto"/>
        <w:rPr>
          <w:sz w:val="20"/>
          <w:szCs w:val="20"/>
          <w:color w:val="auto"/>
        </w:rPr>
      </w:pPr>
      <w:r>
        <w:rPr>
          <w:rFonts w:ascii="Arial" w:cs="Arial" w:eastAsia="Arial" w:hAnsi="Arial"/>
          <w:sz w:val="16"/>
          <w:szCs w:val="16"/>
          <w:color w:val="auto"/>
        </w:rPr>
        <w:t>Our investment strategy considers various tax related impacts. Past or future legislative proposals have been or may be introduced that, if enacted, could have a material and adverse effect on us. For example, past proposals have included taxing publicly traded partnerships,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for U.S. federal income tax purposes. We currently cannot predict the outcome of such legislative proposals, including, if enacted, their impact on our operations and financial position.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depositary units may be required to pay tax on their share of our income even if they did not receive cash distributions from us.</w:t>
      </w:r>
    </w:p>
    <w:p>
      <w:pPr>
        <w:spacing w:after="0" w:line="129" w:lineRule="exact"/>
        <w:rPr>
          <w:sz w:val="20"/>
          <w:szCs w:val="20"/>
          <w:color w:val="auto"/>
        </w:rPr>
      </w:pPr>
    </w:p>
    <w:p>
      <w:pPr>
        <w:ind w:right="240" w:firstLine="378"/>
        <w:spacing w:after="0" w:line="259" w:lineRule="auto"/>
        <w:rPr>
          <w:sz w:val="20"/>
          <w:szCs w:val="20"/>
          <w:color w:val="auto"/>
        </w:rPr>
      </w:pPr>
      <w:r>
        <w:rPr>
          <w:rFonts w:ascii="Arial" w:cs="Arial" w:eastAsia="Arial" w:hAnsi="Arial"/>
          <w:sz w:val="18"/>
          <w:szCs w:val="18"/>
          <w:color w:val="auto"/>
        </w:rPr>
        <w:t>Because we are treated as a partnership for income tax purposes, holders of units are generally required to pay federal income tax, and, in some cases, state or local income tax, on the portion of our taxable income allocated to them, whether or not such income is distributed. Accordingly, it is possible that holders of depositary units may not receive cash distributions from us equal to their share of our taxable income, or even equal to their tax liability on the portion of our income allocated to them.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the pension liabilities of our affiliates.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91.7% of Icahn Enterprises' outstanding depositary units as of December 31, 2018.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70"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ACF Industries LLC ("ACF"). All the minimum funding requirements of the Internal Revenue Code, as amended, and the Employee Retirement Income Security Act of 1974, as amended, for the ACF plans have been met as of December 31, 2018. If the plans were voluntarily terminated, they would be underfunded by approximately $80 million as of December 31, 2018. These results are based on the most recent information provided by the plans’ actuary.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0"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current underfunded status of the ACF pension plans requires them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a limited partnership and a ‘‘controlled company’’ within the meaning of the NASDAQ rules and as such are exempt from certain corporate governance requirements.</w:t>
      </w:r>
    </w:p>
    <w:p>
      <w:pPr>
        <w:spacing w:after="0" w:line="62" w:lineRule="exact"/>
        <w:rPr>
          <w:sz w:val="20"/>
          <w:szCs w:val="20"/>
          <w:color w:val="auto"/>
        </w:rPr>
      </w:pPr>
    </w:p>
    <w:p>
      <w:pPr>
        <w:ind w:right="120" w:firstLine="378"/>
        <w:spacing w:after="0" w:line="255" w:lineRule="auto"/>
        <w:rPr>
          <w:sz w:val="20"/>
          <w:szCs w:val="20"/>
          <w:color w:val="auto"/>
        </w:rPr>
      </w:pPr>
      <w:r>
        <w:rPr>
          <w:rFonts w:ascii="Arial" w:cs="Arial" w:eastAsia="Arial" w:hAnsi="Arial"/>
          <w:sz w:val="18"/>
          <w:szCs w:val="18"/>
          <w:color w:val="auto"/>
        </w:rPr>
        <w:t>We are a limited partnership and ‘‘controlled company’’ pursuant to Rule 5615(c) of the NASDAQ listing rules. As such we have elected, and intend to continue to elect, not to comply with certain corporate governance requirements of the NASDAQ listing rules, including the requirements that a majority of the board of directors consist of independent directors and that independent directors determine the compensation of executive officers and the selection of nominees to the board of directors. We do not maintain a compensation or nominating committee and do not have a majority of independent directors. Accordingly, while we remain a controlled company and during any transition period following a time when we are no longer a controlled company, the NASDAQ listing rules do not provide the same corporate governance protections applicable to stockholders of companies that are subject to all of the NASDAQ listing requirements.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7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Certain members of our management team may be involved in other business activities that may involve conflicts of interest.</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Icahn Enterprises' depositary units have limited voting rights, including rights to participate in our management.</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 the outstanding depositary units. In addition, removal of the general partner may result in a default under the indentures governing our senior notes. As a result, holders of our depositary units have limited say in matters affecting our operations and others may find it difficult to attempt to gain control or influence our activities.</w:t>
      </w:r>
    </w:p>
    <w:p>
      <w:pPr>
        <w:spacing w:after="0" w:line="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Holders of Icahn Enterprises' depositary units may not have limited liability in certain circumstances and may be personally liable for the return of distributions that cause our liabilities to exceed our assets.</w:t>
      </w:r>
    </w:p>
    <w:p>
      <w:pPr>
        <w:spacing w:after="0" w:line="62"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 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spacing w:after="0" w:line="74"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Holders of Icahn Enterprises' depositary units may also be required to repay Icahn Enterprises amounts wrongfully distributed to them. Under Delaware law, we may not make a distribution to holders of our depositary units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64" w:lineRule="exact"/>
        <w:rPr>
          <w:sz w:val="20"/>
          <w:szCs w:val="20"/>
          <w:color w:val="auto"/>
        </w:rPr>
      </w:pPr>
    </w:p>
    <w:p>
      <w:pPr>
        <w:jc w:val="both"/>
        <w:ind w:right="200" w:firstLine="378"/>
        <w:spacing w:after="0" w:line="264" w:lineRule="auto"/>
        <w:rPr>
          <w:sz w:val="20"/>
          <w:szCs w:val="20"/>
          <w:color w:val="auto"/>
        </w:rPr>
      </w:pPr>
      <w:r>
        <w:rPr>
          <w:rFonts w:ascii="Arial" w:cs="Arial" w:eastAsia="Arial" w:hAnsi="Arial"/>
          <w:sz w:val="18"/>
          <w:szCs w:val="18"/>
          <w:color w:val="auto"/>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Since we are a limited partnership, you may not be able to pursue legal claims against us in U.S. federal courts.</w:t>
      </w:r>
    </w:p>
    <w:p>
      <w:pPr>
        <w:spacing w:after="0" w:line="117"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have the citizenship of each of our limited partners. Because we are a publicly traded limited partnership, it may not be possible for you to sue us in a federal court because we have citizenship in all 50 U.S. states and operations in many states. Accordingly, you will be limited to bringing any claims in state court.</w:t>
      </w:r>
    </w:p>
    <w:p>
      <w:pPr>
        <w:spacing w:after="0" w:line="400" w:lineRule="exact"/>
        <w:rPr>
          <w:sz w:val="20"/>
          <w:szCs w:val="20"/>
          <w:color w:val="auto"/>
        </w:rPr>
      </w:pPr>
    </w:p>
    <w:p>
      <w:pPr>
        <w:ind w:right="3640" w:firstLine="3632"/>
        <w:spacing w:after="0" w:line="453" w:lineRule="auto"/>
        <w:rPr>
          <w:sz w:val="20"/>
          <w:szCs w:val="20"/>
          <w:color w:val="auto"/>
        </w:rPr>
      </w:pPr>
      <w:r>
        <w:rPr>
          <w:rFonts w:ascii="Arial" w:cs="Arial" w:eastAsia="Arial" w:hAnsi="Arial"/>
          <w:sz w:val="15"/>
          <w:szCs w:val="15"/>
          <w:b w:val="1"/>
          <w:bCs w:val="1"/>
          <w:color w:val="auto"/>
        </w:rPr>
        <w:t xml:space="preserve">Risks Relating to Liquidity and Capital Requirements </w:t>
      </w:r>
      <w:r>
        <w:rPr>
          <w:rFonts w:ascii="Arial" w:cs="Arial" w:eastAsia="Arial" w:hAnsi="Arial"/>
          <w:sz w:val="15"/>
          <w:szCs w:val="15"/>
          <w:b w:val="1"/>
          <w:bCs w:val="1"/>
          <w:i w:val="1"/>
          <w:iCs w:val="1"/>
          <w:color w:val="auto"/>
        </w:rPr>
        <w:t>We are a holding company and depend on the businesses of our subsidiaries to satisfy our obligations.</w:t>
      </w:r>
    </w:p>
    <w:p>
      <w:pPr>
        <w:spacing w:after="0" w:line="1" w:lineRule="exact"/>
        <w:rPr>
          <w:sz w:val="20"/>
          <w:szCs w:val="20"/>
          <w:color w:val="auto"/>
        </w:rPr>
      </w:pPr>
    </w:p>
    <w:p>
      <w:pPr>
        <w:ind w:right="60" w:firstLine="378"/>
        <w:spacing w:after="0" w:line="302" w:lineRule="auto"/>
        <w:rPr>
          <w:sz w:val="20"/>
          <w:szCs w:val="20"/>
          <w:color w:val="auto"/>
        </w:rPr>
      </w:pPr>
      <w:r>
        <w:rPr>
          <w:rFonts w:ascii="Arial" w:cs="Arial" w:eastAsia="Arial" w:hAnsi="Arial"/>
          <w:sz w:val="16"/>
          <w:szCs w:val="16"/>
          <w:color w:val="auto"/>
        </w:rPr>
        <w:t>We are a holding company. In addition to cash and cash equivalents, U.S. government and agency obligations, marketable equity and debt securities and other short-term investments, our assets consist primarily of investments in our subsidiaries. Moreover, if we make significant investments in new operating businesses, it is likely that we will reduce our liquid assets and those of Icahn Enterprises Holdings in order to fund those investments and the ongoing operations of our subsidiaries. Consequently, our cash flow and our ability to meet our debt service obligations and make distributions with respect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4" w:name="page15"/>
    <w:bookmarkEnd w:id="14"/>
    <w:p>
      <w:pPr>
        <w:ind w:right="780"/>
        <w:spacing w:after="0" w:line="277" w:lineRule="auto"/>
        <w:rPr>
          <w:sz w:val="20"/>
          <w:szCs w:val="20"/>
          <w:color w:val="auto"/>
        </w:rPr>
      </w:pPr>
      <w:r>
        <w:rPr>
          <w:rFonts w:ascii="Arial" w:cs="Arial" w:eastAsia="Arial" w:hAnsi="Arial"/>
          <w:sz w:val="18"/>
          <w:szCs w:val="18"/>
          <w:color w:val="auto"/>
        </w:rPr>
        <w:t>depositary units likely will depend on the cash flow of our subsidiaries and the payment of funds to us by our subsidiaries in the form of dividends, distributions, loans or otherwise.</w:t>
      </w:r>
    </w:p>
    <w:p>
      <w:pPr>
        <w:spacing w:after="0" w:line="62"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w:t>
      </w:r>
    </w:p>
    <w:p>
      <w:pPr>
        <w:spacing w:after="0" w:line="73"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The terms of certain borrowing agreements of our subsidiaries, or other entities in which we own equity, may restrict dividends, distributions or loans to us. To the degree any distributions and transfers are impaired or prohibited, our ability to make payments on our debt and to make distributions on our depositary units will be limited.</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Our ability to maintain our current cash position or generate cash depends on many factors beyond our control.</w:t>
      </w:r>
    </w:p>
    <w:p>
      <w:pPr>
        <w:spacing w:after="0" w:line="62" w:lineRule="exact"/>
        <w:rPr>
          <w:sz w:val="20"/>
          <w:szCs w:val="20"/>
          <w:color w:val="auto"/>
        </w:rPr>
      </w:pPr>
    </w:p>
    <w:p>
      <w:pPr>
        <w:ind w:right="100" w:firstLine="378"/>
        <w:spacing w:after="0" w:line="293" w:lineRule="auto"/>
        <w:rPr>
          <w:sz w:val="20"/>
          <w:szCs w:val="20"/>
          <w:color w:val="auto"/>
        </w:rPr>
      </w:pPr>
      <w:r>
        <w:rPr>
          <w:rFonts w:ascii="Arial" w:cs="Arial" w:eastAsia="Arial" w:hAnsi="Arial"/>
          <w:sz w:val="16"/>
          <w:szCs w:val="16"/>
          <w:color w:val="auto"/>
        </w:rPr>
        <w:t>Our ability to make payments on and to refinance our indebtedness, and to fund operations will depend on existing cash balances and our ability to generate cash in the future. This, to a certain extent, is subject to general economic, financial, competitive, regulatory and other factors that are beyond our control. Our current businesses and businesses that we acquire may not generate sufficient cash to service our outstanding indebtedness. In addition, we may not generate sufficient cash flow from operations or investments and future borrowings may not be available to us in an amount sufficient to enable us to service our outstanding indebtedness or to fund our other liquidity needs. We may need to refinance all or a portion of our outstanding indebtedness on or before maturity. We cannot assure you that we will be able to refinance any of our outstanding indebtedness on commercially reasonable terms or at all.</w:t>
      </w:r>
    </w:p>
    <w:p>
      <w:pPr>
        <w:spacing w:after="0" w:line="5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Our failure to comply with the covenants contained under any of our debt instruments, including the Indentures (including our failure to comply as a result of events beyond our control), could result in an event of default that would materially and adversely affect our financial condition.</w:t>
      </w:r>
    </w:p>
    <w:p>
      <w:pPr>
        <w:spacing w:after="0" w:line="16"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Our failure to comply with the covenants under any of our debt instruments (including our failure to comply as a result of events beyond our control) may trigger a default or event of default under such instruments. If there were an event of default under one of our debt instruments, the holders of the defaulted debt could cause all amounts outstanding with respect to that debt to be due and payable immediately. In addition, any event of default or declaration of acceleration under one debt instrument could result in an event of default and declaration of acceleration under one or more of our other debt instruments, including the exchange notes. It is possible that, if the defaulted debt is accelerated, our assets and cash flow may not be sufficient to fully repay borrowings under our outstanding debt instruments and we cannot assure you that we would be able to refinance or restructure the payments on those debt securities.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sufficient funds necessary to finance a change of control offer that may be required by the indentures governing our senior notes.</w:t>
      </w:r>
    </w:p>
    <w:p>
      <w:pPr>
        <w:spacing w:after="0" w:line="140"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If Mr. Icahn were to sell, or otherwise transfer, some or all of his interests in us to an unrelated party or group, a change of control could be deemed to have occurred under the terms of the indentures governing our senior notes, which would require us to offer to repurchase all outstanding senior notes at 101% of their principal amount plus accrued and unpaid interest and liquidated damages, if any, to the date of repurchase. However, it is possible that we will not have sufficient funds at the time of the change of control to make the required repurchase of notes.</w:t>
      </w:r>
    </w:p>
    <w:p>
      <w:pPr>
        <w:spacing w:after="0" w:line="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made significant investments in the Investment Funds and negative performance of the Investment Funds may result in a significant decline in the value of our investments.</w:t>
      </w:r>
    </w:p>
    <w:p>
      <w:pPr>
        <w:spacing w:after="0" w:line="62" w:lineRule="exact"/>
        <w:rPr>
          <w:sz w:val="20"/>
          <w:szCs w:val="20"/>
          <w:color w:val="auto"/>
        </w:rPr>
      </w:pPr>
    </w:p>
    <w:p>
      <w:pPr>
        <w:ind w:right="160" w:firstLine="378"/>
        <w:spacing w:after="0" w:line="286" w:lineRule="auto"/>
        <w:rPr>
          <w:sz w:val="20"/>
          <w:szCs w:val="20"/>
          <w:color w:val="auto"/>
        </w:rPr>
      </w:pPr>
      <w:r>
        <w:rPr>
          <w:rFonts w:ascii="Arial" w:cs="Arial" w:eastAsia="Arial" w:hAnsi="Arial"/>
          <w:sz w:val="17"/>
          <w:szCs w:val="17"/>
          <w:color w:val="auto"/>
        </w:rPr>
        <w:t>As of December 31, 2018, we had investments in the Investment Funds with a fair market value of approximately $5.1 billion, which may be accessed on short notice to satisfy our liquidity needs. However, if the Investment Funds experience negative performance, the value of these investments will be negatively impacted, which could have a material adverse effect on our operating results, cash flows and financial position.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cash distributions to Icahn Enterprises' unitholders, if any, can be affected by numerous factors.</w:t>
      </w:r>
    </w:p>
    <w:p>
      <w:pPr>
        <w:spacing w:after="0" w:line="117" w:lineRule="exact"/>
        <w:rPr>
          <w:sz w:val="20"/>
          <w:szCs w:val="20"/>
          <w:color w:val="auto"/>
        </w:rPr>
      </w:pPr>
    </w:p>
    <w:p>
      <w:pPr>
        <w:ind w:right="460" w:firstLine="378"/>
        <w:spacing w:after="0" w:line="286" w:lineRule="auto"/>
        <w:rPr>
          <w:sz w:val="20"/>
          <w:szCs w:val="20"/>
          <w:color w:val="auto"/>
        </w:rPr>
      </w:pPr>
      <w:r>
        <w:rPr>
          <w:rFonts w:ascii="Arial" w:cs="Arial" w:eastAsia="Arial" w:hAnsi="Arial"/>
          <w:sz w:val="17"/>
          <w:szCs w:val="17"/>
          <w:color w:val="auto"/>
        </w:rPr>
        <w:t>While we made cash distributions to Icahn Enterprises' unitholders in each of the four quarters of 2018,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w:t>
      </w:r>
    </w:p>
    <w:p>
      <w:pPr>
        <w:spacing w:after="0" w:line="5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Our ability to pay distributions will depend on numerous factors, including the availability of adequate cash flow from operations; the proceeds, if any, from divestitures; our capital requirements and other obligations; restrictions contained in our financing arrangements, including the indentures governing our senior notes; and our issuances of additional equity and debt securities. The availability of cash flow in the future depends as well upon events and circumstances outside our control,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76" w:right="279" w:bottom="1440" w:gutter="0" w:footer="0" w:header="0"/>
        </w:sectPr>
      </w:pPr>
    </w:p>
    <w:bookmarkStart w:id="15" w:name="page16"/>
    <w:bookmarkEnd w:id="15"/>
    <w:p>
      <w:pPr>
        <w:ind w:right="280"/>
        <w:spacing w:after="0" w:line="286" w:lineRule="auto"/>
        <w:rPr>
          <w:sz w:val="20"/>
          <w:szCs w:val="20"/>
          <w:color w:val="auto"/>
        </w:rPr>
      </w:pPr>
      <w:r>
        <w:rPr>
          <w:rFonts w:ascii="Arial" w:cs="Arial" w:eastAsia="Arial" w:hAnsi="Arial"/>
          <w:sz w:val="17"/>
          <w:szCs w:val="17"/>
          <w:color w:val="auto"/>
        </w:rPr>
        <w:t>including prevailing economic and industry conditions and financial, business and similar factors. No assurance can be given that we will be able to make distributions or as to the timing of any distribution. Even if distributions are made, there can be no assurance that holders of depositary units will not be required to recognize taxable income in excess of cash distributions made in respect of the period in which a distribution is made.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Relating to All of Our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 of our businesses are subject to the effects of the following:</w:t>
      </w:r>
    </w:p>
    <w:p>
      <w:pPr>
        <w:spacing w:after="0" w:line="23" w:lineRule="exact"/>
        <w:rPr>
          <w:sz w:val="20"/>
          <w:szCs w:val="20"/>
          <w:color w:val="auto"/>
        </w:rPr>
      </w:pPr>
    </w:p>
    <w:p>
      <w:pPr>
        <w:ind w:left="660" w:hanging="26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threat of terrorism or war;</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any of our or our subsidiaries' key personnel;</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unavailability, as needed, of additional financing;</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competition, varying by industry and geographic markets;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unavailability of insurance at acceptable rates; and</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not in the ordinary course of business (see Item 3, "Legal Proceedings," of this Report).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qualified personnel to manage and operate our various businesses.</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In our decentralized business model, we need qualified and competent management to direct day-to-day business activities of our operating subsidiaries. Our operating subsidiaries also need qualified and competent personnel in executing their business plans and serving their customers, suppliers and other stakeholders. Changes in demographics, training requirements and the unavailability of qualified personnel could negatively impact one or more of our significant operating subsidiaries ability to meet demands of customers to supply goods and services. Recruiting and retaining qualified personnel is important to all of our operations. Although we have adequate personnel for the current business environment, unpredictable increases in demand for goods and services may exacerbate the risk of not having sufficient numbers of trained personnel, which could have a negative impact on our consolidated financial condition, results of operations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adverse impacts on our businesses and financial condition.</w:t>
      </w:r>
    </w:p>
    <w:p>
      <w:pPr>
        <w:spacing w:after="0" w:line="117" w:lineRule="exact"/>
        <w:rPr>
          <w:sz w:val="20"/>
          <w:szCs w:val="20"/>
          <w:color w:val="auto"/>
        </w:rPr>
      </w:pPr>
    </w:p>
    <w:p>
      <w:pPr>
        <w:ind w:right="40" w:firstLine="378"/>
        <w:spacing w:after="0" w:line="286" w:lineRule="auto"/>
        <w:rPr>
          <w:sz w:val="20"/>
          <w:szCs w:val="20"/>
          <w:color w:val="auto"/>
        </w:rPr>
      </w:pPr>
      <w:r>
        <w:rPr>
          <w:rFonts w:ascii="Arial" w:cs="Arial" w:eastAsia="Arial" w:hAnsi="Arial"/>
          <w:sz w:val="16"/>
          <w:szCs w:val="16"/>
          <w:color w:val="auto"/>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w:t>
      </w:r>
    </w:p>
    <w:p>
      <w:pPr>
        <w:spacing w:after="0" w:line="2"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and increased tax rates can have a material adverse impact on our businesses, and may adversely affect demand for sales of our businesses' products, or the costs of materials and services utilized in their operations. These factors could have a material adverse effect on our revenues, income from operations and our cash flows.</w:t>
      </w:r>
    </w:p>
    <w:p>
      <w:pPr>
        <w:spacing w:after="0" w:line="82"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b w:val="1"/>
          <w:bCs w:val="1"/>
          <w:i w:val="1"/>
          <w:iCs w:val="1"/>
          <w:color w:val="auto"/>
        </w:rPr>
        <w:t>We and our subsidiaries are subject to cybersecurity and other technological risks that could disrupt our information technology systems and adversely affect our financial performance.</w:t>
      </w:r>
    </w:p>
    <w:p>
      <w:pPr>
        <w:spacing w:after="0" w:line="62" w:lineRule="exact"/>
        <w:rPr>
          <w:sz w:val="20"/>
          <w:szCs w:val="20"/>
          <w:color w:val="auto"/>
        </w:rPr>
      </w:pPr>
    </w:p>
    <w:p>
      <w:pPr>
        <w:ind w:right="140" w:firstLine="378"/>
        <w:spacing w:after="0" w:line="287" w:lineRule="auto"/>
        <w:rPr>
          <w:sz w:val="20"/>
          <w:szCs w:val="20"/>
          <w:color w:val="auto"/>
        </w:rPr>
      </w:pPr>
      <w:r>
        <w:rPr>
          <w:rFonts w:ascii="Arial" w:cs="Arial" w:eastAsia="Arial" w:hAnsi="Arial"/>
          <w:sz w:val="16"/>
          <w:szCs w:val="16"/>
          <w:color w:val="auto"/>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 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 obtain from third parties may contain defects in design or manufacture or other problems that could result in security breaches or disruptions.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w:t>
      </w:r>
    </w:p>
    <w:p>
      <w:pPr>
        <w:spacing w:after="0" w:line="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Software implementation and upgrades at certain of our subsidiaries may result in complications that adversely impact the timeliness, accuracy and reliability of internal and external reporting.</w:t>
      </w:r>
    </w:p>
    <w:p>
      <w:pPr>
        <w:spacing w:after="0" w:line="62"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Our operating subsidiaries are operated and managed on a decentralized basis and their software is not integrated with each other or with us. Certain of our subsidiaries are currently undergoing, or in the future may undergo, software implementation and/or upgrades. Software implementation and upgrades are complex, time consuming and require significant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76" w:right="279" w:bottom="1440" w:gutter="0" w:footer="0" w:header="0"/>
        </w:sectPr>
      </w:pPr>
    </w:p>
    <w:bookmarkStart w:id="16" w:name="page17"/>
    <w:bookmarkEnd w:id="16"/>
    <w:p>
      <w:pPr>
        <w:ind w:right="80"/>
        <w:spacing w:after="0" w:line="259" w:lineRule="auto"/>
        <w:rPr>
          <w:sz w:val="20"/>
          <w:szCs w:val="20"/>
          <w:color w:val="auto"/>
        </w:rPr>
      </w:pPr>
      <w:r>
        <w:rPr>
          <w:rFonts w:ascii="Arial" w:cs="Arial" w:eastAsia="Arial" w:hAnsi="Arial"/>
          <w:sz w:val="18"/>
          <w:szCs w:val="18"/>
          <w:color w:val="auto"/>
        </w:rPr>
        <w:t>resources. Failure to properly implement or upgrade software, including failure to recruit/retain appropriate experts, train employees, implement processes and properly bridge to legacy software, among others, may negatively impact our subsidiaries' ability to properly operate their businesses and to report internally and externally, including reporting to us. As a result, we may not adequately assess the performance of our subsidiaries, properly allocate resources report timely and accurate financial results.</w:t>
      </w:r>
    </w:p>
    <w:p>
      <w:pPr>
        <w:spacing w:after="0" w:line="133"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or our subsidiaries may pursue acquisitions or other affiliations that involve inherent risks, any of which may cause us not to realize anticipated benefits, and we may have difficulty integrating the operations of any companies that may be acquired, which may adversely affect its operations.</w:t>
      </w:r>
    </w:p>
    <w:p>
      <w:pPr>
        <w:spacing w:after="0" w:line="16"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We may expand our existing businesses if appropriate opportunities are identified, as well as use our established businesses as a platform for additional acquisitions in the same or related areas. We and our operating subsidiaries have at times grown through acquisitions and may make additional acquisitions in the future as part of our business strategy. The full benefits of these acquisitions, however, require integration of manufacturing, administrative, financial, sales, and marketing approaches and personnel. We may invest significant resources towards realizing benefits. If we or our operating subsidiaries are unable to successfully integrate acquired businesses, we may not realize the benefits of the acquisitions, our financial results may be negatively affected, and additional cash may be required to integrate such operations. Additionally, any such acquisition, if consummated, could involve risks not presently faced by us.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we discover material weaknesses or significant deficiencies in our internal controls over financial reporting or at any recently acquired entity, it may adversely affect our ability to provide timely and reliable financial information and satisfy our reporting obligations under federal securities laws, which also could affect the market price of our depositary units or our ability to remain listed on NASDAQ.</w:t>
      </w:r>
    </w:p>
    <w:p>
      <w:pPr>
        <w:spacing w:after="0" w:line="57" w:lineRule="exact"/>
        <w:rPr>
          <w:sz w:val="20"/>
          <w:szCs w:val="20"/>
          <w:color w:val="auto"/>
        </w:rPr>
      </w:pPr>
    </w:p>
    <w:p>
      <w:pPr>
        <w:ind w:right="180" w:firstLine="378"/>
        <w:spacing w:after="0" w:line="273" w:lineRule="auto"/>
        <w:rPr>
          <w:sz w:val="20"/>
          <w:szCs w:val="20"/>
          <w:color w:val="auto"/>
        </w:rPr>
      </w:pPr>
      <w:r>
        <w:rPr>
          <w:rFonts w:ascii="Arial" w:cs="Arial" w:eastAsia="Arial" w:hAnsi="Arial"/>
          <w:sz w:val="17"/>
          <w:szCs w:val="17"/>
          <w:color w:val="auto"/>
        </w:rPr>
        <w:t>Effective internal and disclosure controls are necessary for us to provide reliable financial reports and effectively prevent fraud and to operate successfully as a public company. If we cannot provide reliable financial reports or prevent fraud, our reputation and operating results would be harmed. A “material weakness” is a significant deficiency or combination of significant deficiencies in internal control over financial reporting that results in a reasonable possibility that a material misstatement of the annual or interim financial statements will not be prevented or detected and corrected on a timely basis. A “significant deficiency” is a deficiency, or combination of deficiencies, in internal control over financial reporting that is less severe than a material weakness, yet important enough to merit attention of those responsible for oversight of our financial reporting.</w:t>
      </w:r>
    </w:p>
    <w:p>
      <w:pPr>
        <w:spacing w:after="0" w:line="70"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To the extent that any material weakness or significant deficiency exists in our consolidated subsidiaries' internal control over financial reporting, such material weakness or significant deficiency may adversely affect our ability to provide timely and reliable financial information necessary for the conduct of our business and satisfaction of our reporting obligations under federal securities laws, that could affect our ability to remain listed on NASDAQ. Ineffective internal and disclosure controls could cause investors to lose confidence in our reported financial information, which could have a negative effect on the trading price of our depositary units or the rating of our debt.</w:t>
      </w:r>
    </w:p>
    <w:p>
      <w:pPr>
        <w:spacing w:after="0" w:line="200" w:lineRule="exact"/>
        <w:rPr>
          <w:sz w:val="20"/>
          <w:szCs w:val="20"/>
          <w:color w:val="auto"/>
        </w:rPr>
      </w:pPr>
    </w:p>
    <w:p>
      <w:pPr>
        <w:spacing w:after="0" w:line="30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Risks Relating to Our Investment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may be subject to significant uncertainties.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investments may not be successful for many reasons, including, but not limited to:</w:t>
      </w:r>
    </w:p>
    <w:p>
      <w:pPr>
        <w:spacing w:after="0" w:line="23" w:lineRule="exact"/>
        <w:rPr>
          <w:sz w:val="20"/>
          <w:szCs w:val="20"/>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of interest rates;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control in minority investments;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worsening of general economic and market conditions;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diversification;</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success of the Investment Funds' activist strategies;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of U.S. dollar exchange rates; and</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legal and regulatory developments that may affect particular businesses.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historical financial information for the Investment Funds is not necessarily indicative of its future performance.</w:t>
      </w:r>
    </w:p>
    <w:p>
      <w:pPr>
        <w:spacing w:after="0" w:line="117" w:lineRule="exact"/>
        <w:rPr>
          <w:sz w:val="20"/>
          <w:szCs w:val="20"/>
          <w:color w:val="auto"/>
        </w:rPr>
      </w:pPr>
    </w:p>
    <w:p>
      <w:pPr>
        <w:ind w:right="380" w:firstLine="378"/>
        <w:spacing w:after="0" w:line="297" w:lineRule="auto"/>
        <w:rPr>
          <w:sz w:val="20"/>
          <w:szCs w:val="20"/>
          <w:color w:val="auto"/>
        </w:rPr>
      </w:pPr>
      <w:r>
        <w:rPr>
          <w:rFonts w:ascii="Arial" w:cs="Arial" w:eastAsia="Arial" w:hAnsi="Arial"/>
          <w:sz w:val="16"/>
          <w:szCs w:val="16"/>
          <w:color w:val="auto"/>
        </w:rPr>
        <w:t>Our Investment segment's financial information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6" w:right="239" w:bottom="1440" w:gutter="0" w:footer="0" w:header="0"/>
        </w:sectPr>
      </w:pPr>
    </w:p>
    <w:bookmarkStart w:id="17" w:name="page18"/>
    <w:bookmarkEnd w:id="17"/>
    <w:p>
      <w:pPr>
        <w:jc w:val="both"/>
        <w:ind w:right="440"/>
        <w:spacing w:after="0" w:line="264" w:lineRule="auto"/>
        <w:rPr>
          <w:sz w:val="20"/>
          <w:szCs w:val="20"/>
          <w:color w:val="auto"/>
        </w:rPr>
      </w:pPr>
      <w:r>
        <w:rPr>
          <w:rFonts w:ascii="Arial" w:cs="Arial" w:eastAsia="Arial" w:hAnsi="Arial"/>
          <w:sz w:val="18"/>
          <w:szCs w:val="18"/>
          <w:color w:val="auto"/>
        </w:rPr>
        <w:t>results of operations and the comparability of results of operations year over year and as such, future results of operations will be impacted by our future exposures and future market conditions, which may not be consistent with prior trends. Additionally, future returns may be affected by additional risks, including risks of the industries and businesses in which a particular fund invests.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identify suitable investments, and our investments may not result in favorable returns or may result in losses.</w:t>
      </w:r>
    </w:p>
    <w:p>
      <w:pPr>
        <w:spacing w:after="0" w:line="117"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 provide the potential for higher yields and therefore may entail higher risk and may include the securities of bankrupt or distressed companies. In addition, we may engage in various investment techniques, including derivatives, options and futures transactions, foreign currency transactions, “short” sales and leveraging for either hedging or other purposes. We may concentrate our activities by owning significant or controlling interests in certain investments. We may not be successful in finding suitable opportunities to invest our cash and our strategy of investing in undervalued assets may expose us to numerous risks.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execution of our activist investment activities involves many risks, certain of which are outside of our control.</w:t>
      </w:r>
    </w:p>
    <w:p>
      <w:pPr>
        <w:spacing w:after="0" w:line="117"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The success of our investment strategy may require, among other things: (i) that we properly identify companies whose securities prices can be improved through corporate and/or strategic action or successful restructuring of their operations; (ii) that we acquire sufficient securities of such companies at a sufficiently attractive price; (iii) that we avoid triggering anti-takeover and regulatory obstacles while aggregating our positions; (iv) that management of portfolio companies and other security holders respond positively to our proposals; and (v) that the market price of portfolio companies' securities increases in response to any actions taken by the portfolio companies. We cannot assure you that any of the foregoing will succeed.</w:t>
      </w:r>
    </w:p>
    <w:p>
      <w:pPr>
        <w:spacing w:after="0" w:line="64"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The success of the Investment Funds depends upon the ability of our Investment segment to successfully develop and implement investment strategies that achieve the Investment Funds' objectives. Subjective decisions made by employees of our Investment segment may cause the Investment Funds to incur losses or to miss profit opportunities on which the Investment Funds would otherwise have capitalized. In addition, in the event that Mr. Icahn ceases to participate in the management of the Investment Funds, the consequences to the Investment Funds and our interest in them could be material and adverse and could lead to the premature termination of the Investment Funds.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Funds make investments in companies we do not control.</w:t>
      </w:r>
    </w:p>
    <w:p>
      <w:pPr>
        <w:spacing w:after="0" w:line="117"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spacing w:after="0" w:line="5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6"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w:t>
      </w:r>
    </w:p>
    <w:p>
      <w:pPr>
        <w:spacing w:after="0" w:line="62"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Certain investment positions held by the Investment Funds may be illiquid. The Investment Funds may own restricted or non-publicly traded securities and securities traded on foreign exchanges. We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spacing w:after="0" w:line="80"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At any given time, the Investment Funds' assets may become highly concentrated within a particular company, industry, asset category, trading style or financial or economic market. In that event, the Investment Funds' investment portfolio will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8" w:name="page19"/>
    <w:bookmarkEnd w:id="18"/>
    <w:p>
      <w:pPr>
        <w:spacing w:after="0" w:line="286" w:lineRule="auto"/>
        <w:rPr>
          <w:sz w:val="20"/>
          <w:szCs w:val="20"/>
          <w:color w:val="auto"/>
        </w:rPr>
      </w:pPr>
      <w:r>
        <w:rPr>
          <w:rFonts w:ascii="Arial" w:cs="Arial" w:eastAsia="Arial" w:hAnsi="Arial"/>
          <w:sz w:val="17"/>
          <w:szCs w:val="17"/>
          <w:color w:val="auto"/>
        </w:rPr>
        <w:t>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w:t>
      </w:r>
    </w:p>
    <w:p>
      <w:pPr>
        <w:spacing w:after="0" w:line="57" w:lineRule="exact"/>
        <w:rPr>
          <w:sz w:val="20"/>
          <w:szCs w:val="20"/>
          <w:color w:val="auto"/>
        </w:rPr>
      </w:pPr>
    </w:p>
    <w:p>
      <w:pPr>
        <w:ind w:right="20" w:firstLine="378"/>
        <w:spacing w:after="0" w:line="268" w:lineRule="auto"/>
        <w:rPr>
          <w:sz w:val="20"/>
          <w:szCs w:val="20"/>
          <w:color w:val="auto"/>
        </w:rPr>
      </w:pPr>
      <w:r>
        <w:rPr>
          <w:rFonts w:ascii="Arial" w:cs="Arial" w:eastAsia="Arial" w:hAnsi="Arial"/>
          <w:sz w:val="17"/>
          <w:szCs w:val="17"/>
          <w:color w:val="auto"/>
        </w:rPr>
        <w:t>As of December 31, 2018, our top five holdings in the Investment Funds had a market value of approximately $4.3 billion, which represented approximately 43% of our assets under management for the Investment Segment. Our largest holding at December 31, 2018 was Herbalife Ltd. (“Herbalife”), which had a market value of approximately $1.7 billion, and represented approximately 16%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For example, Herbalife previously disclosed in its public filings that the SEC and the Department of Justice have been conducting an investigation into Herbalife’s compliance with the Foreign Corrupt Practices Act in China, which is mainly focused on Herbalife’s China external affairs expenditures relating to its China business activities and the adequacy of and compliance with Herbalife’s internal controls relating to such expenditures, and while it cannot predict the eventual scope, duration, or outcome of the government investigation at this time, including potential monetary payments, injunctions, or other relief, the results of this investigation could have a materially adverse impact on Herbalife’s financial condition, results of operations, and operations and the trading price of its common shares, which could, in turn, have a material adverse impact on our consolidated financial position, results of operations or cash flows and the trading price of our depositary units. Certain of the companies in our Investment Funds file annual, quarterly and current reports with the SEC, which are publicly available, and contain additional risk factors with respect to such companies.</w:t>
      </w:r>
    </w:p>
    <w:p>
      <w:pPr>
        <w:spacing w:after="0" w:line="80" w:lineRule="exact"/>
        <w:rPr>
          <w:sz w:val="20"/>
          <w:szCs w:val="20"/>
          <w:color w:val="auto"/>
        </w:rPr>
      </w:pPr>
    </w:p>
    <w:p>
      <w:pPr>
        <w:ind w:right="380" w:firstLine="378"/>
        <w:spacing w:after="0" w:line="302" w:lineRule="auto"/>
        <w:rPr>
          <w:sz w:val="20"/>
          <w:szCs w:val="20"/>
          <w:color w:val="auto"/>
        </w:rPr>
      </w:pPr>
      <w:r>
        <w:rPr>
          <w:rFonts w:ascii="Arial" w:cs="Arial" w:eastAsia="Arial" w:hAnsi="Arial"/>
          <w:sz w:val="16"/>
          <w:szCs w:val="16"/>
          <w:color w:val="auto"/>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46" w:lineRule="exact"/>
        <w:rPr>
          <w:sz w:val="20"/>
          <w:szCs w:val="20"/>
          <w:color w:val="auto"/>
        </w:rPr>
      </w:pPr>
    </w:p>
    <w:p>
      <w:pPr>
        <w:ind w:right="440" w:firstLine="378"/>
        <w:spacing w:after="0" w:line="302" w:lineRule="auto"/>
        <w:rPr>
          <w:sz w:val="20"/>
          <w:szCs w:val="20"/>
          <w:color w:val="auto"/>
        </w:rPr>
      </w:pPr>
      <w:r>
        <w:rPr>
          <w:rFonts w:ascii="Arial" w:cs="Arial" w:eastAsia="Arial" w:hAnsi="Arial"/>
          <w:sz w:val="16"/>
          <w:szCs w:val="16"/>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46" w:lineRule="exact"/>
        <w:rPr>
          <w:sz w:val="20"/>
          <w:szCs w:val="20"/>
          <w:color w:val="auto"/>
        </w:rPr>
      </w:pPr>
    </w:p>
    <w:p>
      <w:pPr>
        <w:jc w:val="both"/>
        <w:ind w:right="100" w:firstLine="378"/>
        <w:spacing w:after="0" w:line="312" w:lineRule="auto"/>
        <w:rPr>
          <w:sz w:val="20"/>
          <w:szCs w:val="20"/>
          <w:color w:val="auto"/>
        </w:rPr>
      </w:pPr>
      <w:r>
        <w:rPr>
          <w:rFonts w:ascii="Arial" w:cs="Arial" w:eastAsia="Arial" w:hAnsi="Arial"/>
          <w:sz w:val="16"/>
          <w:szCs w:val="16"/>
          <w:color w:val="auto"/>
        </w:rPr>
        <w:t>For reasons not necessarily attributable to any of the risks set forth in this Report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levels at a future time of valuation or at the time of sale.</w:t>
      </w:r>
    </w:p>
    <w:p>
      <w:pPr>
        <w:spacing w:after="0" w:line="39" w:lineRule="exact"/>
        <w:rPr>
          <w:sz w:val="20"/>
          <w:szCs w:val="20"/>
          <w:color w:val="auto"/>
        </w:rPr>
      </w:pPr>
    </w:p>
    <w:p>
      <w:pPr>
        <w:ind w:right="160" w:firstLine="378"/>
        <w:spacing w:after="0" w:line="302" w:lineRule="auto"/>
        <w:rPr>
          <w:sz w:val="20"/>
          <w:szCs w:val="20"/>
          <w:color w:val="auto"/>
        </w:rPr>
      </w:pPr>
      <w:r>
        <w:rPr>
          <w:rFonts w:ascii="Arial" w:cs="Arial" w:eastAsia="Arial" w:hAnsi="Arial"/>
          <w:sz w:val="16"/>
          <w:szCs w:val="16"/>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leverage in investments by the Investment Funds may pose a significant degree of risk and may enhance the possibility of significant loss in the value of the investments in the Investment Funds.</w:t>
      </w:r>
    </w:p>
    <w:p>
      <w:pPr>
        <w:spacing w:after="0" w:line="62"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The Investment Funds may leverage their capital if their general partners believe that the use of leverage may enable the Investment Funds to achieve a higher rate of return. Accordingly, the Investment Funds may pledge its securities in order to borrow additional funds for investment purposes. The Investment Funds may also leverage its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w:t>
      </w:r>
    </w:p>
    <w:p>
      <w:pPr>
        <w:spacing w:after="0" w:line="58"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76" w:right="259" w:bottom="1440" w:gutter="0" w:footer="0" w:header="0"/>
        </w:sectPr>
      </w:pPr>
    </w:p>
    <w:bookmarkStart w:id="19" w:name="page20"/>
    <w:bookmarkEnd w:id="19"/>
    <w:p>
      <w:pPr>
        <w:ind w:right="380"/>
        <w:spacing w:after="0" w:line="277" w:lineRule="auto"/>
        <w:rPr>
          <w:sz w:val="20"/>
          <w:szCs w:val="20"/>
          <w:color w:val="auto"/>
        </w:rPr>
      </w:pPr>
      <w:r>
        <w:rPr>
          <w:rFonts w:ascii="Arial" w:cs="Arial" w:eastAsia="Arial" w:hAnsi="Arial"/>
          <w:sz w:val="18"/>
          <w:szCs w:val="18"/>
          <w:color w:val="auto"/>
        </w:rPr>
        <w:t>a sudden drop in the value of any of the Investment Funds' assets, the Investment Funds might not be able to liquidate assets quickly enough to satisfy its margin requirements.</w:t>
      </w:r>
    </w:p>
    <w:p>
      <w:pPr>
        <w:spacing w:after="0" w:line="62"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The Investment Funds may enter into repurchase and reverse repurchase agreements. When the Investment Funds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spacing w:after="0" w:line="72"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possibility of increased regulation could result in additional burdens on our Investment segment.</w:t>
      </w:r>
    </w:p>
    <w:p>
      <w:pPr>
        <w:spacing w:after="0" w:line="117"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The Dodd-Frank Wall Street Reform and Consumer Protection Act (the "Reform Act"), enacted into law in July 2010, resulted in regulations affecting almost every part of the financial services industry.</w:t>
      </w:r>
    </w:p>
    <w:p>
      <w:pPr>
        <w:spacing w:after="0" w:line="62" w:lineRule="exact"/>
        <w:rPr>
          <w:sz w:val="20"/>
          <w:szCs w:val="20"/>
          <w:color w:val="auto"/>
        </w:rPr>
      </w:pPr>
    </w:p>
    <w:p>
      <w:pPr>
        <w:ind w:firstLine="378"/>
        <w:spacing w:after="0" w:line="289" w:lineRule="auto"/>
        <w:rPr>
          <w:sz w:val="20"/>
          <w:szCs w:val="20"/>
          <w:color w:val="auto"/>
        </w:rPr>
      </w:pPr>
      <w:r>
        <w:rPr>
          <w:rFonts w:ascii="Arial" w:cs="Arial" w:eastAsia="Arial" w:hAnsi="Arial"/>
          <w:sz w:val="16"/>
          <w:szCs w:val="16"/>
          <w:color w:val="auto"/>
        </w:rPr>
        <w:t>The regulatory environment in which our Investment segment operates is subject to further regulation in addition to the rules already promulgated, including the Reform Act.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Such changes may limit the scope of investment activities that may be undertaken by the Investment Funds' managers. Any such changes could increase the cost of our Investment segment doing business and/or materially adversely impact its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 evolving area of law and is subject to modification by government and judicial action. The effect of any future regulatory change on the Investment Funds and the Investment segment could be substantial and adverse.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hedge investments successfully is subject to numerous risks.</w:t>
      </w:r>
    </w:p>
    <w:p>
      <w:pPr>
        <w:spacing w:after="0" w:line="117" w:lineRule="exact"/>
        <w:rPr>
          <w:sz w:val="20"/>
          <w:szCs w:val="20"/>
          <w:color w:val="auto"/>
        </w:rPr>
      </w:pPr>
    </w:p>
    <w:p>
      <w:pPr>
        <w:ind w:right="100" w:firstLine="378"/>
        <w:spacing w:after="0" w:line="273" w:lineRule="auto"/>
        <w:rPr>
          <w:sz w:val="20"/>
          <w:szCs w:val="20"/>
          <w:color w:val="auto"/>
        </w:rPr>
      </w:pPr>
      <w:r>
        <w:rPr>
          <w:rFonts w:ascii="Arial" w:cs="Arial" w:eastAsia="Arial" w:hAnsi="Arial"/>
          <w:sz w:val="17"/>
          <w:szCs w:val="17"/>
          <w:color w:val="auto"/>
        </w:rPr>
        <w:t>The Investment Funds may utilize financial instruments, both for investment purposes and for risk management purposes in order to (i) 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 increase in the price of any securities our Investment segment anticipate purchasing at a later date; or (vii) for any other reason that our Investment segment deems appropriate.</w:t>
      </w:r>
    </w:p>
    <w:p>
      <w:pPr>
        <w:spacing w:after="0" w:line="70"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 timely manner. While the Investment Funds may enter into hedging transactions to seek to reduce risk, such transactions may result in a poorer overall performance for the Investment Funds than if it had not engaged in such hedging transactions. For a variety of reasons, the Investment Funds may not seek to establish a perfect correlation between the hedging instruments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76" w:right="259" w:bottom="1440" w:gutter="0" w:footer="0" w:header="0"/>
        </w:sectPr>
      </w:pPr>
    </w:p>
    <w:bookmarkStart w:id="20" w:name="page21"/>
    <w:bookmarkEnd w:id="20"/>
    <w:p>
      <w:pPr>
        <w:ind w:right="260"/>
        <w:spacing w:after="0" w:line="302" w:lineRule="auto"/>
        <w:rPr>
          <w:sz w:val="20"/>
          <w:szCs w:val="20"/>
          <w:color w:val="auto"/>
        </w:rPr>
      </w:pPr>
      <w:r>
        <w:rPr>
          <w:rFonts w:ascii="Arial" w:cs="Arial" w:eastAsia="Arial" w:hAnsi="Arial"/>
          <w:sz w:val="16"/>
          <w:szCs w:val="16"/>
          <w:color w:val="auto"/>
        </w:rPr>
        <w:t>utilized and the portfolio holdings being hedged. Such an imperfect correlation may prevent the Investment Funds from achieving the intended hedge or expose the Investment Funds to risk of loss. The Investment Funds do not intend to seek to hedge every position and may determine not to hedge against a particular risk for various reasons, including, but not limited to, because they do not regard the probability of the risk occurring to be sufficiently high as to justify the cost of the hedge. Our Investment segment may not foresee the occurrence of the risk and therefore may not hedge against all risks.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Investment Funds invest in distressed securities, as well as bank loans, asset backed securities and mortgage backed securities.</w:t>
      </w:r>
    </w:p>
    <w:p>
      <w:pPr>
        <w:spacing w:after="0" w:line="129"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The Investment Funds may invest in securities of U.S. and non-U.S. issuers in weak financial condition, experiencing poor operating results, having substantial capital needs or negative net worth, facing special competitive or product obsolescence problems, or that are involved in bankruptcy or reorganization proceedings. Investments of this type may involve substantial financial, legal and business risks that can result in substantial, or at times even total, losses. The market prices of such securities are subject to abrupt and erratic market movements and above-average price volatility. It may take 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spacing w:after="0" w:line="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62" w:lineRule="exact"/>
        <w:rPr>
          <w:sz w:val="20"/>
          <w:szCs w:val="20"/>
          <w:color w:val="auto"/>
        </w:rPr>
      </w:pPr>
    </w:p>
    <w:p>
      <w:pPr>
        <w:ind w:right="20" w:firstLine="378"/>
        <w:spacing w:after="0" w:line="287" w:lineRule="auto"/>
        <w:rPr>
          <w:sz w:val="20"/>
          <w:szCs w:val="20"/>
          <w:color w:val="auto"/>
        </w:rPr>
      </w:pPr>
      <w:r>
        <w:rPr>
          <w:rFonts w:ascii="Arial" w:cs="Arial" w:eastAsia="Arial" w:hAnsi="Arial"/>
          <w:sz w:val="16"/>
          <w:szCs w:val="16"/>
          <w:color w:val="auto"/>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 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 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Funds' investments are subject to numerous additional risks including those described below.</w:t>
      </w:r>
    </w:p>
    <w:p>
      <w:pPr>
        <w:spacing w:after="0" w:line="225" w:lineRule="exact"/>
        <w:rPr>
          <w:sz w:val="20"/>
          <w:szCs w:val="20"/>
          <w:color w:val="auto"/>
        </w:rPr>
      </w:pPr>
    </w:p>
    <w:p>
      <w:pPr>
        <w:ind w:left="660" w:right="360" w:hanging="260"/>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there are few limitations set forth in the governing documents of the Investment Funds on the execution of their investment activities, which are subject to the sole discretion of our Investment segment.</w:t>
      </w:r>
    </w:p>
    <w:p>
      <w:pPr>
        <w:spacing w:after="0" w:line="1" w:lineRule="exact"/>
        <w:rPr>
          <w:rFonts w:ascii="Arial" w:cs="Arial" w:eastAsia="Arial" w:hAnsi="Arial"/>
          <w:sz w:val="18"/>
          <w:szCs w:val="18"/>
          <w:color w:val="auto"/>
        </w:rPr>
      </w:pPr>
    </w:p>
    <w:p>
      <w:pPr>
        <w:ind w:left="660" w:hanging="260"/>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If it is covered, the Investment Funds would forego the opportunity for profit on the underlying security should the market price of the security rise above the exercise price. Swaps and certain options and other custom instruments are subject to the risk of non-performance by the swap counterparty, including risks relating to the creditworthiness of the swap counterparty, market risk, liquidity risk and operations risk.</w:t>
      </w:r>
    </w:p>
    <w:p>
      <w:pPr>
        <w:spacing w:after="0" w:line="3" w:lineRule="exact"/>
        <w:rPr>
          <w:rFonts w:ascii="Arial" w:cs="Arial" w:eastAsia="Arial" w:hAnsi="Arial"/>
          <w:sz w:val="18"/>
          <w:szCs w:val="18"/>
          <w:color w:val="auto"/>
        </w:rPr>
      </w:pPr>
    </w:p>
    <w:p>
      <w:pPr>
        <w:ind w:left="660" w:right="20" w:hanging="260"/>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Funds will be able to maintain the ability to borrow securities sold short. There also can be no assurance that the securities necessary to cover a short position will be available for purchase at or near prices quoted in the market.</w:t>
      </w:r>
    </w:p>
    <w:p>
      <w:pPr>
        <w:spacing w:after="0" w:line="2" w:lineRule="exact"/>
        <w:rPr>
          <w:rFonts w:ascii="Arial" w:cs="Arial" w:eastAsia="Arial" w:hAnsi="Arial"/>
          <w:sz w:val="18"/>
          <w:szCs w:val="18"/>
          <w:color w:val="auto"/>
        </w:rPr>
      </w:pPr>
    </w:p>
    <w:p>
      <w:pPr>
        <w:ind w:left="660" w:right="300" w:hanging="260"/>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Investment Funds to execute a short selling strategy may be materially adversely impacted by temporary and/or new permanent rules, interpretations, prohibitions and restrictions adopted in response to adverse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76" w:right="239" w:bottom="1440" w:gutter="0" w:footer="0" w:header="0"/>
        </w:sectPr>
      </w:pPr>
    </w:p>
    <w:bookmarkStart w:id="21" w:name="page22"/>
    <w:bookmarkEnd w:id="21"/>
    <w:p>
      <w:pPr>
        <w:ind w:left="660" w:right="20"/>
        <w:spacing w:after="0" w:line="289" w:lineRule="auto"/>
        <w:rPr>
          <w:sz w:val="20"/>
          <w:szCs w:val="20"/>
          <w:color w:val="auto"/>
        </w:rPr>
      </w:pPr>
      <w:r>
        <w:rPr>
          <w:rFonts w:ascii="Arial" w:cs="Arial" w:eastAsia="Arial" w:hAnsi="Arial"/>
          <w:sz w:val="18"/>
          <w:szCs w:val="18"/>
          <w:color w:val="auto"/>
        </w:rPr>
        <w:t>market events. Regulatory authorities may from time-to-time impose restrictions that adversely affect the Investment Funds' ability to borrow certain securities in connection with short sale transactions. 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p>
      <w:pPr>
        <w:spacing w:after="0" w:line="3" w:lineRule="exact"/>
        <w:rPr>
          <w:sz w:val="20"/>
          <w:szCs w:val="20"/>
          <w:color w:val="auto"/>
        </w:rPr>
      </w:pPr>
    </w:p>
    <w:p>
      <w:pPr>
        <w:ind w:left="660" w:hanging="260"/>
        <w:spacing w:after="0" w:line="26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 Fund to suffer a loss. Such “counterparty risk” is accentuated for contracts with longer maturities where events may intervene to prevent settlement, or where the Investment Funds have concentrated its transactions with a single or small group of its counterparties. The Investment Funds are not restricted from dealing with any particular counterparty or from concentrating any or all of the Investment Funds' transactions with one counterparty.</w:t>
      </w:r>
    </w:p>
    <w:p>
      <w:pPr>
        <w:spacing w:after="0" w:line="3" w:lineRule="exact"/>
        <w:rPr>
          <w:rFonts w:ascii="Arial" w:cs="Arial" w:eastAsia="Arial" w:hAnsi="Arial"/>
          <w:sz w:val="17"/>
          <w:szCs w:val="17"/>
          <w:color w:val="auto"/>
        </w:rPr>
      </w:pPr>
    </w:p>
    <w:p>
      <w:pPr>
        <w:ind w:left="660" w:hanging="260"/>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p>
      <w:pPr>
        <w:spacing w:after="0" w:line="1" w:lineRule="exact"/>
        <w:rPr>
          <w:rFonts w:ascii="Arial" w:cs="Arial" w:eastAsia="Arial" w:hAnsi="Arial"/>
          <w:sz w:val="18"/>
          <w:szCs w:val="18"/>
          <w:color w:val="auto"/>
        </w:rPr>
      </w:pPr>
    </w:p>
    <w:p>
      <w:pPr>
        <w:ind w:left="660" w:right="40" w:hanging="260"/>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 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p>
      <w:pPr>
        <w:spacing w:after="0" w:line="2" w:lineRule="exact"/>
        <w:rPr>
          <w:rFonts w:ascii="Arial" w:cs="Arial" w:eastAsia="Arial" w:hAnsi="Arial"/>
          <w:sz w:val="18"/>
          <w:szCs w:val="18"/>
          <w:color w:val="auto"/>
        </w:rPr>
      </w:pPr>
    </w:p>
    <w:p>
      <w:pPr>
        <w:ind w:left="660" w:right="40" w:hanging="260"/>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Investment Funds assets may be held in one or more accounts maintained for the Investment Fund by its prime brokers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p>
      <w:pPr>
        <w:spacing w:after="0" w:line="4" w:lineRule="exact"/>
        <w:rPr>
          <w:rFonts w:ascii="Arial" w:cs="Arial" w:eastAsia="Arial" w:hAnsi="Arial"/>
          <w:sz w:val="16"/>
          <w:szCs w:val="16"/>
          <w:color w:val="auto"/>
        </w:rPr>
      </w:pPr>
    </w:p>
    <w:p>
      <w:pPr>
        <w:ind w:left="660" w:right="60" w:hanging="260"/>
        <w:spacing w:after="0" w:line="2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 counterparty, a synthetic financial instrument may have a different expected return. The Investment Funds may also invest in credit default swaps.</w:t>
      </w:r>
    </w:p>
    <w:p>
      <w:pPr>
        <w:spacing w:after="0" w:line="200" w:lineRule="exact"/>
        <w:rPr>
          <w:sz w:val="20"/>
          <w:szCs w:val="20"/>
          <w:color w:val="auto"/>
        </w:rPr>
      </w:pPr>
    </w:p>
    <w:p>
      <w:pPr>
        <w:spacing w:after="0" w:line="31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Relating to our Consolidated Operating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regulations and regulatory actions can adversely affect our operating results and our ability to allocate capital.</w:t>
      </w:r>
    </w:p>
    <w:p>
      <w:pPr>
        <w:spacing w:after="0" w:line="117" w:lineRule="exact"/>
        <w:rPr>
          <w:sz w:val="20"/>
          <w:szCs w:val="20"/>
          <w:color w:val="auto"/>
        </w:rPr>
      </w:pPr>
    </w:p>
    <w:p>
      <w:pPr>
        <w:ind w:firstLine="378"/>
        <w:spacing w:after="0" w:line="302" w:lineRule="auto"/>
        <w:rPr>
          <w:sz w:val="20"/>
          <w:szCs w:val="20"/>
          <w:color w:val="auto"/>
        </w:rPr>
      </w:pPr>
      <w:r>
        <w:rPr>
          <w:rFonts w:ascii="Arial" w:cs="Arial" w:eastAsia="Arial" w:hAnsi="Arial"/>
          <w:sz w:val="16"/>
          <w:szCs w:val="16"/>
          <w:color w:val="auto"/>
        </w:rPr>
        <w:t>In recent years, regulatory authorities have increased their regulation and scrutiny of businesses partially in response to financial markets crises, global economic recessions, and social and environmental issues. These initiatives may impact our operating subsidiaries, particularly those within our Energy and Mining segments. Changes in regulation and regulatory actions may increase our compliance costs and may require changes to how our operating subsidiaries conduct their businesses. Any regulatory changes could have a significant negative impact on our financial condition, results of operations or cash flows.</w:t>
      </w:r>
    </w:p>
    <w:p>
      <w:pPr>
        <w:spacing w:after="0" w:line="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operating subsidiaries operate businesses which are subject to the risk of operational disruptions, damage to property, injury to persons or environmental and legal liability. Our operating subsidiaries could incur potentially significant costs to the extent there are unforeseen events which are not fully insured.</w:t>
      </w:r>
    </w:p>
    <w:p>
      <w:pPr>
        <w:spacing w:after="0" w:line="73"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Our operating subsidiaries, particularly within our Energy and Mining segments, may become subject to catastrophic loss, which may cause operations to shut down or become significantly impaired. Our operating subsidiaries may also be subject to liability for hazards for which it cannot be insured, which could exceed policy limits or against which it may elect not to be insured due to high premium costs. Examples of such risks include but are not limited to industrial accidents, environmental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95" w:right="259" w:bottom="1440" w:gutter="0" w:footer="0" w:header="0"/>
        </w:sectPr>
      </w:pPr>
    </w:p>
    <w:bookmarkStart w:id="22" w:name="page23"/>
    <w:bookmarkEnd w:id="22"/>
    <w:p>
      <w:pPr>
        <w:ind w:right="140"/>
        <w:spacing w:after="0" w:line="272" w:lineRule="auto"/>
        <w:rPr>
          <w:sz w:val="20"/>
          <w:szCs w:val="20"/>
          <w:color w:val="auto"/>
        </w:rPr>
      </w:pPr>
      <w:r>
        <w:rPr>
          <w:rFonts w:ascii="Arial" w:cs="Arial" w:eastAsia="Arial" w:hAnsi="Arial"/>
          <w:sz w:val="17"/>
          <w:szCs w:val="17"/>
          <w:color w:val="auto"/>
        </w:rPr>
        <w:t>hazards, power outages, equipment failures, structural failures, flooding, unusual or unexpected geological conditions and severe weather conditions, among others. These events may damage or destroy properties, production facilities, transport facilities and equipment, as well as lead to personal injury or death, environmental damage, waste from intermediary products or resources, production or transportation delays and monetary losses or legal liability. Such damages are not limited to our operations or our employees and could significantly impact the surrounding areas. Operations at our subsidiaries could be curtailed, limited or completely shut down for an extended period of time, or indefinitely, as a result of one or more unforeseen events and circumstances, which may or may not be within our control, and which may not be adequately insured. Any one of these events and circumstances could have a material adverse impact on our operations, financial condition and cash flows.</w:t>
      </w:r>
    </w:p>
    <w:p>
      <w:pPr>
        <w:spacing w:after="0" w:line="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Environmental laws and regulations could require our operating subsidiaries to make substantial capital expenditures to remain in compliance or to remediate current or future contamination that could give rise to material liabilities.</w:t>
      </w:r>
    </w:p>
    <w:p>
      <w:pPr>
        <w:spacing w:after="0" w:line="62" w:lineRule="exact"/>
        <w:rPr>
          <w:sz w:val="20"/>
          <w:szCs w:val="20"/>
          <w:color w:val="auto"/>
        </w:rPr>
      </w:pPr>
    </w:p>
    <w:p>
      <w:pPr>
        <w:ind w:right="300" w:firstLine="378"/>
        <w:spacing w:after="0" w:line="257" w:lineRule="auto"/>
        <w:rPr>
          <w:sz w:val="20"/>
          <w:szCs w:val="20"/>
          <w:color w:val="auto"/>
        </w:rPr>
      </w:pPr>
      <w:r>
        <w:rPr>
          <w:rFonts w:ascii="Arial" w:cs="Arial" w:eastAsia="Arial" w:hAnsi="Arial"/>
          <w:sz w:val="18"/>
          <w:szCs w:val="18"/>
          <w:color w:val="auto"/>
        </w:rPr>
        <w:t>Several of our subsidiaries are subject to a variety of federal, state and local environmental laws and regulations relating to the protection of the environment, including those governing the emission or discharge of pollutants into the environment, product specifications and the generation, treatment, storage, transportation, disposal and remediation of solid and hazardous wastes. Violations of these laws and regulations or permit conditions can result in substantial penalties, injunctive orders compelling installation of additional controls, civil and criminal sanctions, permit revocations and/or facility shutdowns.</w:t>
      </w:r>
    </w:p>
    <w:p>
      <w:pPr>
        <w:spacing w:after="0" w:line="80"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color w:val="auto"/>
        </w:rPr>
        <w:t>In addition, new environmental laws and regulations, new interpretations of existing laws and regulations, increased governmental enforcement of laws and regulations or other developments could require our businesses to make additional unforeseen expenditures. Many of these laws and regulations are becoming increasingly stringent, and the cost of compliance with these requirements can be expected to increase over time. The requirements to be met, as well as the technology and length of time available to meet those requirements, continue to develop and change. These expenditures or costs for environmental compliance could have a material adverse effect on our operating subsidiaries’ results of operations, financial condition and profitability. Certain of our subsidiaries' facilities operate under a number of federal and state permits, licenses and approvals with terms and conditions containing a significant number of prescriptive limits and performance standards in order to operate. These permits, licenses, approvals, limits and standards require a significant amount of monitoring, record keeping and reporting in order to demonstrate compliance with the underlying permit, license, approval, limit or standard. Non-compliance or incomplete documentation of our subsidiaries' compliance status may result in the imposition of fines, penalties and injunctive relief. Additionally, there may be times when certain of our subsidiaries are unable to meet the standards and terms and conditions of our permits, licenses and approvals due to operational upsets or malfunctions, which may lead to the imposition of fines and penalties or operating restrictions that may have a material adverse effect on their ability to operate their facilities and accordingly on our consolidated financial position, results of operations or cash flows. Refer to Note 17, "Commitments and Contingencies," to the consolidated financial statements for additional discussion of environmental matters affecting our businesses.</w:t>
      </w:r>
    </w:p>
    <w:p>
      <w:pPr>
        <w:spacing w:after="0" w:line="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Energy segment's businesses are, and commodity prices are, cyclical and highly volatile, which could have a material adverse effect on our results of operations, financial condition and cash flows.</w:t>
      </w:r>
    </w:p>
    <w:p>
      <w:pPr>
        <w:spacing w:after="0" w:line="62"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Our Energy segment's petroleum business' financial results are primarily affected by the margin between refined product prices and the prices for crude oil and other feedstocks. Historically, refining margins have been volatile, and are expected to continue to be volatile in the future. The petroleum business' cost to acquire feedstocks and the price at which it can ultimately sell refined products depend upon several factors beyond its control, including regional and global supply of and demand for crude oil, gasoline, diesel and other feedstocks and refined products. These in turn depend on, among other things, the availability and quantity of imports, the production levels of U.S. and international suppliers, levels of refined petroleum product inventories, productivity and growth (or the lack thereof) of U.S. and global economies, U.S. relationships with foreign governments, political affairs and the extent of governmental regulation.</w:t>
      </w:r>
    </w:p>
    <w:p>
      <w:pPr>
        <w:spacing w:after="0" w:line="81"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Some of these factors can vary by region and may change quickly, adding to market volatility, while others may have longer-term effects on refining and marketing margins, which are uncertain. CVR Refining does not produce crude oil and must purchase all of the crude oil it refines long before it refines them and sell the refined products. Price level changes during the period between purchasing feedstocks and selling the refined petroleum products from these feedstocks could have a significant effect on our Energy segment's financial results and a decline in market prices may negatively impact the carrying value of its inventories.</w:t>
      </w:r>
    </w:p>
    <w:p>
      <w:pPr>
        <w:spacing w:after="0" w:line="80" w:lineRule="exact"/>
        <w:rPr>
          <w:sz w:val="20"/>
          <w:szCs w:val="20"/>
          <w:color w:val="auto"/>
        </w:rPr>
      </w:pPr>
    </w:p>
    <w:p>
      <w:pPr>
        <w:ind w:right="100" w:firstLine="378"/>
        <w:spacing w:after="0" w:line="297" w:lineRule="auto"/>
        <w:rPr>
          <w:sz w:val="20"/>
          <w:szCs w:val="20"/>
          <w:color w:val="auto"/>
        </w:rPr>
      </w:pPr>
      <w:r>
        <w:rPr>
          <w:rFonts w:ascii="Arial" w:cs="Arial" w:eastAsia="Arial" w:hAnsi="Arial"/>
          <w:sz w:val="16"/>
          <w:szCs w:val="16"/>
          <w:color w:val="auto"/>
        </w:rPr>
        <w:t>Profitability is also impacted by the ability to purchase crude oil at a discount to benchmark crude oils, such as WTI, as the petroleum business does not produce any crude oil and must purchase all of the crude oil it refines. Crude oil differentials can fluctuate significantly based upon overall economic and crude oil market conditions. Adverse changes in crude oil differentials can adversely impact refining margins, earnings and cash flows. In addition, the petroleum business' purchases of crude oil, although based on WTI prices, have historically been at a discount to WTI because of the proximity of the refineries to the sources, existing logistics infrastructure and quality differences. Any change in the sources of crude oil, infrastructure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6" w:right="239" w:bottom="1440" w:gutter="0" w:footer="0" w:header="0"/>
        </w:sectPr>
      </w:pPr>
    </w:p>
    <w:bookmarkStart w:id="23" w:name="page24"/>
    <w:bookmarkEnd w:id="23"/>
    <w:p>
      <w:pPr>
        <w:ind w:right="180"/>
        <w:spacing w:after="0" w:line="277" w:lineRule="auto"/>
        <w:rPr>
          <w:sz w:val="20"/>
          <w:szCs w:val="20"/>
          <w:color w:val="auto"/>
        </w:rPr>
      </w:pPr>
      <w:r>
        <w:rPr>
          <w:rFonts w:ascii="Arial" w:cs="Arial" w:eastAsia="Arial" w:hAnsi="Arial"/>
          <w:sz w:val="18"/>
          <w:szCs w:val="18"/>
          <w:color w:val="auto"/>
        </w:rPr>
        <w:t>logistical improvements or quality differences could result in a reduction of the petroleum business' historical discount to WTI and may result in a reduction of our Energy segment's cost advantage.</w:t>
      </w:r>
    </w:p>
    <w:p>
      <w:pPr>
        <w:spacing w:after="0" w:line="62" w:lineRule="exact"/>
        <w:rPr>
          <w:sz w:val="20"/>
          <w:szCs w:val="20"/>
          <w:color w:val="auto"/>
        </w:rPr>
      </w:pPr>
    </w:p>
    <w:p>
      <w:pPr>
        <w:ind w:right="300" w:firstLine="378"/>
        <w:spacing w:after="0" w:line="308" w:lineRule="auto"/>
        <w:rPr>
          <w:sz w:val="20"/>
          <w:szCs w:val="20"/>
          <w:color w:val="auto"/>
        </w:rPr>
      </w:pPr>
      <w:r>
        <w:rPr>
          <w:rFonts w:ascii="Arial" w:cs="Arial" w:eastAsia="Arial" w:hAnsi="Arial"/>
          <w:sz w:val="17"/>
          <w:szCs w:val="17"/>
          <w:color w:val="auto"/>
        </w:rPr>
        <w:t>Volatile prices for natural gas and electricity affect the petroleum business' manufacturing and operating costs. Natural gas and electricity prices have been, and will continue to be, affected by supply and demand for fuel and utility services in both local and regional markets.</w:t>
      </w:r>
    </w:p>
    <w:p>
      <w:pPr>
        <w:spacing w:after="0" w:line="3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If sufficient Renewable Identification Numbers (RINs) are unavailable for purchase or if our Energy segment’s petroleum business has to pay a significantly higher price for RINs, or if its petroleum business is otherwise unable to meet Renewable Fuel Standard mandates, our financial condition and results of operations could be materially adversely affected.</w:t>
      </w:r>
    </w:p>
    <w:p>
      <w:pPr>
        <w:spacing w:after="0" w:line="73" w:lineRule="exact"/>
        <w:rPr>
          <w:sz w:val="20"/>
          <w:szCs w:val="20"/>
          <w:color w:val="auto"/>
        </w:rPr>
      </w:pPr>
    </w:p>
    <w:p>
      <w:pPr>
        <w:ind w:right="20" w:firstLine="378"/>
        <w:spacing w:after="0" w:line="290" w:lineRule="auto"/>
        <w:rPr>
          <w:sz w:val="20"/>
          <w:szCs w:val="20"/>
          <w:color w:val="auto"/>
        </w:rPr>
      </w:pPr>
      <w:r>
        <w:rPr>
          <w:rFonts w:ascii="Arial" w:cs="Arial" w:eastAsia="Arial" w:hAnsi="Arial"/>
          <w:sz w:val="16"/>
          <w:szCs w:val="16"/>
          <w:color w:val="auto"/>
        </w:rPr>
        <w:t>The Environmental Protection Agency (the "EPA") has promulgated the Renewable Fuel Standards ("RFS"), which requires refiners to either blend "renewable fuels," such as ethanol and biodiesel, into their transportation fuels or purchase renewable fuel credits, known as RINs, in lieu of blending. Under the RFS, the volume of renewable fuels that refineries like Coffeyville and Wynnewood are obligated to blend into their finished petroleum products is adjusted annually by the EPA. The petroleum business is not able to blend the substantial majority of its transportation fuels, so it has to purchase RINs on the open market as well as waiver credits for cellulosic biofuels from the EPA, in order to comply with the RFS. The price of RINs has been extremely volatile as the EPA's proposed renewable fuel volume mandates approached and exceeded the "blend wall." The blend wall refers to the point at which the amount of ethanol blended into the transportation fuel supply exceeds the demand for transportation fuel containing such levels of ethanol. The blend wall is generally considered to be reached when more than 10% ethanol by volume ("E10 gasoline") is blended into transportation fuel.</w:t>
      </w:r>
    </w:p>
    <w:p>
      <w:pPr>
        <w:spacing w:after="0" w:line="58"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The petroleum business cannot predict the future prices of RINs. The price of RINs has been extremely volatile over the last year.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refineries and downstream terminals, all of which can vary significantly from period to period. However, the costs to obtain the necessary number of RINs and waiver credits could be material, if the price for RINs increases.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the petroleum business' cash flows. If the demand for the petroleum business' transportation fuel decreases as a result of the use of increasing volumes of renewable fuels, increased fuel economy as a result of new EPA fuel economy standards, or other factors, the impact on its business could be material. If sufficient RINs are unavailable for purchase, if the petroleum business has to pay a significantly higher price for RINs or if the petroleum business is otherwise unable to meet the EPA's RFS mandates, its business, financial condition and results of operations could be materially adversely affected.</w:t>
      </w:r>
    </w:p>
    <w:p>
      <w:pPr>
        <w:spacing w:after="0" w:line="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Commodity derivative contracts, particularly with respect to our Energy segment, may limit our potential gains, exacerbate potential losses and involve other risks.</w:t>
      </w:r>
    </w:p>
    <w:p>
      <w:pPr>
        <w:spacing w:after="0" w:line="62"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Our Energy segment’s petroleum business may enter into commodity derivatives contracts to mitigate crack spread risk with respect to a portion of its expected refined products production. However, its hedging arrangements may fail to fully achieve these objectives for a variety of reasons, including its failure to have adequate hedging contracts, if any, in effect at any particular time and the failure of its hedging arrangements to produce the anticipated results. The petroleum business may not be able to procure adequate hedging arrangements due to a variety of factors. Moreover, such transactions may limit its ability to benefit from favorable changes in margins. In addition, the petroleum business' hedging activities may expose it to the risk of financial loss in certain circumstances, including instances in which:</w:t>
      </w:r>
    </w:p>
    <w:p>
      <w:pPr>
        <w:spacing w:after="0" w:line="193" w:lineRule="exact"/>
        <w:rPr>
          <w:sz w:val="20"/>
          <w:szCs w:val="20"/>
          <w:color w:val="auto"/>
        </w:rPr>
      </w:pPr>
    </w:p>
    <w:p>
      <w:pPr>
        <w:ind w:left="660" w:right="980" w:hanging="260"/>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volumes of its actual use of crude oil or production of the applicable refined products is less than the volumes subject to the hedging arrangement;</w:t>
      </w:r>
    </w:p>
    <w:p>
      <w:pPr>
        <w:spacing w:after="0" w:line="1" w:lineRule="exact"/>
        <w:rPr>
          <w:rFonts w:ascii="Arial" w:cs="Arial" w:eastAsia="Arial" w:hAnsi="Arial"/>
          <w:sz w:val="18"/>
          <w:szCs w:val="18"/>
          <w:color w:val="auto"/>
        </w:rPr>
      </w:pPr>
    </w:p>
    <w:p>
      <w:pPr>
        <w:ind w:left="660" w:right="160" w:hanging="260"/>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accidents, interruptions in transportation, inclement weather or other events cause unscheduled shutdowns or otherwise adversely affect its refinery or suppliers or customers;</w:t>
      </w:r>
    </w:p>
    <w:p>
      <w:pPr>
        <w:ind w:left="660" w:hanging="26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counterparties to its futures contracts fail to perform under the contracts; or</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sudden, unexpected event materially impacts the commodity or crack spread subject to the hedging arrangement.</w:t>
      </w:r>
    </w:p>
    <w:p>
      <w:pPr>
        <w:spacing w:after="0" w:line="103"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As a result, the effectiveness of CVR Energy's risk mitigation strategy could have a material adverse impact on our Energy segment's financial results and cash flows.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laws and regulations could have a material adverse effect on our results of operations, financial condition, and cash flows.</w:t>
      </w:r>
    </w:p>
    <w:p>
      <w:pPr>
        <w:spacing w:after="0" w:line="129"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current administration has sought to implement a new or modified policy with respect to climate change. For example, the administration announced its intention to withdraw the United States from the Paris Climate Agreement, though the earliest possible effective date of withdrawal for the United States is November 2020. If efforts to address climate change resume, at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76" w:right="239" w:bottom="1440" w:gutter="0" w:footer="0" w:header="0"/>
        </w:sectPr>
      </w:pPr>
    </w:p>
    <w:bookmarkStart w:id="24" w:name="page25"/>
    <w:bookmarkEnd w:id="24"/>
    <w:p>
      <w:pPr>
        <w:ind w:right="40"/>
        <w:spacing w:after="0" w:line="264" w:lineRule="auto"/>
        <w:rPr>
          <w:sz w:val="20"/>
          <w:szCs w:val="20"/>
          <w:color w:val="auto"/>
        </w:rPr>
      </w:pPr>
      <w:r>
        <w:rPr>
          <w:rFonts w:ascii="Arial" w:cs="Arial" w:eastAsia="Arial" w:hAnsi="Arial"/>
          <w:sz w:val="18"/>
          <w:szCs w:val="18"/>
          <w:color w:val="auto"/>
        </w:rPr>
        <w:t>federal legislative level, this could mean Congressional passage of legislation adopting some form of federal mandatory GHG emission reduction, such as a nationwide cap-and-trade program. It is also possible that Congress may pass alternative climate change bills that do not mandate a nationwide cap-and-trade program and instead focus on promoting renewable energy and energy efficiency.</w:t>
      </w:r>
    </w:p>
    <w:p>
      <w:pPr>
        <w:spacing w:after="0" w:line="73"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 addition to potential federal legislation, a number of states have adopted regional greenhouse gas initiatives to reduce carbon dioxide and other GHG emissions. In 2007, a group of Midwest states, including Kansas (where CVR Energy has a refinery and nitrogen fertilizer facility), formed the Midwestern Greenhouse Gas Reduction Accord, which calls for the development of a cap-and-trade system to control GHG emissions and for the inventory of such emissions. However, the individual states that have signed on to the accord must adopt laws or regulations that implement the trading scheme before it becomes effective. To date, Kansas has taken no meaningful action to implement the accord, and it's unclear whether Kansas intends to do so in the future.</w:t>
      </w:r>
    </w:p>
    <w:p>
      <w:pPr>
        <w:spacing w:after="0" w:line="50"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Alternatively, the EPA may take further steps to regulate GHG emissions, although at this time it is unclear to what extent the EPA will pursue climate change regulation. The implementation of EPA regulations and/or the passage of federal or state climate change legislation may result in increased costs to</w:t>
      </w:r>
    </w:p>
    <w:p>
      <w:pPr>
        <w:jc w:val="both"/>
        <w:ind w:right="40" w:firstLine="8"/>
        <w:spacing w:after="0" w:line="255"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operate and maintain certain of our subsidiaries' facilities, (ii) install new emission controls on certain of our subsidiaries' facilities and (iii) administer and manage any GHG emissions program. Increased costs associated with compliance with any current or future legislation or regulation of GHG emissions, if it occurs, may have a material adverse effect on our results of operations, financial condition and cash flows.</w:t>
      </w:r>
    </w:p>
    <w:p>
      <w:pPr>
        <w:spacing w:after="0" w:line="8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climate change legislation and regulations may result in increased costs not only for our business but also users of our refined and fertilizer products, thereby potentially decreasing demand for our products. Decreased demand for our products may have a material adverse effect on our consolidated financial position, results of operations or cash flows.</w:t>
      </w:r>
    </w:p>
    <w:p>
      <w:pPr>
        <w:spacing w:after="0" w:line="7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b w:val="1"/>
          <w:bCs w:val="1"/>
          <w:i w:val="1"/>
          <w:iCs w:val="1"/>
          <w:color w:val="auto"/>
        </w:rPr>
        <w:t>Our subsidiaries' competitors may be larger and have greater financial resources and operational capabilities than our subsidiaries do, which may require them or us to invest significant additional capital in order to effectively compete. Our investments, or our subsidiaries' investments, may not achieve desired results.</w:t>
      </w:r>
    </w:p>
    <w:p>
      <w:pPr>
        <w:spacing w:after="0" w:line="73" w:lineRule="exact"/>
        <w:rPr>
          <w:sz w:val="20"/>
          <w:szCs w:val="20"/>
          <w:color w:val="auto"/>
        </w:rPr>
      </w:pPr>
    </w:p>
    <w:p>
      <w:pPr>
        <w:ind w:right="20" w:firstLine="378"/>
        <w:spacing w:after="0" w:line="290" w:lineRule="auto"/>
        <w:rPr>
          <w:sz w:val="20"/>
          <w:szCs w:val="20"/>
          <w:color w:val="auto"/>
        </w:rPr>
      </w:pPr>
      <w:r>
        <w:rPr>
          <w:rFonts w:ascii="Arial" w:cs="Arial" w:eastAsia="Arial" w:hAnsi="Arial"/>
          <w:sz w:val="16"/>
          <w:szCs w:val="16"/>
          <w:color w:val="auto"/>
        </w:rPr>
        <w:t>Our operating subsidiaries face competitive pressures within markets in which they operate. We manage our subsidiaries with the objective of growing their value over time by, among other means, investing in and strengthening our subsidiaries' competitive advantages. Many factors, including availability of financial resources, supply chain capabilities and local market changes, may limit our ability to strengthen our subsidiaries' competitive advantages. In addition, competitors may be significantly larger than our subsidiaries are and may have greater financial resources and operational capabilities. Accordingly, our subsidiaries may require significant additional resources, which may not be available to them through internally generated cash flows. With respect to our Automotive segment, we have invested significant resources in various initiatives to remain competitive and stimulate growth. In addition, we will continue to consider strategic alternatives in our automotive aftermarket parts business to maximize value. If we are unable to implement these initiatives efficiently and effectively, or if these initiatives are unsuccessful, our consolidated financial condition, results of operations and cash flows could be adversely affected.</w:t>
      </w:r>
    </w:p>
    <w:p>
      <w:pPr>
        <w:spacing w:after="0" w:line="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Certain of our subsidiaries have operations in foreign countries which expose them to risks related to economic and political conditions, currency fluctuations, import/export restrictions, regulatory and other risks.</w:t>
      </w:r>
    </w:p>
    <w:p>
      <w:pPr>
        <w:spacing w:after="0" w:line="62" w:lineRule="exact"/>
        <w:rPr>
          <w:sz w:val="20"/>
          <w:szCs w:val="20"/>
          <w:color w:val="auto"/>
        </w:rPr>
      </w:pPr>
    </w:p>
    <w:p>
      <w:pPr>
        <w:ind w:right="500" w:firstLine="378"/>
        <w:spacing w:after="0" w:line="258" w:lineRule="auto"/>
        <w:rPr>
          <w:sz w:val="20"/>
          <w:szCs w:val="20"/>
          <w:color w:val="auto"/>
        </w:rPr>
      </w:pPr>
      <w:r>
        <w:rPr>
          <w:rFonts w:ascii="Arial" w:cs="Arial" w:eastAsia="Arial" w:hAnsi="Arial"/>
          <w:sz w:val="18"/>
          <w:szCs w:val="18"/>
          <w:color w:val="auto"/>
        </w:rPr>
        <w:t>Certain of our subsidiaries are global businesses and have manufacturing and distribution facilities in many countries. International operations are subject to certain risks including:</w:t>
      </w:r>
    </w:p>
    <w:p>
      <w:pPr>
        <w:spacing w:after="0" w:line="1" w:lineRule="exact"/>
        <w:rPr>
          <w:sz w:val="20"/>
          <w:szCs w:val="20"/>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local economic conditions;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local political conditions (including the risk of seizure of assets by foreign governments);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currency exchange rate fluctuations (including, but not limited to, material exchange rate fluctuations, such as devaluations) and currency controls;</w:t>
      </w:r>
    </w:p>
    <w:p>
      <w:pPr>
        <w:spacing w:after="0" w:line="32" w:lineRule="exact"/>
        <w:rPr>
          <w:rFonts w:ascii="Arial" w:cs="Arial" w:eastAsia="Arial" w:hAnsi="Arial"/>
          <w:sz w:val="16"/>
          <w:szCs w:val="16"/>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ability to repatriate foreign earnings;</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unrest; and</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U.S. laws such as the Foreign Corrupt Practices Act, and local laws prohibiting inappropriate payments.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likelihood of such occurrences and their potential effect on our businesses are unpredictable and vary from country-to-country.</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Certain of our businesses' operating entities report their financial condition and results of operations in currencies other than the U.S. Dollar. The reported results of these entities are translated into U.S. Dollars at the applicable exchange rates for reporting in our consolidated financial statements. As a result, fluctuations in the U.S. Dollar against foreign currencies will affect the value at which the results of these entities are included within our consolidated results. Our businesses are exposed to a risk of loss from changes in foreign exchange rates whenever they, or one of their foreign subsidiaries, enters into a purchase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76" w:right="279" w:bottom="1440" w:gutter="0" w:footer="0" w:header="0"/>
        </w:sectPr>
      </w:pPr>
    </w:p>
    <w:bookmarkStart w:id="25" w:name="page26"/>
    <w:bookmarkEnd w:id="25"/>
    <w:p>
      <w:pPr>
        <w:ind w:right="120"/>
        <w:spacing w:after="0" w:line="277" w:lineRule="auto"/>
        <w:rPr>
          <w:sz w:val="20"/>
          <w:szCs w:val="20"/>
          <w:color w:val="auto"/>
        </w:rPr>
      </w:pPr>
      <w:r>
        <w:rPr>
          <w:rFonts w:ascii="Arial" w:cs="Arial" w:eastAsia="Arial" w:hAnsi="Arial"/>
          <w:sz w:val="18"/>
          <w:szCs w:val="18"/>
          <w:color w:val="auto"/>
        </w:rPr>
        <w:t>or sales agreement in a currency other than its functional currency. Such changes in exchange rates could affect our businesses' financial condition or results of operations.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Certain of our businesses have substantial indebtedness, which could restrict their business activities and/or could subject them to significant interest rate risk.</w:t>
      </w:r>
    </w:p>
    <w:p>
      <w:pPr>
        <w:spacing w:after="0" w:line="62" w:lineRule="exact"/>
        <w:rPr>
          <w:sz w:val="20"/>
          <w:szCs w:val="20"/>
          <w:color w:val="auto"/>
        </w:rPr>
      </w:pPr>
    </w:p>
    <w:p>
      <w:pPr>
        <w:ind w:right="500" w:firstLine="378"/>
        <w:spacing w:after="0" w:line="312" w:lineRule="auto"/>
        <w:rPr>
          <w:sz w:val="20"/>
          <w:szCs w:val="20"/>
          <w:color w:val="auto"/>
        </w:rPr>
      </w:pPr>
      <w:r>
        <w:rPr>
          <w:rFonts w:ascii="Arial" w:cs="Arial" w:eastAsia="Arial" w:hAnsi="Arial"/>
          <w:sz w:val="16"/>
          <w:szCs w:val="16"/>
          <w:color w:val="auto"/>
        </w:rPr>
        <w:t>Our subsidiaries' inability to generate sufficient cash flow to satisfy their debt obligations, or to refinance their debt obligations on commercially reasonable terms, would have a material adverse effect on their businesses, financial condition, and results of operations. In addition, covenants in debt instruments could limit their ability to engage in certain transactions and pursue their business strategies, which could adversely affect liquidity.</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subsidiaries' indebtedness could:</w:t>
      </w:r>
    </w:p>
    <w:p>
      <w:pPr>
        <w:spacing w:after="0" w:line="23" w:lineRule="exact"/>
        <w:rPr>
          <w:sz w:val="20"/>
          <w:szCs w:val="20"/>
          <w:color w:val="auto"/>
        </w:rPr>
      </w:pPr>
    </w:p>
    <w:p>
      <w:pPr>
        <w:ind w:left="660" w:right="520" w:hanging="260"/>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their ability to borrow money for working capital, capital expenditures, debt service requirements or other corporate purposes, guarantee additional debt or issue redeemable, convertible of preferred equity;</w:t>
      </w:r>
    </w:p>
    <w:p>
      <w:pPr>
        <w:ind w:left="660" w:hanging="260"/>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their ability to make distributions or prepay its debt, incur liens, enter into agreements that restrict distributions from restricted subsidiaries, sell or otherwise dispose of assets (including capital stock of subsidiaries), enter into transactions with affiliates and merger consolidate or sell substantially all of its assets;</w:t>
      </w:r>
    </w:p>
    <w:p>
      <w:pPr>
        <w:spacing w:after="0" w:line="1" w:lineRule="exact"/>
        <w:rPr>
          <w:rFonts w:ascii="Arial" w:cs="Arial" w:eastAsia="Arial" w:hAnsi="Arial"/>
          <w:sz w:val="18"/>
          <w:szCs w:val="18"/>
          <w:color w:val="auto"/>
        </w:rPr>
      </w:pPr>
    </w:p>
    <w:p>
      <w:pPr>
        <w:ind w:left="660" w:hanging="260"/>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them to dedicate a substantial portion of its cash flow to payments on indebtedness, which would reduce the amount of cash flow available to fund working capital, capital expenditures, product development, and other corporate requirements;</w:t>
      </w:r>
    </w:p>
    <w:p>
      <w:pPr>
        <w:ind w:left="660" w:hanging="26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their vulnerability to general adverse economic and industry conditions; and</w:t>
      </w:r>
    </w:p>
    <w:p>
      <w:pPr>
        <w:spacing w:after="0" w:line="9" w:lineRule="exact"/>
        <w:rPr>
          <w:rFonts w:ascii="Arial" w:cs="Arial" w:eastAsia="Arial" w:hAnsi="Arial"/>
          <w:sz w:val="18"/>
          <w:szCs w:val="18"/>
          <w:color w:val="auto"/>
        </w:rPr>
      </w:pPr>
    </w:p>
    <w:p>
      <w:pPr>
        <w:ind w:left="660" w:hanging="26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their ability to respond to business opportunities.</w:t>
      </w:r>
    </w:p>
    <w:p>
      <w:pPr>
        <w:spacing w:after="0" w:line="103"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Certain of our subsidiaries' indebtedness accrue interest at variable rates. To the extent market interest rates rise, the cost of their debt would increase, adversely affecting their financial condition, results of operations and cash flows.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significant labor dispute involving any of our businesses or one or more of their customers or suppliers or that could otherwise affect our operations could adversely affect our financial performance.</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A substantial number of our operating subsidiaries’ employees and the employees of its largest customers and suppliers are represented by labor unions under collective bargaining agreements. There can be no assurances that future negotiations with the unions will be resolved favorably or that our subsidiaries will not experience a work stoppage or disruption that could adversely affect its financial condition, operating results and cash flows. A labor dispute involving any of our businesses, particularly within our Energy segment, any of its customers or suppliers or any other suppliers to its customers or that otherwise affects our subsidiaries’ operations, or the inability by it, any of its customers or suppliers or any other suppliers to its customers to negotiate, upon the expiration of a labor agreement, an extension of such agreement or a new agreement on satisfactory terms could adversely affect our financial condition, operating results and cash flows. In addition, if any of our subsidiaries’ significant customers experience a material work stoppage, the customer may halt or limit the purchase of its products. This could require certain businesses to shut down or significantly reduce production at facilities relating to such products, which could adversely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76"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and Investment</w:t>
      </w:r>
    </w:p>
    <w:p>
      <w:pPr>
        <w:spacing w:after="0" w:line="121"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Icahn Enterprises, Icahn Enterprises Holdings and our Investment segment operations are headquartered in New York, New York, which is leased office space.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w:t>
      </w:r>
    </w:p>
    <w:p>
      <w:pPr>
        <w:spacing w:after="0" w:line="121"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CVR Energy is headquartered in Sugar Land, Texas, which is leased office space. Additionally, other administrative office space is leased in Kansas City, Kansas and Oklahoma City, Oklahoma.</w:t>
      </w:r>
    </w:p>
    <w:p>
      <w:pPr>
        <w:spacing w:after="0" w:line="62" w:lineRule="exact"/>
        <w:rPr>
          <w:sz w:val="20"/>
          <w:szCs w:val="20"/>
          <w:color w:val="auto"/>
        </w:rPr>
      </w:pPr>
    </w:p>
    <w:p>
      <w:pPr>
        <w:jc w:val="both"/>
        <w:ind w:right="160" w:firstLine="378"/>
        <w:spacing w:after="0" w:line="259" w:lineRule="auto"/>
        <w:rPr>
          <w:sz w:val="20"/>
          <w:szCs w:val="20"/>
          <w:color w:val="auto"/>
        </w:rPr>
      </w:pPr>
      <w:r>
        <w:rPr>
          <w:rFonts w:ascii="Arial" w:cs="Arial" w:eastAsia="Arial" w:hAnsi="Arial"/>
          <w:sz w:val="18"/>
          <w:szCs w:val="18"/>
          <w:color w:val="auto"/>
        </w:rPr>
        <w:t>CVR Energy owns and operates two oil refineries as well as office buildings located in Coffeyville, Kansas and Wynnewood, Oklahoma. CVR Energy also owns and operates two fertilizer plants in Coffeyville, Kansas and East Dubuque, Illinois. CVR Energy owns crude oil storage facilities in Kansas and Oklahoma, refined oil storage facilities at its Wynnewood, Oklahoma refinery location, and fertilizer storage facilities at its East Dubuque, Illinois fertilizer plant location. CVR Energy also leases additional crude oil storage facilities.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Icahn Automotive is headquartered in Kennesaw, Georgia, which is leased office space. Icahn Automotive's operations include 1,352 company operated store locations, 848 franchise locations and 27 distributions centers throughout the United States. Approximately 90% of Icahn Automotive's facilities are leased and the remainder are owned.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Packaging</w:t>
      </w:r>
    </w:p>
    <w:p>
      <w:pPr>
        <w:spacing w:after="0" w:line="121"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Viskase is headquartered in Lombard, Illinois. Viskase's operations include eleven manufacturing facilities, six distribution centers and three service centers throughout North America, Europe, South America and Asia.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Metals</w:t>
      </w:r>
    </w:p>
    <w:p>
      <w:pPr>
        <w:spacing w:after="0" w:line="121"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PSC Metals is headquartered in Mayfield Heights, Ohio, which is leased office space. PSC Metals has additional administrative offices located in Nashville, Tennessee and North Olmsted, Ohio. PSC Metals' operations consist of 30 recycling yards, three secondary plate storage and distribution centers, two secondary pipe storage and distribution centers and two auto parts recycling warehouses located throughout the Midwestern and Southeastern United States.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21" w:lineRule="exact"/>
        <w:rPr>
          <w:sz w:val="20"/>
          <w:szCs w:val="20"/>
          <w:color w:val="auto"/>
        </w:rPr>
      </w:pPr>
    </w:p>
    <w:p>
      <w:pPr>
        <w:ind w:right="240" w:firstLine="378"/>
        <w:spacing w:after="0" w:line="259" w:lineRule="auto"/>
        <w:rPr>
          <w:sz w:val="20"/>
          <w:szCs w:val="20"/>
          <w:color w:val="auto"/>
        </w:rPr>
      </w:pPr>
      <w:r>
        <w:rPr>
          <w:rFonts w:ascii="Arial" w:cs="Arial" w:eastAsia="Arial" w:hAnsi="Arial"/>
          <w:sz w:val="18"/>
          <w:szCs w:val="18"/>
          <w:color w:val="auto"/>
        </w:rPr>
        <w:t>Our Real Estate segment is headquartered in New York, New York. Our Real Estate segment's operations consist of 7 commercial rental real estate properties in the United States. Our Real Estate segment's operations also include development properties as well as golf and club operations in Cape Cod, Massachusetts and Vero Beach, Florida. In addition, our Real Estate segment has a hotel, timeshare and casino resort property in Aruba as well as a casino property in Atlantic City, New Jersey, which ceased operations in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Fashion</w:t>
      </w:r>
    </w:p>
    <w:p>
      <w:pPr>
        <w:spacing w:after="0" w:line="121"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WPH is headquartered in New York, New York. WPH's operations include a manufacturing and distribution facility in Chipley, Florida and a manufacturing facility in Bahrain, both of which are owned facilities. WPH owns office and retail store space in Valley, Alabama and Lumberton, North Carolina where it operates two outlet stores. WPH also leases retail store space in Chipley, Florida and leases various additional administrative office space primarily throughout the southern 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w:t>
      </w:r>
    </w:p>
    <w:p>
      <w:pPr>
        <w:spacing w:after="0" w:line="121"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Ferrous Resources is headquartered in Belo Horizonte, Brazil, which is a leased office space. Ferrous Resources' operations consist of six iron mineral resource properties in Brazil.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We are, and will continue to be, subject to litigation from time to time in the ordinary course of our business. We also incorporate by reference into this Part I, Item 3 of this Report, the information regarding the lawsuits and proceedings described and referenced in Note 17, "Commitments and Contingencies," to the consolidated financial statements as set forth in Item 8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364" w:right="2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20"/>
        <w:spacing w:after="0" w:line="409" w:lineRule="auto"/>
        <w:rPr>
          <w:sz w:val="20"/>
          <w:szCs w:val="20"/>
          <w:color w:val="auto"/>
        </w:rPr>
      </w:pPr>
      <w:r>
        <w:rPr>
          <w:rFonts w:ascii="Arial" w:cs="Arial" w:eastAsia="Arial" w:hAnsi="Arial"/>
          <w:sz w:val="18"/>
          <w:szCs w:val="18"/>
          <w:b w:val="1"/>
          <w:bCs w:val="1"/>
          <w:color w:val="auto"/>
        </w:rPr>
        <w:t xml:space="preserve">Item 5. Market for Registrant's Common Equity, Related Security Holder Matters and Issuer Purchases of Equity Securities.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Icahn Enterprises' depositary units are traded on the NASDAQ Global Select Market under the symbol “IEP.” The range of high and low sales prices for our depositary units for each quarter during 2018 and 2017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Low</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53.29</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73.23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57.00</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62.20</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74.69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50.33</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324"/>
        </w:trPr>
        <w:tc>
          <w:tcPr>
            <w:tcW w:w="9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Low</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50.17</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47.06</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51.01</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17" w:lineRule="exact"/>
        <w:rPr>
          <w:sz w:val="20"/>
          <w:szCs w:val="20"/>
          <w:color w:val="auto"/>
        </w:rPr>
      </w:pPr>
    </w:p>
    <w:p>
      <w:pPr>
        <w:ind w:right="120" w:firstLine="378"/>
        <w:spacing w:after="0" w:line="308" w:lineRule="auto"/>
        <w:rPr>
          <w:sz w:val="20"/>
          <w:szCs w:val="20"/>
          <w:color w:val="auto"/>
        </w:rPr>
      </w:pPr>
      <w:r>
        <w:rPr>
          <w:rFonts w:ascii="Arial" w:cs="Arial" w:eastAsia="Arial" w:hAnsi="Arial"/>
          <w:sz w:val="17"/>
          <w:szCs w:val="17"/>
          <w:color w:val="auto"/>
        </w:rPr>
        <w:t>As of December 31, 2018, there were approximately 2,000 record holders of Icahn Enterprises' depositary units including multiple beneficial holders at depositories, banks and brokers listed as a single record holder in the street name of each respective depository, bank or broker.</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repurchases of Icahn Enterprises' depositary units during 2018 or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sets forth information regarding outstanding unit option awards, and depository units available for future issuance, under the Icahn Enterprises L.P. 2017 Long Term Incentive Plan (the “2017 Incentive Plan”) as of December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 be Issued</w:t>
            </w:r>
          </w:p>
        </w:tc>
        <w:tc>
          <w:tcPr>
            <w:tcW w:w="2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Weighted-Average Exercise Price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Equity Compensation</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Upon Exercise of Outstanding</w:t>
            </w:r>
          </w:p>
        </w:tc>
        <w:tc>
          <w:tcPr>
            <w:tcW w:w="220" w:type="dxa"/>
            <w:vAlign w:val="bottom"/>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of Outstanding Options,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(Excluding Securities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 Warrants and Rights</w:t>
            </w:r>
          </w:p>
        </w:tc>
        <w:tc>
          <w:tcPr>
            <w:tcW w:w="220" w:type="dxa"/>
            <w:vAlign w:val="bottom"/>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 (a))</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2017 Incentive Plan</w:t>
            </w:r>
          </w:p>
        </w:tc>
        <w:tc>
          <w:tcPr>
            <w:tcW w:w="21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15,704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953,554</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During the first quarter of 2017, the board of directors of the general partner of Icahn Enterprises unanimously approved and adopted the 2017 Incentive Plan, which became effective during the first quarter of 2017 subject to the approval by holders of a majority of Icahn Enterprises depositary units.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were initially available under the 2017 Incentive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20" w:firstLine="378"/>
        <w:spacing w:after="0" w:line="289" w:lineRule="auto"/>
        <w:rPr>
          <w:sz w:val="20"/>
          <w:szCs w:val="20"/>
          <w:color w:val="auto"/>
        </w:rPr>
      </w:pPr>
      <w:r>
        <w:rPr>
          <w:rFonts w:ascii="Arial" w:cs="Arial" w:eastAsia="Arial" w:hAnsi="Arial"/>
          <w:sz w:val="16"/>
          <w:szCs w:val="16"/>
          <w:color w:val="auto"/>
        </w:rPr>
        <w:t>The following tables contain our selected historical consolidated financial data from continuing operations, which should be read in conjunction with our consolidated financial statements and the related notes thereto, and Management's Discussion and Analysis of Financial Condition and Results of Operations contained in this Report. The selected financial data has been derived from our historical financial statements, recasted for discontinued operations, as applicable. The comparability of our selected financial data from continuing operations presented below is affected by, among other factors, (i) the performance of the Investment Funds, (ii) the results of our Energy segment's operations, impacted by the relationship of its refined product prices and prices for crude oil and other feedstocks, (iii) impairment charges, primarily in our Automotive segment in 2018, our Energy segment in 2016, 2015 and 2014 and our Mining segment in 2015, (iv) acquisitions of businesses, primarily in our Automotive segment during 2017, 2016 and 2015, (v) gains on dispositions of assets, primarily in our Railcar and Real Estate segments in 2017, including the impact of the disposed income generating assets on subsequent operations, (vi) our Holding Company's unrealized equity investment gains and losses and (vii) the enactment of tax legislation in the United States in 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Icahn Enterprises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2"/>
              </w:rPr>
              <w:t>Icahn Enterprises Holdings</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10"/>
          </w:tcPr>
          <w:p>
            <w:pPr>
              <w:jc w:val="center"/>
              <w:ind w:right="320"/>
              <w:spacing w:after="0"/>
              <w:rPr>
                <w:sz w:val="20"/>
                <w:szCs w:val="20"/>
                <w:color w:val="auto"/>
              </w:rPr>
            </w:pPr>
            <w:r>
              <w:rPr>
                <w:rFonts w:ascii="Arial" w:cs="Arial" w:eastAsia="Arial" w:hAnsi="Arial"/>
                <w:sz w:val="14"/>
                <w:szCs w:val="14"/>
                <w:b w:val="1"/>
                <w:bCs w:val="1"/>
                <w:color w:val="auto"/>
                <w:w w:val="92"/>
              </w:rPr>
              <w:t>As of/Year Ended December 31,</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2"/>
              </w:rPr>
              <w:t>As of/Year Ended December 31,</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40" w:type="dxa"/>
            <w:vAlign w:val="bottom"/>
            <w:gridSpan w:val="10"/>
          </w:tcPr>
          <w:p>
            <w:pPr>
              <w:jc w:val="center"/>
              <w:ind w:right="320"/>
              <w:spacing w:after="0"/>
              <w:rPr>
                <w:sz w:val="20"/>
                <w:szCs w:val="20"/>
                <w:color w:val="auto"/>
              </w:rPr>
            </w:pPr>
            <w:r>
              <w:rPr>
                <w:rFonts w:ascii="Arial" w:cs="Arial" w:eastAsia="Arial" w:hAnsi="Arial"/>
                <w:sz w:val="14"/>
                <w:szCs w:val="14"/>
                <w:color w:val="auto"/>
                <w:w w:val="95"/>
              </w:rPr>
              <w:t>(in millions, except per unit data)</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Statement of Operations Data From</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Continuing Operations: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9,306</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7,740</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10,376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10,376</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Other revenues from operations</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840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 (loss) from investment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activities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Gain on disposition of assets, net</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2,163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2,163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w w:val="97"/>
              </w:rPr>
              <w:t>Less: Income (loss) attributable to non-</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controlling interests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3"/>
        </w:trPr>
        <w:tc>
          <w:tcPr>
            <w:tcW w:w="24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Net (loss) income attributable to Icahn</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3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(1,003)</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2,275</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81"/>
        </w:trPr>
        <w:tc>
          <w:tcPr>
            <w:tcW w:w="24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4"/>
              </w:rPr>
              <w:t>Enterprises/Icahn Enterprises Holdings</w:t>
            </w: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40"/>
              <w:spacing w:after="0" w:line="151" w:lineRule="exact"/>
              <w:rPr>
                <w:sz w:val="20"/>
                <w:szCs w:val="20"/>
                <w:color w:val="auto"/>
              </w:rPr>
            </w:pPr>
            <w:r>
              <w:rPr>
                <w:rFonts w:ascii="Arial" w:cs="Arial" w:eastAsia="Arial" w:hAnsi="Arial"/>
                <w:sz w:val="14"/>
                <w:szCs w:val="14"/>
                <w:color w:val="auto"/>
              </w:rPr>
              <w:t>Net (loss) income attributable to Icahn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4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20"/>
              <w:spacing w:after="0" w:line="149" w:lineRule="exact"/>
              <w:rPr>
                <w:sz w:val="20"/>
                <w:szCs w:val="20"/>
                <w:color w:val="auto"/>
              </w:rPr>
            </w:pPr>
            <w:r>
              <w:rPr>
                <w:rFonts w:ascii="Arial" w:cs="Arial" w:eastAsia="Arial" w:hAnsi="Arial"/>
                <w:sz w:val="14"/>
                <w:szCs w:val="14"/>
                <w:color w:val="auto"/>
                <w:w w:val="94"/>
              </w:rPr>
              <w:t>Enterprises/Icahn Enterprises Holdings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120"/>
              <w:spacing w:after="0"/>
              <w:rPr>
                <w:sz w:val="20"/>
                <w:szCs w:val="20"/>
                <w:color w:val="auto"/>
              </w:rPr>
            </w:pPr>
            <w:r>
              <w:rPr>
                <w:rFonts w:ascii="Arial" w:cs="Arial" w:eastAsia="Arial" w:hAnsi="Arial"/>
                <w:sz w:val="14"/>
                <w:szCs w:val="14"/>
                <w:color w:val="auto"/>
              </w:rPr>
              <w:t>allocable to:</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Limited partners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General partner</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7"/>
        </w:trPr>
        <w:tc>
          <w:tcPr>
            <w:tcW w:w="24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40"/>
              <w:spacing w:after="0" w:line="157" w:lineRule="exact"/>
              <w:rPr>
                <w:sz w:val="20"/>
                <w:szCs w:val="20"/>
                <w:color w:val="auto"/>
              </w:rPr>
            </w:pPr>
            <w:r>
              <w:rPr>
                <w:rFonts w:ascii="Arial" w:cs="Arial" w:eastAsia="Arial" w:hAnsi="Arial"/>
                <w:sz w:val="14"/>
                <w:szCs w:val="14"/>
                <w:color w:val="auto"/>
                <w:w w:val="98"/>
              </w:rPr>
              <w:t>Basic and diluted (loss) income per LP</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20" w:type="dxa"/>
            <w:vAlign w:val="bottom"/>
            <w:vMerge w:val="continue"/>
          </w:tcPr>
          <w:p>
            <w:pPr>
              <w:spacing w:after="0"/>
              <w:rPr>
                <w:sz w:val="10"/>
                <w:szCs w:val="10"/>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0"/>
                <w:szCs w:val="10"/>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13.84</w:t>
            </w:r>
          </w:p>
        </w:tc>
        <w:tc>
          <w:tcPr>
            <w:tcW w:w="38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0"/>
                <w:szCs w:val="10"/>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420" w:type="dxa"/>
            <w:vAlign w:val="bottom"/>
          </w:tcPr>
          <w:p>
            <w:pPr>
              <w:ind w:left="120"/>
              <w:spacing w:after="0"/>
              <w:rPr>
                <w:sz w:val="20"/>
                <w:szCs w:val="20"/>
                <w:color w:val="auto"/>
              </w:rPr>
            </w:pPr>
            <w:r>
              <w:rPr>
                <w:rFonts w:ascii="Arial" w:cs="Arial" w:eastAsia="Arial" w:hAnsi="Arial"/>
                <w:sz w:val="14"/>
                <w:szCs w:val="14"/>
                <w:color w:val="auto"/>
              </w:rPr>
              <w:t>unit</w:t>
            </w:r>
          </w:p>
        </w:tc>
        <w:tc>
          <w:tcPr>
            <w:tcW w:w="1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420" w:type="dxa"/>
            <w:vAlign w:val="bottom"/>
            <w:tcBorders>
              <w:top w:val="single" w:sz="8" w:color="CCEEFF"/>
            </w:tcBorders>
            <w:shd w:val="clear" w:color="auto" w:fill="CCEEFF"/>
          </w:tcPr>
          <w:p>
            <w:pPr>
              <w:ind w:left="40"/>
              <w:spacing w:after="0" w:line="110" w:lineRule="exact"/>
              <w:rPr>
                <w:sz w:val="20"/>
                <w:szCs w:val="20"/>
                <w:color w:val="auto"/>
              </w:rPr>
            </w:pPr>
            <w:r>
              <w:rPr>
                <w:rFonts w:ascii="Arial" w:cs="Arial" w:eastAsia="Arial" w:hAnsi="Arial"/>
                <w:sz w:val="12"/>
                <w:szCs w:val="12"/>
                <w:color w:val="auto"/>
              </w:rPr>
              <w:t>Basic and diluted weighted average LP</w:t>
            </w:r>
          </w:p>
        </w:tc>
        <w:tc>
          <w:tcPr>
            <w:tcW w:w="1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units outstanding</w:t>
            </w: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Pr>
          <w:p>
            <w:pPr>
              <w:ind w:left="40"/>
              <w:spacing w:after="0"/>
              <w:rPr>
                <w:sz w:val="20"/>
                <w:szCs w:val="20"/>
                <w:color w:val="auto"/>
              </w:rPr>
            </w:pPr>
            <w:r>
              <w:rPr>
                <w:rFonts w:ascii="Arial" w:cs="Arial" w:eastAsia="Arial" w:hAnsi="Arial"/>
                <w:sz w:val="14"/>
                <w:szCs w:val="14"/>
                <w:color w:val="auto"/>
                <w:w w:val="98"/>
              </w:rPr>
              <w:t>Cash distributions declared per LP unit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6.00</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Balance Sheet Data:</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8,337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10,015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9,559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15,002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14,149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8,337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10,015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9,559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15,002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14,149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5,456</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Assets held for sale</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10,263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11,493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10,054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9,765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10,263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11,493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10,054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9,765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31,801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33,371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35,769</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Deferred tax liability</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to brokers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Liabilities held for sale</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7,010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9,103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7,521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7,029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7,010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9,103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7,521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7,236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8,164</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Equity attributable to Icahn</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20" w:type="dxa"/>
            <w:vAlign w:val="bottom"/>
          </w:tcPr>
          <w:p>
            <w:pPr>
              <w:ind w:left="120"/>
              <w:spacing w:after="0"/>
              <w:rPr>
                <w:sz w:val="20"/>
                <w:szCs w:val="20"/>
                <w:color w:val="auto"/>
              </w:rPr>
            </w:pPr>
            <w:r>
              <w:rPr>
                <w:rFonts w:ascii="Arial" w:cs="Arial" w:eastAsia="Arial" w:hAnsi="Arial"/>
                <w:sz w:val="14"/>
                <w:szCs w:val="14"/>
                <w:color w:val="auto"/>
                <w:w w:val="94"/>
              </w:rPr>
              <w:t>Enterprises/Icahn Enterprises Holdings</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6,529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2,154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3,987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5,443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6,557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5,133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2,179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4,011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5,466</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Report.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4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We are a diversified holding company owning subsidiaries currently engaged in the following continuing operating businesses: </w:t>
      </w:r>
      <w:r>
        <w:rPr>
          <w:rFonts w:ascii="Arial" w:cs="Arial" w:eastAsia="Arial" w:hAnsi="Arial"/>
          <w:sz w:val="18"/>
          <w:szCs w:val="18"/>
          <w:color w:val="231F20"/>
        </w:rPr>
        <w:t>Investment, Energy,</w:t>
      </w:r>
      <w:r>
        <w:rPr>
          <w:rFonts w:ascii="Arial" w:cs="Arial" w:eastAsia="Arial" w:hAnsi="Arial"/>
          <w:sz w:val="18"/>
          <w:szCs w:val="18"/>
          <w:color w:val="auto"/>
        </w:rPr>
        <w:t xml:space="preserve"> </w:t>
      </w:r>
      <w:r>
        <w:rPr>
          <w:rFonts w:ascii="Arial" w:cs="Arial" w:eastAsia="Arial" w:hAnsi="Arial"/>
          <w:sz w:val="18"/>
          <w:szCs w:val="18"/>
          <w:color w:val="231F20"/>
        </w:rPr>
        <w:t>Automotive, Food Packaging, Metals, Real Estate, Home Fashion and Mining</w:t>
      </w:r>
      <w:r>
        <w:rPr>
          <w:rFonts w:ascii="Arial" w:cs="Arial" w:eastAsia="Arial" w:hAnsi="Arial"/>
          <w:sz w:val="18"/>
          <w:szCs w:val="18"/>
          <w:color w:val="000000"/>
        </w:rPr>
        <w:t>. We also report the results of our Holding Company, which includes the results</w:t>
      </w:r>
      <w:r>
        <w:rPr>
          <w:rFonts w:ascii="Arial" w:cs="Arial" w:eastAsia="Arial" w:hAnsi="Arial"/>
          <w:sz w:val="18"/>
          <w:szCs w:val="18"/>
          <w:color w:val="231F20"/>
        </w:rPr>
        <w:t xml:space="preserve"> </w:t>
      </w:r>
      <w:r>
        <w:rPr>
          <w:rFonts w:ascii="Arial" w:cs="Arial" w:eastAsia="Arial" w:hAnsi="Arial"/>
          <w:sz w:val="18"/>
          <w:szCs w:val="18"/>
          <w:color w:val="000000"/>
        </w:rPr>
        <w:t>of certain subsidiaries of Icahn Enterprises and Icahn Enterprises Holdings (unless otherwise noted), and investment activity and expenses associated with our Holding Company. Our historical results also report the results of our Railcar segment through the date we sold our last remaining railcars on lease, which occurred in the third quarter of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Significant transactions and developments affecting our results of operations and liquidity for the year ended December 31, 2018 are summarized as follows:</w:t>
      </w:r>
    </w:p>
    <w:p>
      <w:pPr>
        <w:spacing w:after="0" w:line="6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i w:val="1"/>
          <w:iCs w:val="1"/>
          <w:color w:val="auto"/>
        </w:rPr>
        <w:t xml:space="preserve">Sale of Discontinued Operations. </w:t>
      </w:r>
      <w:r>
        <w:rPr>
          <w:rFonts w:ascii="Arial" w:cs="Arial" w:eastAsia="Arial" w:hAnsi="Arial"/>
          <w:sz w:val="17"/>
          <w:szCs w:val="17"/>
          <w:color w:val="auto"/>
        </w:rPr>
        <w:t>During the fourth quarter of 2018, we closed on the sales of Federal-Mogul LLC ("Federal-Mogul"), Tropicana</w:t>
      </w:r>
      <w:r>
        <w:rPr>
          <w:rFonts w:ascii="Arial" w:cs="Arial" w:eastAsia="Arial" w:hAnsi="Arial"/>
          <w:sz w:val="17"/>
          <w:szCs w:val="17"/>
          <w:i w:val="1"/>
          <w:iCs w:val="1"/>
          <w:color w:val="auto"/>
        </w:rPr>
        <w:t xml:space="preserve"> </w:t>
      </w:r>
      <w:r>
        <w:rPr>
          <w:rFonts w:ascii="Arial" w:cs="Arial" w:eastAsia="Arial" w:hAnsi="Arial"/>
          <w:sz w:val="17"/>
          <w:szCs w:val="17"/>
          <w:color w:val="auto"/>
        </w:rPr>
        <w:t>Entertainment Inc. ("Tropicana") and American Railcar Industries, Inc. ("ARI"). As a result of the transactions, our Holding Company received approximately $3.2 billion in aggregate cash proceeds and approximately $1.2 billion of fair value equity in Tenneco, Inc., resulting in the recognition of aggregate pre-tax gains on the sales of discontinued operations attributable to Icahn Enterprises of approximately $1.4 billion.</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Pending Sale of Ferrous Resources. </w:t>
      </w:r>
      <w:r>
        <w:rPr>
          <w:rFonts w:ascii="Arial" w:cs="Arial" w:eastAsia="Arial" w:hAnsi="Arial"/>
          <w:sz w:val="18"/>
          <w:szCs w:val="18"/>
          <w:color w:val="auto"/>
        </w:rPr>
        <w:t>On December 5, 2018, we announced a definitive agreement to sell Ferrous Resources Ltd. for total consideration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$550 million. The transaction is expected to close in the first half of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6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operating businesses comprise consolidated subsidiaries which operate in various industries and are managed on a decentralized basis. Revenues for our continuing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other revenues and expenses included in continuing operations as well as our results from discontinued operations. In addition to the summarized financial results below, refer to Note 12, "Segment and Geographic Reporting," to the consolidated financial statements for a reconciliation of each of our reporting segment's results of continuing operations to our consolidated results.</w:t>
      </w:r>
    </w:p>
    <w:p>
      <w:pPr>
        <w:spacing w:after="0" w:line="70" w:lineRule="exact"/>
        <w:rPr>
          <w:sz w:val="20"/>
          <w:szCs w:val="20"/>
          <w:color w:val="auto"/>
        </w:rPr>
      </w:pPr>
    </w:p>
    <w:p>
      <w:pPr>
        <w:ind w:right="120" w:firstLine="378"/>
        <w:spacing w:after="0" w:line="272" w:lineRule="auto"/>
        <w:rPr>
          <w:sz w:val="20"/>
          <w:szCs w:val="20"/>
          <w:color w:val="auto"/>
        </w:rPr>
      </w:pPr>
      <w:r>
        <w:rPr>
          <w:rFonts w:ascii="Arial" w:cs="Arial" w:eastAsia="Arial" w:hAnsi="Arial"/>
          <w:sz w:val="17"/>
          <w:szCs w:val="17"/>
          <w:color w:val="auto"/>
        </w:rPr>
        <w:t>The comparability of our summarized consolidated financial results presented below is affected by, among other factors, (i) the performance of the Investment Funds, (ii) the results of our Energy segment's operations, impacted by the relationship of its refined product prices and prices for crude oil and other feedstocks, (iii) impairment charges, primarily in our Automotive segment in 2018 and our Energy segment in 2016, (iv) acquisitions of businesses, primarily in our Automotive segment during 2017 and 2016, (v) gains on dispositions of assets, primarily in our Railcar and Real Estate segments in 2017, including the impact of the disposed income generating assets on subsequent operations, (vi) our Holding Company's unrealized equity investment gains and losses and (vii) the enactment of tax legislation in the United States in 2017. Refer to our respective segment discussions and "Other Consolidated Results of Operations," below for further discussion.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Net Income (Loss) From Continuing</w:t>
            </w:r>
          </w:p>
        </w:tc>
      </w:tr>
      <w:tr>
        <w:trPr>
          <w:trHeight w:val="216"/>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9"/>
          </w:tcPr>
          <w:p>
            <w:pPr>
              <w:jc w:val="center"/>
              <w:ind w:right="80"/>
              <w:spacing w:after="0"/>
              <w:rPr>
                <w:sz w:val="20"/>
                <w:szCs w:val="20"/>
                <w:color w:val="auto"/>
              </w:rPr>
            </w:pPr>
            <w:r>
              <w:rPr>
                <w:rFonts w:ascii="Arial" w:cs="Arial" w:eastAsia="Arial" w:hAnsi="Arial"/>
                <w:sz w:val="18"/>
                <w:szCs w:val="18"/>
                <w:b w:val="1"/>
                <w:bCs w:val="1"/>
                <w:color w:val="auto"/>
                <w:w w:val="90"/>
              </w:rPr>
              <w:t>Net Income (Loss) From Continuing</w:t>
            </w:r>
          </w:p>
        </w:tc>
        <w:tc>
          <w:tcPr>
            <w:tcW w:w="180" w:type="dxa"/>
            <w:vAlign w:val="bottom"/>
          </w:tcPr>
          <w:p>
            <w:pPr>
              <w:spacing w:after="0"/>
              <w:rPr>
                <w:sz w:val="18"/>
                <w:szCs w:val="18"/>
                <w:color w:val="auto"/>
              </w:rPr>
            </w:pPr>
          </w:p>
        </w:tc>
        <w:tc>
          <w:tcPr>
            <w:tcW w:w="276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92"/>
              </w:rPr>
              <w:t>Operations Attributable to Icahn</w:t>
            </w:r>
          </w:p>
        </w:tc>
      </w:tr>
      <w:tr>
        <w:trPr>
          <w:trHeight w:val="234"/>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Enterprises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7"/>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Pr>
          <w:p>
            <w:pPr>
              <w:spacing w:after="0"/>
              <w:rPr>
                <w:sz w:val="20"/>
                <w:szCs w:val="20"/>
                <w:color w:val="auto"/>
              </w:rPr>
            </w:pPr>
          </w:p>
        </w:tc>
        <w:tc>
          <w:tcPr>
            <w:tcW w:w="28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Pr>
          <w:p>
            <w:pPr>
              <w:spacing w:after="0"/>
              <w:rPr>
                <w:sz w:val="20"/>
                <w:szCs w:val="20"/>
                <w:color w:val="auto"/>
              </w:rPr>
            </w:pPr>
          </w:p>
        </w:tc>
        <w:tc>
          <w:tcPr>
            <w:tcW w:w="276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43"/>
        </w:trPr>
        <w:tc>
          <w:tcPr>
            <w:tcW w:w="2300" w:type="dxa"/>
            <w:vAlign w:val="bottom"/>
            <w:gridSpan w:val="3"/>
          </w:tcPr>
          <w:p>
            <w:pPr>
              <w:ind w:left="40"/>
              <w:spacing w:after="0"/>
              <w:rPr>
                <w:sz w:val="20"/>
                <w:szCs w:val="20"/>
                <w:color w:val="auto"/>
              </w:rPr>
            </w:pPr>
            <w:r>
              <w:rPr>
                <w:rFonts w:ascii="Arial" w:cs="Arial" w:eastAsia="Arial" w:hAnsi="Arial"/>
                <w:sz w:val="18"/>
                <w:szCs w:val="18"/>
                <w:color w:val="auto"/>
              </w:rPr>
              <w:t>Holding Company</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03"/>
        </w:trPr>
        <w:tc>
          <w:tcPr>
            <w:tcW w:w="23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Other Operating Segments: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43"/>
        </w:trPr>
        <w:tc>
          <w:tcPr>
            <w:tcW w:w="2300" w:type="dxa"/>
            <w:vAlign w:val="bottom"/>
            <w:gridSpan w:val="3"/>
          </w:tcPr>
          <w:p>
            <w:pPr>
              <w:ind w:left="40"/>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2,856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2300" w:type="dxa"/>
            <w:vAlign w:val="bottom"/>
            <w:gridSpan w:val="3"/>
          </w:tcPr>
          <w:p>
            <w:pPr>
              <w:ind w:left="40"/>
              <w:spacing w:after="0"/>
              <w:rPr>
                <w:sz w:val="20"/>
                <w:szCs w:val="20"/>
                <w:color w:val="auto"/>
              </w:rPr>
            </w:pPr>
            <w:r>
              <w:rPr>
                <w:rFonts w:ascii="Arial" w:cs="Arial" w:eastAsia="Arial" w:hAnsi="Arial"/>
                <w:sz w:val="18"/>
                <w:szCs w:val="18"/>
                <w:color w:val="auto"/>
              </w:rPr>
              <w:t>Metals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2300" w:type="dxa"/>
            <w:vAlign w:val="bottom"/>
            <w:gridSpan w:val="3"/>
          </w:tcPr>
          <w:p>
            <w:pPr>
              <w:ind w:left="40"/>
              <w:spacing w:after="0"/>
              <w:rPr>
                <w:sz w:val="20"/>
                <w:szCs w:val="20"/>
                <w:color w:val="auto"/>
              </w:rPr>
            </w:pPr>
            <w:r>
              <w:rPr>
                <w:rFonts w:ascii="Arial" w:cs="Arial" w:eastAsia="Arial" w:hAnsi="Arial"/>
                <w:sz w:val="18"/>
                <w:szCs w:val="18"/>
                <w:color w:val="auto"/>
              </w:rPr>
              <w:t>Home Fashion</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300" w:type="dxa"/>
            <w:vAlign w:val="bottom"/>
            <w:gridSpan w:val="3"/>
          </w:tcPr>
          <w:p>
            <w:pPr>
              <w:ind w:left="40"/>
              <w:spacing w:after="0"/>
              <w:rPr>
                <w:sz w:val="20"/>
                <w:szCs w:val="20"/>
                <w:color w:val="auto"/>
              </w:rPr>
            </w:pPr>
            <w:r>
              <w:rPr>
                <w:rFonts w:ascii="Arial" w:cs="Arial" w:eastAsia="Arial" w:hAnsi="Arial"/>
                <w:sz w:val="18"/>
                <w:szCs w:val="18"/>
                <w:color w:val="auto"/>
              </w:rPr>
              <w:t>Railcar</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operating segments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11,331</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57"/>
        </w:trPr>
        <w:tc>
          <w:tcPr>
            <w:tcW w:w="230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11,777</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12,619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7,379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w:t>
            </w:r>
          </w:p>
        </w:tc>
      </w:tr>
      <w:tr>
        <w:trPr>
          <w:trHeight w:val="20"/>
        </w:trPr>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We invest our proprietary capital through various private investment funds (the "Investment Funds"). As of December 31, 2018 and 2017, we had investments with a fair market value of approximately $5.1 billion and $3.0 billion, respectively, in the Investment Funds. As of December 31, 2018 and 2017, the total fair market value of investments in the Investment Funds made by Mr. Icahn and his affiliates (excluding us) was approximately $5.0 billion and $4.4 billion, respectively.</w:t>
      </w:r>
    </w:p>
    <w:p>
      <w:pPr>
        <w:spacing w:after="0" w:line="79" w:lineRule="exact"/>
        <w:rPr>
          <w:sz w:val="20"/>
          <w:szCs w:val="20"/>
          <w:color w:val="auto"/>
        </w:rPr>
      </w:pPr>
    </w:p>
    <w:p>
      <w:pPr>
        <w:ind w:right="40" w:firstLine="378"/>
        <w:spacing w:after="0" w:line="302" w:lineRule="auto"/>
        <w:rPr>
          <w:sz w:val="20"/>
          <w:szCs w:val="20"/>
          <w:color w:val="auto"/>
        </w:rPr>
      </w:pPr>
      <w:r>
        <w:rPr>
          <w:rFonts w:ascii="Arial" w:cs="Arial" w:eastAsia="Arial" w:hAnsi="Arial"/>
          <w:sz w:val="16"/>
          <w:szCs w:val="16"/>
          <w:color w:val="auto"/>
        </w:rPr>
        <w:t>Our Investment segment's results of operations are reflected in net income (loss) in the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31" w:name="page32"/>
    <w:bookmarkEnd w:id="31"/>
    <w:p>
      <w:pPr>
        <w:ind w:right="160"/>
        <w:spacing w:after="0" w:line="257" w:lineRule="auto"/>
        <w:rPr>
          <w:sz w:val="20"/>
          <w:szCs w:val="20"/>
          <w:color w:val="auto"/>
        </w:rPr>
      </w:pPr>
      <w:r>
        <w:rPr>
          <w:rFonts w:ascii="Arial" w:cs="Arial" w:eastAsia="Arial" w:hAnsi="Arial"/>
          <w:sz w:val="18"/>
          <w:szCs w:val="18"/>
          <w:color w:val="auto"/>
        </w:rPr>
        <w:t>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December 31, 2018.</w:t>
      </w:r>
    </w:p>
    <w:p>
      <w:pPr>
        <w:spacing w:after="0" w:line="80"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For the years ended December 31, 2018, 2017 and 2016, our Investment Funds' returns were 7.9%, 2.1% and (20.3)%, respectively. Our Investment Funds' returns represent a weighted-average composite of the average returns, net of expenses. The following table sets forth the performance attribution for the Investment Funds' returns: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3500" w:type="dxa"/>
            <w:vAlign w:val="bottom"/>
            <w:gridSpan w:val="5"/>
          </w:tcPr>
          <w:p>
            <w:pPr>
              <w:ind w:left="1320"/>
              <w:spacing w:after="0"/>
              <w:rPr>
                <w:sz w:val="20"/>
                <w:szCs w:val="20"/>
                <w:color w:val="auto"/>
              </w:rPr>
            </w:pPr>
            <w:r>
              <w:rPr>
                <w:rFonts w:ascii="Arial" w:cs="Arial" w:eastAsia="Arial" w:hAnsi="Arial"/>
                <w:sz w:val="18"/>
                <w:szCs w:val="18"/>
                <w:b w:val="1"/>
                <w:bCs w:val="1"/>
                <w:color w:val="auto"/>
                <w:w w:val="97"/>
              </w:rPr>
              <w:t>Year Ended December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460" w:type="dxa"/>
            <w:vAlign w:val="bottom"/>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380"/>
              <w:spacing w:after="0"/>
              <w:rPr>
                <w:sz w:val="20"/>
                <w:szCs w:val="20"/>
                <w:color w:val="auto"/>
              </w:rPr>
            </w:pPr>
            <w:r>
              <w:rPr>
                <w:rFonts w:ascii="Arial" w:cs="Arial" w:eastAsia="Arial" w:hAnsi="Arial"/>
                <w:sz w:val="18"/>
                <w:szCs w:val="18"/>
                <w:color w:val="auto"/>
              </w:rPr>
              <w:t>The following table presents net income (loss) for our Investment segment:</w:t>
            </w: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20" w:type="dxa"/>
            <w:vAlign w:val="bottom"/>
            <w:vMerge w:val="continue"/>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8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2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3"/>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7"/>
        </w:trPr>
        <w:tc>
          <w:tcPr>
            <w:tcW w:w="708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2018, 2017 and 2016</w:t>
      </w:r>
    </w:p>
    <w:p>
      <w:pPr>
        <w:spacing w:after="0" w:line="117"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For 2018, the Investment Funds' positive performance was driven by net gains in their short positions offset in part by net losses in their long positions. The positive performance of our Investment segment's short positions was driven by the positive performance of broad market hedges of $642 million and the aggregate performance of multiple other short positions with net gains across various sectors, primarily the energy sector. The negative performance of our Investment segment's long positions was driven by losses from two consumer, cyclical sector investments, a basic material sector investment, two consumer, non-cyclical sector investments, a technology sector investment and an industrial sector investment with losses aggregating approximately $1.4 billion. The aggregate performance of investments with net losses across various other sectors accounted for an additional negative performance of our Investment segment's long positions. Losses in long positions were offset in part by gains from a consumer, non-cyclical sector investment, a technology sector investment and an energy sector investment with gains aggregating approximately $1.3 billion.</w:t>
      </w:r>
    </w:p>
    <w:p>
      <w:pPr>
        <w:spacing w:after="0" w:line="71" w:lineRule="exact"/>
        <w:rPr>
          <w:sz w:val="20"/>
          <w:szCs w:val="20"/>
          <w:color w:val="auto"/>
        </w:rPr>
      </w:pPr>
    </w:p>
    <w:p>
      <w:pPr>
        <w:ind w:right="100" w:firstLine="378"/>
        <w:spacing w:after="0" w:line="291" w:lineRule="auto"/>
        <w:rPr>
          <w:sz w:val="20"/>
          <w:szCs w:val="20"/>
          <w:color w:val="auto"/>
        </w:rPr>
      </w:pPr>
      <w:r>
        <w:rPr>
          <w:rFonts w:ascii="Arial" w:cs="Arial" w:eastAsia="Arial" w:hAnsi="Arial"/>
          <w:sz w:val="16"/>
          <w:szCs w:val="16"/>
          <w:color w:val="auto"/>
        </w:rPr>
        <w:t>For 2017, the Investment Funds' positive performance was driven by net gains in their long positions, offset in part by net losses in their short positions. The positive performance of our Investment segment's long positions was driven by gains from two consumer, non-cyclical sector investments, a basic materials sector investment, an energy sector investment and a consumer, cyclical sector investment aggregating approximately $1.6 billion. The aggregate performance of investments with gains across various other sectors accounted for the additional positive performance of our Investment segment's long positions, offset in part by the aggregate performance of investments with losses in the financial sector. Losses in short positions were attributable to the negative performance of broad market hedges of approximately $2.1 billion and the negative performance of various other short positions across multiple sectors. Losses in short positions were offset in part by the positive performance of three consumer, cyclical sector short positions aggregating $627 million.</w:t>
      </w:r>
    </w:p>
    <w:p>
      <w:pPr>
        <w:spacing w:after="0" w:line="59" w:lineRule="exact"/>
        <w:rPr>
          <w:sz w:val="20"/>
          <w:szCs w:val="20"/>
          <w:color w:val="auto"/>
        </w:rPr>
      </w:pPr>
    </w:p>
    <w:p>
      <w:pPr>
        <w:ind w:right="60" w:firstLine="378"/>
        <w:spacing w:after="0" w:line="297" w:lineRule="auto"/>
        <w:rPr>
          <w:sz w:val="20"/>
          <w:szCs w:val="20"/>
          <w:color w:val="auto"/>
        </w:rPr>
      </w:pPr>
      <w:r>
        <w:rPr>
          <w:rFonts w:ascii="Arial" w:cs="Arial" w:eastAsia="Arial" w:hAnsi="Arial"/>
          <w:sz w:val="16"/>
          <w:szCs w:val="16"/>
          <w:color w:val="auto"/>
        </w:rPr>
        <w:t>For 2016, the Investment Funds' negative performance was driven by net losses in their short positions, offset in part by net gains in their long positions. Losses in short positions were attributable to the negative performance of broad market hedges of approximately $1.5 billion, as well as the negative performance of other short positions, primarily in the consumer, cyclical sector. The positive performance of our Investment segment's long positions was driven by gains from a certain basic materials sector investment of $561 million. The aggregate performance of investments with gains across various other sectors were offset by the aggregate performance of investments with losses primarily in the technology and consumer non-cyclical sectors.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Our Energy segment is primarily engaged in the petroleum refining and nitrogen fertilizer manufacturing businesses. The sale of petroleum products accounted for approximately 95%, 94% and 93% of our Energy segment's net sales for the years ended December 31, 2018, 2017 and 2016, respectively.</w:t>
      </w:r>
    </w:p>
    <w:p>
      <w:pPr>
        <w:spacing w:after="0" w:line="16" w:lineRule="exact"/>
        <w:rPr>
          <w:sz w:val="20"/>
          <w:szCs w:val="20"/>
          <w:color w:val="auto"/>
        </w:rPr>
      </w:pPr>
    </w:p>
    <w:p>
      <w:pPr>
        <w:ind w:right="60" w:firstLine="378"/>
        <w:spacing w:after="0" w:line="253" w:lineRule="auto"/>
        <w:rPr>
          <w:sz w:val="20"/>
          <w:szCs w:val="20"/>
          <w:color w:val="auto"/>
        </w:rPr>
      </w:pPr>
      <w:r>
        <w:rPr>
          <w:rFonts w:ascii="Arial" w:cs="Arial" w:eastAsia="Arial" w:hAnsi="Arial"/>
          <w:sz w:val="18"/>
          <w:szCs w:val="18"/>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89" w:lineRule="exact"/>
        <w:rPr>
          <w:sz w:val="20"/>
          <w:szCs w:val="20"/>
          <w:color w:val="auto"/>
        </w:rPr>
      </w:pPr>
    </w:p>
    <w:p>
      <w:pPr>
        <w:ind w:right="60" w:firstLine="378"/>
        <w:spacing w:after="0" w:line="253" w:lineRule="auto"/>
        <w:rPr>
          <w:sz w:val="20"/>
          <w:szCs w:val="20"/>
          <w:color w:val="auto"/>
        </w:rPr>
      </w:pPr>
      <w:r>
        <w:rPr>
          <w:rFonts w:ascii="Arial" w:cs="Arial" w:eastAsia="Arial" w:hAnsi="Arial"/>
          <w:sz w:val="18"/>
          <w:szCs w:val="18"/>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("RFS") of the United States Environmental Protection Agency, which requires it to either blend “renewable fuels” in with its transportation fuels or purchase renewable fuel credits, known as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17, "Commitments and Contingencies," to the consolidated financial statements for further discussion of RINs.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our Energy segment's net sales, cost of goods sold and gross margin: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4"/>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7,124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6,453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5,799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4,637</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2018 and 2017</w:t>
      </w:r>
    </w:p>
    <w:p>
      <w:pPr>
        <w:spacing w:after="0" w:line="117" w:lineRule="exact"/>
        <w:rPr>
          <w:sz w:val="20"/>
          <w:szCs w:val="20"/>
          <w:color w:val="auto"/>
        </w:rPr>
      </w:pPr>
    </w:p>
    <w:p>
      <w:pPr>
        <w:ind w:right="140" w:firstLine="378"/>
        <w:spacing w:after="0" w:line="312" w:lineRule="auto"/>
        <w:rPr>
          <w:sz w:val="20"/>
          <w:szCs w:val="20"/>
          <w:color w:val="auto"/>
        </w:rPr>
      </w:pPr>
      <w:r>
        <w:rPr>
          <w:rFonts w:ascii="Arial" w:cs="Arial" w:eastAsia="Arial" w:hAnsi="Arial"/>
          <w:sz w:val="16"/>
          <w:szCs w:val="16"/>
          <w:color w:val="auto"/>
        </w:rPr>
        <w:t>Net sales for our Energy segment increased by approximately $1.1 billion (19%) for the year ended December 31, 2018 as compared to the comparable prior year period. The increase was primarily due to our petroleum business as a result of an increase in refined products crack spreads, partially offset by decreased sales volumes. Our nitrogen fertilizer business' net sales increased over the comparable periods due to higher sales prices and volumes.</w:t>
      </w:r>
    </w:p>
    <w:p>
      <w:pPr>
        <w:spacing w:after="0" w:line="39"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Cost of goods sold for our Energy segment increased by $654 million (11%) for the year ended December 31, 2018 as compared to the comparable prior year period. The increase was primarily due to our petroleum business as a result of a higher cost of consumed crude oil offset in part by a decrease in RINs costs. The increase in consumed crude oil costs was due to an increase in crude oil prices, offset in part by a decrease in consumed crude volume. The net cost of RINs was favorably impacted by a reduction in the petroleum segment's RFS obligation and reduced market pricing.</w:t>
      </w:r>
    </w:p>
    <w:p>
      <w:pPr>
        <w:spacing w:after="0" w:line="46"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Gross margin for our Energy segment increased by $482 million for the year ended December 31, 2018 as compared to the comparable prior year period. Gross margin as a percentage of net sales was 9% and 3% for the year ended December 31, 2018 and 2017, respectively, with an increase attributable to our petroleum business. The increase in the gross margin as a percentage of net sales for our petroleum business was primarily due to higher gross margins per barrel resulting from a higher refined product crack spreads and reduced RINs costs, offset in part by lower sales volumes.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Net sales for our Energy segment increased by approximately $1.2 billion (25%) for the year ended December 31, 2017 as compared to the comparable prior year period. The increase was primarily due to an increase in our petroleum business as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6" w:right="239" w:bottom="1440" w:gutter="0" w:footer="0" w:header="0"/>
        </w:sectPr>
      </w:pPr>
    </w:p>
    <w:bookmarkStart w:id="33" w:name="page34"/>
    <w:bookmarkEnd w:id="33"/>
    <w:p>
      <w:pPr>
        <w:ind w:right="460"/>
        <w:spacing w:after="0" w:line="277" w:lineRule="auto"/>
        <w:rPr>
          <w:sz w:val="20"/>
          <w:szCs w:val="20"/>
          <w:color w:val="auto"/>
        </w:rPr>
      </w:pPr>
      <w:r>
        <w:rPr>
          <w:rFonts w:ascii="Arial" w:cs="Arial" w:eastAsia="Arial" w:hAnsi="Arial"/>
          <w:sz w:val="18"/>
          <w:szCs w:val="18"/>
          <w:color w:val="auto"/>
        </w:rPr>
        <w:t>result of higher sales prices for transportation fuels and byproducts. This increase was offset in part by our nitrogen fertilizer business primarily due to a decrease in sales prices for its products.</w:t>
      </w:r>
    </w:p>
    <w:p>
      <w:pPr>
        <w:spacing w:after="0" w:line="62"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Cost of goods sold for our Energy segment increased by approximately $1.2 billion (25%) for the year ended December 31, 2017 as compared to the comparable prior year period. The increase was primarily due to our petroleum business as a result of higher cost of consumed crude oil, due to higher prices, as well as increased products purchased for resale. This increase was offset in part by our nitrogen fertilizer business primarily due to higher costs in 2016 from inventory and deferred revenue fair value adjustments and decreased current year distribution costs due to the timing of regulatory railcar repairs and maintenance.</w:t>
      </w:r>
    </w:p>
    <w:p>
      <w:pPr>
        <w:spacing w:after="0" w:line="80"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Gross margin for our Energy segment increased by $44 million (30%) for the year ended December 31, 2017 as compared to the comparable prior year period. Gross margin as a percentage of net sales was 3% and 3% for the years ended December 31, 2017 and 2016, respectively. Gross margin as a percentage of net sales for our petroleum business was higher due to higher margins per barrel resulting from an increase in the sales price of gasoline and distillates. Cost of consumed oil per barrel for the year ended December 31, 2017 increased by 21% as compared to the prior year. This increase was offset by a decrease attributable to our nitrogen fertilizer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Our Automotive segment's results of operations are generally driven by the distribution and installation of automotive aftermarket parts and are affected by the relative strength of automotive part replacement trends, among other factors. Our automotive aftermarket parts business is in a highly competitive industry and is smaller than several of its competitors, who have greater financial resources and operational capabilities. Acquisitions in recent years within our Automotive segment, including our acquisitions of The Pep Boys - Manny, Moe &amp; Jack ("Pep Boys") in 2016 and the franchise businesses of Precision Tune Auto Care ("Precision Tune") and American Driveline Systems, the franchisor of AAMCO and licensor of Cottman Transmission service centers ("American Driveline"), in 2017, provided operating synergies, expanded our market presence, strengthened our parts distribution channel and enhanced our Automotive segment's ability to better service its customers. Our Automotive segment's results of operations also include automotive services labor. Automotive services labor revenues are included in other revenues from operations in our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Automotive segment is in the process of implementing a multi-year transformation plan, which includes the integration and restructuring of the operations of Pep Boys, IEH Auto Parts Holding LLC ("IEH Auto") and the franchise businesses of Precision Tune and American Driveline. Our Automotive segment's priorities include:</w:t>
      </w:r>
    </w:p>
    <w:p>
      <w:pPr>
        <w:spacing w:after="0" w:line="19" w:lineRule="exact"/>
        <w:rPr>
          <w:sz w:val="20"/>
          <w:szCs w:val="20"/>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Positioning the service business to take advantage of opportunities in the do-it-for-me market and vehicle fleets;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high volume markets;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Optimizing the store and warehouse footprint through openings, closings, consolidations and conversions by market;</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Digital initiatives including a new e-commerce platform and enhanced e-fulfillment capabilities;</w:t>
      </w:r>
    </w:p>
    <w:p>
      <w:pPr>
        <w:spacing w:after="0" w:line="157"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customer experience initiatives such as enhanced customer loyalty programs and selective upgrades in facilities;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our Automotive segment's operating revenue, cost of revenue and gross margin: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26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4"/>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and other revenue from operations</w:t>
            </w:r>
          </w:p>
        </w:tc>
        <w:tc>
          <w:tcPr>
            <w:tcW w:w="264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2,858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Cost of goods sold and other expenses from operations</w:t>
            </w:r>
          </w:p>
        </w:tc>
        <w:tc>
          <w:tcPr>
            <w:tcW w:w="1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1,976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32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Years Ended December 31, 2018 and 2017</w:t>
      </w:r>
    </w:p>
    <w:p>
      <w:pPr>
        <w:spacing w:after="0" w:line="117"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Net sales and other revenue from operations for our Automotive segment for the year ended December 31, 2018 increased by $135 million (5%) as compared to the comparable prior year period. The increase was attributable to an increase in automotive services revenues. On an organic basis, automotive services revenue increased by $52 million (5%) due to growing do-it-for-me and fleet businesses. Acquisitions accounted for an additional increase in automotive services revenue of $94 million (including $27 million from franchise royalty revenues), offset in part by a decrease of $11 million due to store closures. Aftermarket parts sales, including commercial and retail sales, remained flat over the comparable period as retail sales decreased by $24 million (4%) offset in part by an increase in commercial sales. Commercial sales increased by $67 million (7%) on an organic basis, driven by increases in IEH Auto sales as well as growth in Pep Boys commercial programs, as well as an additional $22 million from acquisitions, offset in part by $65 million due to the effects of the adoption of FASB ASC Topic 606.</w:t>
      </w:r>
    </w:p>
    <w:p>
      <w:pPr>
        <w:spacing w:after="0" w:line="7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Cost of goods sold and other expenses from operations for the year ended December 31, 2018 decreased $2 million (0%) compared to the comparable prior year period. Cost of goods sold and automotive services labor increased by $62 million which was more than offset by the effects of the adoption of FASB ASC Topic 606 as discussed above. Gross margin on net sales and automotive services labor revenues for the year ended December 31, 2018 increased by $137 million (18%) as compared to the comparable prior year period. Gross margin as a percentage of net sales and automotive services labor revenues was 31% and 27% for the years ended December 31, 2018 and 2017, respectively. The improvement in gross margin primarily reflects higher margin percentages from franchisor operations as well as higher margins from automotive services due to cost improvements and selective price increases.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Net sales and other revenue from operations for our Automotive segment for the year ended December 31, 2017 increased by $222 million (9%) as compared to the comparable prior year period. The increase was attributable to an increase in automotive services revenues of $188 million and an increase in aftermarket parts sales of $34 million. These increases in automotive services and aftermarket parts sales were due in part to the inclusion of Pep-Boys for the full twelve months in 2017 compared to eleven months in 2016. Automotive services also increased $21 million due to the acquisitions of Precision Tune and American Driveline in 2017.</w:t>
      </w:r>
    </w:p>
    <w:p>
      <w:pPr>
        <w:spacing w:after="0" w:line="8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Cost of goods sold and other expenses from operations for the year ended December 31, 2017 increased by $118 million (6%), as compared to the comparable prior year period. The increase was due to volume increases. Gross margin on net sales and automotive services labor revenues for the year ended December 31, 2017 increased by $104 million (16%) as compared to the comparable prior year period. Gross margin as a percentage of net sales and automotive services labor revenues was 27% and 26% for the years ended December 31, 2017 and 2016, respectively. The improvement in gross margin primarily reflects higher margin percentages from franchisor operations, which were first acquired in 2017, as well as higher margins from automotive services due to cost improvements and selective price increases.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2018 and 2017</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Net sales for the year ended December 31, 2018 increased by $3 million (1%) as compared to the corresponding prior year period. The increase was due to the favorable effects of foreign exchange, offset in part due to lower volume and unfavorable price and product mix. Cost of goods sold for the year ended December 31, 2018 increased by $19 million (6%) as compared to the corresponding prior year period due to higher raw material and labor costs. Gross margin as a percentage of net sales was 20% and 24% for the year ended December 31, 2018 and 2017, respectively. The decrease in gross margin as a percentage of net sales over the comparable periods was primarily due to increasing raw material labor costs and lower fixed cost absorption.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Net sales for the year ended December 31, 2017 increased by $63 million (19%) as compared to the comparable prior year period. The increase was primarily due to higher sales volume, primarily from acquisitions, offset in part by unfavorable price and product mix and foreign currency exchange. Cost of goods sold for the year ended December 31, 2017 increased by $48 million (19%) as compared to the corresponding prior year period. Gross margin as a percentage of net sales was flat at 24% for the years ended December 31, 2017 and 2016.</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76"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Metal</w:t>
      </w:r>
      <w:r>
        <w:rPr>
          <w:rFonts w:ascii="Arial" w:cs="Arial" w:eastAsia="Arial" w:hAnsi="Arial"/>
          <w:sz w:val="19"/>
          <w:szCs w:val="19"/>
          <w:b w:val="1"/>
          <w:bCs w:val="1"/>
          <w:i w:val="1"/>
          <w:iCs w:val="1"/>
          <w:color w:val="auto"/>
        </w:rPr>
        <w:t>s</w:t>
      </w:r>
    </w:p>
    <w:p>
      <w:pPr>
        <w:spacing w:after="0" w:line="122" w:lineRule="exact"/>
        <w:rPr>
          <w:sz w:val="20"/>
          <w:szCs w:val="20"/>
          <w:color w:val="auto"/>
        </w:rPr>
      </w:pPr>
    </w:p>
    <w:p>
      <w:pPr>
        <w:jc w:val="both"/>
        <w:ind w:right="16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2018 and 2017</w:t>
      </w:r>
    </w:p>
    <w:p>
      <w:pPr>
        <w:spacing w:after="0" w:line="117" w:lineRule="exact"/>
        <w:rPr>
          <w:sz w:val="20"/>
          <w:szCs w:val="20"/>
          <w:color w:val="auto"/>
        </w:rPr>
      </w:pPr>
    </w:p>
    <w:p>
      <w:pPr>
        <w:ind w:right="360" w:firstLine="378"/>
        <w:spacing w:after="0" w:line="302" w:lineRule="auto"/>
        <w:rPr>
          <w:sz w:val="20"/>
          <w:szCs w:val="20"/>
          <w:color w:val="auto"/>
        </w:rPr>
      </w:pPr>
      <w:r>
        <w:rPr>
          <w:rFonts w:ascii="Arial" w:cs="Arial" w:eastAsia="Arial" w:hAnsi="Arial"/>
          <w:sz w:val="16"/>
          <w:szCs w:val="16"/>
          <w:color w:val="auto"/>
        </w:rPr>
        <w:t>Net sales for the year ended December 31, 2018 increased by $57 million (14%) compared to the comparable prior year period due to higher ferrous shipment volumes and higher average selling prices for most grades of material, partially offset by lower non-ferrous auto residue pricing and lower non-ferrous volume. Ferrous selling prices increased due to higher market pricing as domestic mill production benefited from trade cases and the effects of additional tariffs on steel imports. Improved consumer market pricing was also driven primarily by the increased demand from domestic steel mills.</w:t>
      </w:r>
    </w:p>
    <w:p>
      <w:pPr>
        <w:spacing w:after="0" w:line="46" w:lineRule="exact"/>
        <w:rPr>
          <w:sz w:val="20"/>
          <w:szCs w:val="20"/>
          <w:color w:val="auto"/>
        </w:rPr>
      </w:pPr>
    </w:p>
    <w:p>
      <w:pPr>
        <w:ind w:right="200" w:firstLine="378"/>
        <w:spacing w:after="0" w:line="264" w:lineRule="auto"/>
        <w:rPr>
          <w:sz w:val="20"/>
          <w:szCs w:val="20"/>
          <w:color w:val="auto"/>
        </w:rPr>
      </w:pPr>
      <w:r>
        <w:rPr>
          <w:rFonts w:ascii="Arial" w:cs="Arial" w:eastAsia="Arial" w:hAnsi="Arial"/>
          <w:sz w:val="18"/>
          <w:szCs w:val="18"/>
          <w:color w:val="auto"/>
        </w:rPr>
        <w:t>Cost of goods sold for the year ended December 31, 2018 increased by $52 million (13%) compared to the comparable prior year period. The increase was primarily due to higher ferrous shipment volumes, as discussed above, and to increased material costs due to higher market prices. Gross margin as a percentage of net sales was flat at 5% for each of the years ended December 31, 2018 and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Net sales for the year ended December 31, 2017 increased by $142 million (53%) as compared to the comparable prior year period primarily due to higher ferrous, non-ferrous and non-ferrous auto residue shipment volumes and higher average selling prices. Ferrous shipment volumes increased due to improved demand from domestic steel mills and improved flow of raw materials into the recycling yards driven by increased market pricing. Additionally, during 2017, a major new steel mill came on line which increased demand for scrap metal. Domestic mill production has benefited from trade cases and speculation regarding the recent probe into steel imports. Improved consumer market pricing was also driven primarily by the increased demand from domestic steel mills. Non-ferrous shipment volumes increased 46% during the year ended December 31, 2017 as compared to the comparable prior year period primarily due to utilization of the capital investment in aluminum processing capabilities at one of our facilities made in late 2016, while higher pricing reflected higher terminal market prices in 2017 as compared to 2016.</w:t>
      </w:r>
    </w:p>
    <w:p>
      <w:pPr>
        <w:spacing w:after="0" w:line="71"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Cost of goods sold for the year ended December 31, 2017 increased by $105 million (37%) as compared to the comparable prior year period. The increase was primarily due to higher shipment volumes, as discussed above, and to increased material costs due to higher market prices. Gross margin as a percentage of net sales was 5% for the year ended December 31, 2017 as compared to a loss of 6% in the comparable prior year period. The margin percentage improvement was driven by an increased material margin attributed to a continued focus on disciplined buying, higher pricing for non-ferrous auto residue, and by continued efforts to bring processing costs in line with volume and market pricing.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Real Estate revenues and expenses primarily include sales of residential units, results from club operations, rental income and expenses, including income from financing leases, and hotel, timeshare and casino operations. Sales of residential units are included in net sales in our consolidated financial statements. Results from club and rental operations, including financing lease income, and hotel, timeshare and casino operations are included in other revenues from operations in our consolidated financial statements. Revenue from our real estate operations for the years ended December 31, 2018, 2017 and 2016 were substantially derived from income from club and rental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2018 and 2017</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Net sales for the year ended December 31, 2018 decreased by $12 million (7%) compared to the comparable prior year period due to lower sales volume. Cost of goods sold for the year ended December 31, 2018 decreased by $18 million (11%) compared to the comparable prior year period due to sales mix and lower sales volume. Gross margin as a percentage of net sales was 16% for the year ended December 31, 2018 compared to 11% for the comparable prior year period, with the increase primarily due to sale mix.</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200" w:firstLine="378"/>
        <w:spacing w:after="0" w:line="264" w:lineRule="auto"/>
        <w:rPr>
          <w:sz w:val="20"/>
          <w:szCs w:val="20"/>
          <w:color w:val="auto"/>
        </w:rPr>
      </w:pPr>
      <w:r>
        <w:rPr>
          <w:rFonts w:ascii="Arial" w:cs="Arial" w:eastAsia="Arial" w:hAnsi="Arial"/>
          <w:sz w:val="18"/>
          <w:szCs w:val="18"/>
          <w:color w:val="auto"/>
        </w:rPr>
        <w:t>Net sales for the year ended December 31, 2017 decreased by $12 million (6%) as compared to the comparable prior year period due to lower sales volume. Cost of goods sold for the year ended December 31, 2017 decreased by $6 million (4%) as compared to the comparable prior year period primarily due to sales mix. Gross margin as a percentage of net sales was 11% for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4" w:right="239" w:bottom="1440" w:gutter="0" w:footer="0" w:header="0"/>
        </w:sectPr>
      </w:pPr>
    </w:p>
    <w:bookmarkStart w:id="36" w:name="page37"/>
    <w:bookmarkEnd w:id="36"/>
    <w:p>
      <w:pPr>
        <w:ind w:right="560"/>
        <w:spacing w:after="0" w:line="277" w:lineRule="auto"/>
        <w:rPr>
          <w:sz w:val="20"/>
          <w:szCs w:val="20"/>
          <w:color w:val="auto"/>
        </w:rPr>
      </w:pPr>
      <w:r>
        <w:rPr>
          <w:rFonts w:ascii="Arial" w:cs="Arial" w:eastAsia="Arial" w:hAnsi="Arial"/>
          <w:sz w:val="18"/>
          <w:szCs w:val="18"/>
          <w:color w:val="auto"/>
        </w:rPr>
        <w:t>the year ended December 31, 2017 compared to 14% for the comparable prior year period, with the decrease primarily due to sales mix and inventory obsolescence.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Mining segment's performance is driven by global iron ore prices and demand for raw materials from Chinese steelmakers. Since acquiring Ferrous Resources Ltd in 2015, our Mining segment has been concentrating on sales in its domestic market, Brazil.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2018 and 2017</w:t>
      </w:r>
    </w:p>
    <w:p>
      <w:pPr>
        <w:spacing w:after="0" w:line="11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Net sales for the year ended December 31, 2018 increased $9 million as compared to the comparable prior year period due to volume increases. Cost of goods sold for the year ended December 31, 2018 increased $13 million (22%) compared to the comparable prior year period due to a certain plant operation resuming in 2018, increasing the cost of production to produce a higher quality of iron ore.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Net sales for the year ended December 31, 2017 increased by $23 million as compared to the comparable prior year period primarily due to iron ore price increases, offset in part by volume decreases. Cost of goods sold for the year ended December 31, 2017 increased by $4 million as compared to the comparable prior year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Railcar segment's other revenues from operations primarily relates to its railcar leasing revenue. On June 1, 2017 we sold American Railcar Leasing, LLC ("ARL") along with a majority of its railcar lease fleet. We sold the remaining railcars previously owned by ARL throughout the remainder of 2017 and the first nine months of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right="20" w:firstLine="378"/>
        <w:spacing w:after="0" w:line="297" w:lineRule="auto"/>
        <w:rPr>
          <w:sz w:val="20"/>
          <w:szCs w:val="20"/>
          <w:color w:val="auto"/>
        </w:rPr>
      </w:pPr>
      <w:r>
        <w:rPr>
          <w:rFonts w:ascii="Arial" w:cs="Arial" w:eastAsia="Arial" w:hAnsi="Arial"/>
          <w:sz w:val="16"/>
          <w:szCs w:val="16"/>
          <w:color w:val="auto"/>
        </w:rPr>
        <w:t>Our Holding Company's results of operations primarily reflect the interest expense on its senior unsecured notes for each of the years ended December 31, 2018, 2017 and 2016. We discuss interest expense in consolidation below. In addition, our Holding Company has investment gains and losses from debt and equity investments. During 2018, net loss from investment activities was primarily attributable to an unrealized loss from an equity investment offset in part by unrealized gains from an equity and debt investment. During 2017, unrealized gains from an equity investment was offset in part by unrealized losses from a debt investment. During 2016, net gain from investment activities was primarily due to realized gains from a debt investment.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 Net</w:t>
      </w:r>
    </w:p>
    <w:p>
      <w:pPr>
        <w:spacing w:after="0" w:line="22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discussed in Note 1, "Description of Business," to the consolidated financial statements, our Real Estate segment sold two commercial rental properties, resulting in aggregate pretax gain on disposition of assets of $89 million for the year ended December 31, 2018. In addition, our Railcar segment sold its remaining railcars previously owned by ARL, resulting in aggregate pretax gain on disposition of assets of $5 million for the year ended December 31, 2018.</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During 2017, we sold ARL along with a majority of its railcar lease fleet, resulting in an aggregate pretax gain on disposition of assets of approximately $1.7 billion recorded by our Railcar segment for the year ended December 31, 2017. In August 2017, our Real Estate segment sold a development property in Las Vegas Nevada, resulting in a pretax gain on disposition of assets of $456 million for the year ended December 31, 2017. Our Real Estate segment also sold additional properties during 2017, primarily within its rental operations, resulting in an additional pretax gain on disposition of assets aggregating $40 million for the year ended December 31,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2018 and 2017</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consolidated selling, general and administrative for the year ended December 31, 2018 increased by $117 million (9%) as compared to the comparable prior year period. The increase was primarily attributable to an increase from our Automotive segment of $132 million primarily due to the inclusion of various acquisitions of automotive businesses as well as costs associated with the growth of the commercial parts business. This increase was offset in part primarily due to our Railcar segment, which decreased due to the sale of ARL in the second quarter of 2017, as well as aggregate net decreases within various other segments.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76" w:right="29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Our consolidated selling, general and administrative for the year ended December 31, 2017 increased by $268 million (27%) as compared to the comparable prior year period. The increase was primarily attributable to an increase from our Automotive segment of $271 million primarily due to the inclusion of the full year impact of Pep Boys in 2017, which was acquired in February 2016, and the acquisitions of Precision Tune, American Driveline and various other acquisitions in 2017, as well as personnel costs associated with integration and increased customer services. There were aggregate net increases within various other segments which were more than offset by a decrease of $21 million from our Investment segment due to a decrease of compensation expense.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Our consolidated restructuring, net for the years ended December 31, 2018, 2017 and 2016 was $21 million, $4 million and $5 million, respectively, and was primarily attributable to our Food Packaging segment. During the year ended December 31, 2018, our Food Packaging segment recorded $9 million of restructuring charges for employee costs relating to certain of its European operations. During the year ended December 31, 2018, our Energy segment recorded $5 million of restructuring charges for employee costs and other exit costs relating to an office closure. During the year ended December 31, 2018, our Automotive segment recorded $5 million of restructuring charges primarily for exit costs relating to facility closures. Refer to Note 12, "Segment and Geographic Reporting," to the consolidated financial statements for net restructuring charges recorded by each of our segments.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229"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Refer to Note 5, "Fair Value Measurements," and Note 8, "Goodwill and Intangible Assets, Net," to the consolidated financial statements for a discussion of impairments of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2018 and 2017</w:t>
      </w:r>
    </w:p>
    <w:p>
      <w:pPr>
        <w:spacing w:after="0" w:line="117" w:lineRule="exact"/>
        <w:rPr>
          <w:sz w:val="20"/>
          <w:szCs w:val="20"/>
          <w:color w:val="auto"/>
        </w:rPr>
      </w:pPr>
    </w:p>
    <w:p>
      <w:pPr>
        <w:jc w:val="both"/>
        <w:ind w:right="220" w:firstLine="405"/>
        <w:spacing w:after="0" w:line="302" w:lineRule="auto"/>
        <w:rPr>
          <w:sz w:val="20"/>
          <w:szCs w:val="20"/>
          <w:color w:val="auto"/>
        </w:rPr>
      </w:pPr>
      <w:r>
        <w:rPr>
          <w:rFonts w:ascii="Arial" w:cs="Arial" w:eastAsia="Arial" w:hAnsi="Arial"/>
          <w:sz w:val="16"/>
          <w:szCs w:val="16"/>
          <w:color w:val="auto"/>
        </w:rPr>
        <w:t>Our consolidated interest expense during the year ended December 31, 2018 decreased by $131 million (20%) as compared the comparable prior year period. The decrease was primarily due to lower interest expense from our Investment segment attributable to a decrease in due to broker balances over the respective periods, as well as lower interest expense from our Railcar segment due to the sale of ARL in the second quarter of 2017. These decreases were offset in part by higher interest expense from our Holding Company due to debt refinancing in December 2017, resulting in debt with higher interest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Years Ended December 31, 2017 and 2016</w:t>
      </w:r>
    </w:p>
    <w:p>
      <w:pPr>
        <w:spacing w:after="0" w:line="117" w:lineRule="exact"/>
        <w:rPr>
          <w:sz w:val="20"/>
          <w:szCs w:val="20"/>
          <w:color w:val="auto"/>
        </w:rPr>
      </w:pPr>
    </w:p>
    <w:p>
      <w:pPr>
        <w:ind w:right="240" w:firstLine="378"/>
        <w:spacing w:after="0" w:line="297" w:lineRule="auto"/>
        <w:rPr>
          <w:sz w:val="20"/>
          <w:szCs w:val="20"/>
          <w:color w:val="auto"/>
        </w:rPr>
      </w:pPr>
      <w:r>
        <w:rPr>
          <w:rFonts w:ascii="Arial" w:cs="Arial" w:eastAsia="Arial" w:hAnsi="Arial"/>
          <w:sz w:val="16"/>
          <w:szCs w:val="16"/>
          <w:color w:val="auto"/>
        </w:rPr>
        <w:t>Our consolidated interest expense for the year ended December 31, 2017 decreased by $37 million (5%) as compared to the comparable prior year period. The decrease was primarily due to lower interest expense from our Investment segment attributable to a decrease in due to broker balances over the respective periods, as well as lower interest expense from our Railcar segment due to the sale of ARL in the second quarter of 2017. These decreases were offset in part by higher interest expense from our Energy segment due to a certain debt offering in the second quarter of 2016, as well as higher interest expense from our Holding Company due to our senior unsecured notes refinancing in the first quarter of 2017, which is subject to higher interest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Refer to Note 14, "Income Taxes," to the consolidated financial statements for a discussion of income taxes.</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addition,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analyze all positive and negative evidence and maintain a valuation allowance on deferred tax assets that are not considered more likely than not to be realized. Based on current analysis, including increased level of income and ability to use losses previously limited, we have determined that it is more likely than not that a significant portion of our U.S. tax loss carryforwards and credits will be realized and have released the valuation allowance on these deferred tax assets.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As discussed in Note 1, "Description of Business," to the consolidated financial statements, we operated discontinued operations previously included in our Automotive and Railcar segments and former Gaming segment. The sales of each of the businesses closed in the fourth quarter of 2018 and resulted in aggregate pre-tax gains on the sales of discontinued operations attributable to Icahn Enterprises of approximately $1.4 billion.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76" w:right="239" w:bottom="1440" w:gutter="0" w:footer="0" w:header="0"/>
        </w:sectPr>
      </w:pPr>
    </w:p>
    <w:bookmarkStart w:id="38" w:name="page39"/>
    <w:bookmarkEnd w:id="38"/>
    <w:p>
      <w:pPr>
        <w:ind w:right="360" w:firstLine="405"/>
        <w:spacing w:after="0" w:line="277" w:lineRule="auto"/>
        <w:rPr>
          <w:sz w:val="20"/>
          <w:szCs w:val="20"/>
          <w:color w:val="auto"/>
        </w:rPr>
      </w:pPr>
      <w:r>
        <w:rPr>
          <w:rFonts w:ascii="Arial" w:cs="Arial" w:eastAsia="Arial" w:hAnsi="Arial"/>
          <w:sz w:val="18"/>
          <w:szCs w:val="18"/>
          <w:color w:val="auto"/>
        </w:rPr>
        <w:t>See Note 13, "Discontinued Operations," to the consolidated financial statements, for financial information with respect to each of our discontinued operating businesses.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117"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89"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As of December 31, 2018, our Holding Company had cash and cash equivalents of approximately $1.8 billion and total debt of approximately $5.5 billion. As of December 31, 2018, our Holding Company had investments in the Investment Funds with a total fair market value of approximately $5.1 billion. We may redeem our direct investment in the Investment Funds upon notice. See "Investment Segment Liquidity" below for additional information with respect to our Investment segment liquidity.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Businesses and Assets</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On October 1, 2018, we closed on the sales of Federal-Mogul and Tropicana and on December 5, 2018, we closed on the sale of ARI. In addition, during 2018, we sold our remaining railcars previously owned by ARL. These dispositions resulted in aggregate cash proceeds of approximately $3.2 billion during 2018. As part of the proceeds from the sale of Federal-Mogul, we also acquired a non-controlling interest in the purchaser, Tenneco, Inc. ("Tenneco"), represented by an aggregate of approximately 29.5 million voting and non-voting shares of Tenneco common stock with a fair market value of approximately $1.2 billion at the time of sale. Refer to Note 1, "Description of Business," to the consolidated financial statements for further discussion.</w:t>
      </w:r>
    </w:p>
    <w:p>
      <w:pPr>
        <w:spacing w:after="0" w:line="5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 addition, on December 5, 2018, we announced a definitive agreement to sell Ferrous Resources. The transaction is expected to close in 2019 and, if consummated, will provide additional liquidity to our Holding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On January 29, 2019, we received $60 million in connection with CVR Energy's purchase of all remaining common units of CVR Refining, which included all common units of CVR Refining held directly by us.</w:t>
      </w:r>
    </w:p>
    <w:p>
      <w:pPr>
        <w:spacing w:after="0" w:line="62"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Subsequent to December 31, 2018, CVR Energy declared a quarterly dividend which should result in an additional $53 million in dividends payable to us in the first quarter of 2019. In addition, Tenneco declared a quarterly dividend which should result in an additional $7 million in dividends payable to us in the first quarter of 2019.</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Holding Company Borrowings and Availability</w:t>
            </w:r>
          </w:p>
        </w:tc>
        <w:tc>
          <w:tcPr>
            <w:tcW w:w="3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2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462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1,702</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3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1,344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3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3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3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5,505</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600" w:type="dxa"/>
            <w:vAlign w:val="bottom"/>
            <w:vMerge w:val="restart"/>
          </w:tcPr>
          <w:p>
            <w:pPr>
              <w:jc w:val="right"/>
              <w:ind w:right="2230"/>
              <w:spacing w:after="0"/>
              <w:rPr>
                <w:sz w:val="20"/>
                <w:szCs w:val="20"/>
                <w:color w:val="auto"/>
              </w:rPr>
            </w:pPr>
            <w:r>
              <w:rPr>
                <w:rFonts w:ascii="Arial" w:cs="Arial" w:eastAsia="Arial" w:hAnsi="Arial"/>
                <w:sz w:val="18"/>
                <w:szCs w:val="18"/>
                <w:color w:val="auto"/>
              </w:rPr>
              <w:t>37</w:t>
            </w: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76" w:right="259" w:bottom="1440" w:gutter="0" w:footer="0" w:header="0"/>
        </w:sectPr>
      </w:pPr>
    </w:p>
    <w:bookmarkStart w:id="39" w:name="page40"/>
    <w:bookmarkEnd w:id="39"/>
    <w:p>
      <w:pPr>
        <w:ind w:left="420"/>
        <w:spacing w:after="0"/>
        <w:rPr>
          <w:sz w:val="20"/>
          <w:szCs w:val="20"/>
          <w:color w:val="auto"/>
        </w:rPr>
      </w:pPr>
      <w:r>
        <w:rPr>
          <w:rFonts w:ascii="Arial" w:cs="Arial" w:eastAsia="Arial" w:hAnsi="Arial"/>
          <w:sz w:val="16"/>
          <w:szCs w:val="16"/>
          <w:color w:val="auto"/>
        </w:rPr>
        <w:t>Holding Company debt consists of various issues of fixed-rate senior unsecured notes issued by Icahn Enterprises and Icahn Enterprises Finance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guaranteed by Icahn Enterprises Holdings. Interest on each of the senior unsecured notes are payable semi-annually.</w:t>
      </w:r>
    </w:p>
    <w:p>
      <w:pPr>
        <w:spacing w:after="0" w:line="10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December 31, 2018 are subject to optional redemption premiums in the event we redeem any of the notes prior to certain dates as described in the indentures.</w:t>
      </w:r>
    </w:p>
    <w:p>
      <w:pPr>
        <w:spacing w:after="0" w:line="70" w:lineRule="exact"/>
        <w:rPr>
          <w:sz w:val="20"/>
          <w:szCs w:val="20"/>
          <w:color w:val="auto"/>
        </w:rPr>
      </w:pPr>
    </w:p>
    <w:p>
      <w:pPr>
        <w:ind w:right="400" w:firstLine="378"/>
        <w:spacing w:after="0" w:line="264" w:lineRule="auto"/>
        <w:rPr>
          <w:sz w:val="20"/>
          <w:szCs w:val="20"/>
          <w:color w:val="auto"/>
        </w:rPr>
      </w:pPr>
      <w:r>
        <w:rPr>
          <w:rFonts w:ascii="Arial" w:cs="Arial" w:eastAsia="Arial" w:hAnsi="Arial"/>
          <w:sz w:val="18"/>
          <w:szCs w:val="18"/>
          <w:color w:val="auto"/>
        </w:rPr>
        <w:t>As of December 31, 2018, we were in compliance with all covenants, including maintaining certain minimum financial ratios, as defined in the indentures. Additionally, as of December 31, 2018, based on covenants in the indentures governing our senior unsecured notes, we are permitted to incur approximately $2.0 billion of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February 26, 2019, the Board of Directors of the general partner of Icahn Enterprises declared a quarterly distribution in the amount of $2.00 per depositary unit. The quarterly distribution is payable in either cash or additional depositary units, at the election of each depositary unitholder and will be paid on or about April 17, 2019 to depositary unitholders of record at the close of business on March 11, 2019.</w:t>
      </w:r>
    </w:p>
    <w:p>
      <w:pPr>
        <w:spacing w:after="0" w:line="73" w:lineRule="exact"/>
        <w:rPr>
          <w:sz w:val="20"/>
          <w:szCs w:val="20"/>
          <w:color w:val="auto"/>
        </w:rPr>
      </w:pPr>
    </w:p>
    <w:p>
      <w:pPr>
        <w:ind w:right="280" w:firstLine="378"/>
        <w:spacing w:after="0" w:line="259" w:lineRule="auto"/>
        <w:rPr>
          <w:sz w:val="20"/>
          <w:szCs w:val="20"/>
          <w:color w:val="auto"/>
        </w:rPr>
      </w:pPr>
      <w:r>
        <w:rPr>
          <w:rFonts w:ascii="Arial" w:cs="Arial" w:eastAsia="Arial" w:hAnsi="Arial"/>
          <w:sz w:val="18"/>
          <w:szCs w:val="18"/>
          <w:color w:val="auto"/>
        </w:rPr>
        <w:t>During the year ended December 31, 2018, we declared four quarterly distributions aggregating $7.00 per depositary unit. Mr. Icahn and his affiliates elected to receive their proportionate share of these distributions in depositary units. Mr. Icahn and his affiliates owned approximately 91.7% of Icahn Enterprises' outstanding depositary units as of December 31, 2018. In connection with these distributions, aggregate cash distributions to all depositary unitholders was $95 million during the year ended December 31, 2018.</w:t>
      </w:r>
    </w:p>
    <w:p>
      <w:pPr>
        <w:spacing w:after="0" w:line="79"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11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During the year ended December 31, 2018, we invested approximately $1.7 billion in the Investment Funds, net of redemptions, and affiliates of Mr. Icahn (excluding us and our subsidiaries) invested $310 million in the Investment Funds. In addition to investments by us and other affiliates of Mr. Icahn, the Investment Funds historically have access to significant amounts of cash available from prime brokerage lines of credit, subject to customary terms and market conditions.</w:t>
      </w:r>
    </w:p>
    <w:p>
      <w:pPr>
        <w:spacing w:after="0" w:line="79"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December 31, 2018, the Investment Funds' had a net short notional exposure of 24%. The Investment Funds' long exposure was 69% (67% long equity and 2% long credit and other) and its short exposure was 93% (88% short equity and 5% short credit and other). The notional exposure represents the ratio of the notional exposure of the Investment Funds' invested capital to the net asset value of the Investment Funds at December 31, 2018.</w:t>
      </w:r>
    </w:p>
    <w:p>
      <w:pPr>
        <w:spacing w:after="0" w:line="63" w:lineRule="exact"/>
        <w:rPr>
          <w:sz w:val="20"/>
          <w:szCs w:val="20"/>
          <w:color w:val="auto"/>
        </w:rPr>
      </w:pPr>
    </w:p>
    <w:p>
      <w:pPr>
        <w:ind w:right="80" w:firstLine="378"/>
        <w:spacing w:after="0" w:line="286" w:lineRule="auto"/>
        <w:rPr>
          <w:sz w:val="20"/>
          <w:szCs w:val="20"/>
          <w:color w:val="auto"/>
        </w:rPr>
      </w:pPr>
      <w:r>
        <w:rPr>
          <w:rFonts w:ascii="Arial" w:cs="Arial" w:eastAsia="Arial" w:hAnsi="Arial"/>
          <w:sz w:val="17"/>
          <w:szCs w:val="17"/>
          <w:color w:val="auto"/>
        </w:rPr>
        <w:t>Of the Investment Funds' 69% long exposure, 68% was comprised of the fair value of its long positions (with certain adjustments) and 1% was comprised of single name equity forward contracts and credit contracts. Of the Investment Funds' 93% short exposure, 4% was comprised of the fair value of our short positions and 89% was comprised of short credit default swap contracts and short broad market index swap derivative contracts.</w:t>
      </w:r>
    </w:p>
    <w:p>
      <w:pPr>
        <w:spacing w:after="0" w:line="5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(68% long exposure) and our short positions that are not notionalized (4%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6" w:right="239" w:bottom="1440" w:gutter="0" w:footer="0" w:header="0"/>
        </w:sectPr>
      </w:pPr>
    </w:p>
    <w:bookmarkStart w:id="40" w:name="page41"/>
    <w:bookmarkEnd w:id="40"/>
    <w:p>
      <w:pPr>
        <w:ind w:right="80" w:firstLine="378"/>
        <w:spacing w:after="0" w:line="273" w:lineRule="auto"/>
        <w:rPr>
          <w:sz w:val="20"/>
          <w:szCs w:val="20"/>
          <w:color w:val="auto"/>
        </w:rPr>
      </w:pPr>
      <w:r>
        <w:rPr>
          <w:rFonts w:ascii="Arial" w:cs="Arial" w:eastAsia="Arial" w:hAnsi="Arial"/>
          <w:sz w:val="17"/>
          <w:szCs w:val="17"/>
          <w:color w:val="auto"/>
        </w:rPr>
        <w:t>With respect to the notional value of our other short positions (89% short exposure), our liquidity would decrease by the balance sheet unrealized loss if we were to close the positions at year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Segment Liquidity</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Segment Cash and Cash Equivalents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w w:val="98"/>
              </w:rPr>
              <w:t>Segment cash and cash equivalents (excluding our Investment segment) consists of the following:</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0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04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Metals</w:t>
            </w:r>
          </w:p>
        </w:tc>
        <w:tc>
          <w:tcPr>
            <w:tcW w:w="104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Home Fashion</w:t>
            </w:r>
          </w:p>
        </w:tc>
        <w:tc>
          <w:tcPr>
            <w:tcW w:w="104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Mining</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Mining segment had $11 million of cash and cash equivalents included in assets held for sale as of December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Segment debt consists of the following:</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2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1,170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0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Metals</w:t>
            </w:r>
          </w:p>
        </w:tc>
        <w:tc>
          <w:tcPr>
            <w:tcW w:w="10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Home Fashion</w:t>
            </w:r>
          </w:p>
        </w:tc>
        <w:tc>
          <w:tcPr>
            <w:tcW w:w="10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Mining</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1,821</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Mining segment had $55 million of debt included in liabilities held for sale as of December 31, 2018.</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2018, all of our subsidiaries were in compliance with all debt covenants.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76" w:right="259" w:bottom="1440" w:gutter="0" w:footer="0" w:header="0"/>
        </w:sectPr>
      </w:pPr>
    </w:p>
    <w:bookmarkStart w:id="41" w:name="page42"/>
    <w:bookmarkEnd w:id="41"/>
    <w:p>
      <w:pPr>
        <w:ind w:left="420"/>
        <w:spacing w:after="0"/>
        <w:rPr>
          <w:sz w:val="20"/>
          <w:szCs w:val="20"/>
          <w:color w:val="auto"/>
        </w:rPr>
      </w:pPr>
      <w:r>
        <w:rPr>
          <w:rFonts w:ascii="Arial" w:cs="Arial" w:eastAsia="Arial" w:hAnsi="Arial"/>
          <w:sz w:val="18"/>
          <w:szCs w:val="18"/>
          <w:color w:val="auto"/>
        </w:rPr>
        <w:t>Our segments have additional borrowing availability under certain revolving credit facilities as summarized below:</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8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9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53"/>
              <w:spacing w:after="0"/>
              <w:rPr>
                <w:sz w:val="20"/>
                <w:szCs w:val="20"/>
                <w:color w:val="auto"/>
              </w:rPr>
            </w:pPr>
            <w:r>
              <w:rPr>
                <w:rFonts w:ascii="Arial" w:cs="Arial" w:eastAsia="Arial" w:hAnsi="Arial"/>
                <w:sz w:val="14"/>
                <w:szCs w:val="14"/>
                <w:color w:val="auto"/>
              </w:rPr>
              <w:t>(in millions)</w:t>
            </w:r>
          </w:p>
        </w:tc>
      </w:tr>
      <w:tr>
        <w:trPr>
          <w:trHeight w:val="25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90</w:t>
            </w:r>
          </w:p>
        </w:tc>
      </w:tr>
      <w:tr>
        <w:trPr>
          <w:trHeight w:val="27"/>
        </w:trPr>
        <w:tc>
          <w:tcPr>
            <w:tcW w:w="9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Metals</w:t>
            </w: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54</w:t>
            </w:r>
          </w:p>
        </w:tc>
      </w:tr>
      <w:tr>
        <w:trPr>
          <w:trHeight w:val="27"/>
        </w:trPr>
        <w:tc>
          <w:tcPr>
            <w:tcW w:w="9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r>
      <w:tr>
        <w:trPr>
          <w:trHeight w:val="237"/>
        </w:trPr>
        <w:tc>
          <w:tcPr>
            <w:tcW w:w="98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621</w:t>
            </w:r>
          </w:p>
        </w:tc>
      </w:tr>
      <w:tr>
        <w:trPr>
          <w:trHeight w:val="27"/>
        </w:trPr>
        <w:tc>
          <w:tcPr>
            <w:tcW w:w="9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 Certain terms of financings for certain of our businesses impose restrictions on the business' ability to transfer funds to us, including restrictions on dividends, distribution, loans and other transactions. See Note 10, "Debt," to the consolidated financial statements for further discussion regarding our segment debt, including information relating to maturities, interest rates and borrowing availabilities.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Subsidiary Payments for Acquisition</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On January 29, 2019, CVR Energy paid $241 million, excluding payments to us, for the acquisition of the remaining common units of CVR Refining from non-controlling interests.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which are included in net cash flows from financing activities. Our other operating segments' cash flows are driven by the activities and performance of each business as well as transactions with our Holding Company, as discussed below.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76" w:right="259" w:bottom="1440" w:gutter="0" w:footer="0" w:header="0"/>
        </w:sectPr>
      </w:pPr>
    </w:p>
    <w:bookmarkStart w:id="42" w:name="page43"/>
    <w:bookmarkEnd w:id="42"/>
    <w:p>
      <w:pPr>
        <w:ind w:left="420"/>
        <w:spacing w:after="0"/>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2"/>
              </w:rPr>
              <w:t>Year Ended December 31, 2018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3"/>
              </w:rPr>
              <w:t>Year Ended December 31, 2017</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Year Ended December 31, 2016</w:t>
            </w:r>
          </w:p>
        </w:tc>
      </w:tr>
      <w:tr>
        <w:trPr>
          <w:trHeight w:val="250"/>
        </w:trPr>
        <w:tc>
          <w:tcPr>
            <w:tcW w:w="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3"/>
              </w:rPr>
              <w:t>Net Cash Provided By (Used In)</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4"/>
              </w:rPr>
              <w:t>Net Cash Provided By (Used In)</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Net Cash Provided By (Used In)</w:t>
            </w:r>
          </w:p>
        </w:tc>
      </w:tr>
      <w:tr>
        <w:trPr>
          <w:trHeight w:val="152"/>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Investing</w:t>
            </w:r>
          </w:p>
        </w:tc>
        <w:tc>
          <w:tcPr>
            <w:tcW w:w="120" w:type="dxa"/>
            <w:vAlign w:val="bottom"/>
          </w:tcPr>
          <w:p>
            <w:pPr>
              <w:spacing w:after="0"/>
              <w:rPr>
                <w:sz w:val="13"/>
                <w:szCs w:val="13"/>
                <w:color w:val="auto"/>
              </w:rPr>
            </w:pPr>
          </w:p>
        </w:tc>
        <w:tc>
          <w:tcPr>
            <w:tcW w:w="9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Financing</w:t>
            </w:r>
          </w:p>
        </w:tc>
        <w:tc>
          <w:tcPr>
            <w:tcW w:w="140" w:type="dxa"/>
            <w:vAlign w:val="bottom"/>
          </w:tcPr>
          <w:p>
            <w:pPr>
              <w:spacing w:after="0"/>
              <w:rPr>
                <w:sz w:val="13"/>
                <w:szCs w:val="13"/>
                <w:color w:val="auto"/>
              </w:rPr>
            </w:pPr>
          </w:p>
        </w:tc>
        <w:tc>
          <w:tcPr>
            <w:tcW w:w="800" w:type="dxa"/>
            <w:vAlign w:val="bottom"/>
          </w:tcPr>
          <w:p>
            <w:pPr>
              <w:jc w:val="right"/>
              <w:ind w:right="81"/>
              <w:spacing w:after="0" w:line="153" w:lineRule="exact"/>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Investing</w:t>
            </w:r>
          </w:p>
        </w:tc>
        <w:tc>
          <w:tcPr>
            <w:tcW w:w="12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Investing</w:t>
            </w:r>
          </w:p>
        </w:tc>
        <w:tc>
          <w:tcPr>
            <w:tcW w:w="120" w:type="dxa"/>
            <w:vAlign w:val="bottom"/>
          </w:tcPr>
          <w:p>
            <w:pPr>
              <w:spacing w:after="0"/>
              <w:rPr>
                <w:sz w:val="13"/>
                <w:szCs w:val="13"/>
                <w:color w:val="auto"/>
              </w:rPr>
            </w:pPr>
          </w:p>
        </w:tc>
        <w:tc>
          <w:tcPr>
            <w:tcW w:w="760" w:type="dxa"/>
            <w:vAlign w:val="bottom"/>
          </w:tcPr>
          <w:p>
            <w:pPr>
              <w:jc w:val="right"/>
              <w:ind w:right="60"/>
              <w:spacing w:after="0" w:line="153" w:lineRule="exact"/>
              <w:rPr>
                <w:sz w:val="20"/>
                <w:szCs w:val="20"/>
                <w:color w:val="auto"/>
              </w:rPr>
            </w:pPr>
            <w:r>
              <w:rPr>
                <w:rFonts w:ascii="Arial" w:cs="Arial" w:eastAsia="Arial" w:hAnsi="Arial"/>
                <w:sz w:val="14"/>
                <w:szCs w:val="14"/>
                <w:b w:val="1"/>
                <w:bCs w:val="1"/>
                <w:color w:val="auto"/>
                <w:w w:val="90"/>
              </w:rPr>
              <w:t>Financing</w:t>
            </w:r>
          </w:p>
        </w:tc>
      </w:tr>
      <w:tr>
        <w:trPr>
          <w:trHeight w:val="192"/>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Activities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Activities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Activities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Activities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Activities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Activities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Activities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Activities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3"/>
              </w:rPr>
              <w:t>Activities</w:t>
            </w:r>
          </w:p>
        </w:tc>
      </w:tr>
      <w:tr>
        <w:trPr>
          <w:trHeight w:val="250"/>
        </w:trPr>
        <w:tc>
          <w:tcPr>
            <w:tcW w:w="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gridSpan w:val="4"/>
          </w:tcPr>
          <w:p>
            <w:pPr>
              <w:ind w:left="1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Holding Company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1,724</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r>
      <w:tr>
        <w:trPr>
          <w:trHeight w:val="237"/>
        </w:trPr>
        <w:tc>
          <w:tcPr>
            <w:tcW w:w="20" w:type="dxa"/>
            <w:vAlign w:val="bottom"/>
          </w:tcPr>
          <w:p>
            <w:pPr>
              <w:spacing w:after="0"/>
              <w:rPr>
                <w:sz w:val="20"/>
                <w:szCs w:val="20"/>
                <w:color w:val="auto"/>
              </w:rPr>
            </w:pPr>
          </w:p>
        </w:tc>
        <w:tc>
          <w:tcPr>
            <w:tcW w:w="2260" w:type="dxa"/>
            <w:vAlign w:val="bottom"/>
            <w:gridSpan w:val="2"/>
          </w:tcPr>
          <w:p>
            <w:pPr>
              <w:spacing w:after="0"/>
              <w:rPr>
                <w:sz w:val="20"/>
                <w:szCs w:val="20"/>
                <w:color w:val="auto"/>
              </w:rPr>
            </w:pPr>
            <w:r>
              <w:rPr>
                <w:rFonts w:ascii="Arial" w:cs="Arial" w:eastAsia="Arial" w:hAnsi="Arial"/>
                <w:sz w:val="16"/>
                <w:szCs w:val="16"/>
                <w:color w:val="auto"/>
              </w:rPr>
              <w:t>Investment</w:t>
            </w:r>
          </w:p>
        </w:tc>
        <w:tc>
          <w:tcPr>
            <w:tcW w:w="1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(1,914)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6"/>
                <w:szCs w:val="16"/>
                <w:color w:val="auto"/>
              </w:rPr>
              <w:t>Other Operating Segments: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Energy</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37"/>
        </w:trPr>
        <w:tc>
          <w:tcPr>
            <w:tcW w:w="20" w:type="dxa"/>
            <w:vAlign w:val="bottom"/>
          </w:tcPr>
          <w:p>
            <w:pPr>
              <w:spacing w:after="0"/>
              <w:rPr>
                <w:sz w:val="20"/>
                <w:szCs w:val="20"/>
                <w:color w:val="auto"/>
              </w:rPr>
            </w:pPr>
          </w:p>
        </w:tc>
        <w:tc>
          <w:tcPr>
            <w:tcW w:w="2260" w:type="dxa"/>
            <w:vAlign w:val="bottom"/>
            <w:gridSpan w:val="2"/>
          </w:tcPr>
          <w:p>
            <w:pPr>
              <w:ind w:left="120"/>
              <w:spacing w:after="0"/>
              <w:rPr>
                <w:sz w:val="20"/>
                <w:szCs w:val="20"/>
                <w:color w:val="auto"/>
              </w:rPr>
            </w:pPr>
            <w:r>
              <w:rPr>
                <w:rFonts w:ascii="Arial" w:cs="Arial" w:eastAsia="Arial" w:hAnsi="Arial"/>
                <w:sz w:val="16"/>
                <w:szCs w:val="16"/>
                <w:color w:val="auto"/>
              </w:rPr>
              <w:t>Automotive</w:t>
            </w:r>
          </w:p>
        </w:tc>
        <w:tc>
          <w:tcPr>
            <w:tcW w:w="1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1,033</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Food Packaging</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20" w:type="dxa"/>
            <w:vAlign w:val="bottom"/>
          </w:tcPr>
          <w:p>
            <w:pPr>
              <w:spacing w:after="0"/>
              <w:rPr>
                <w:sz w:val="20"/>
                <w:szCs w:val="20"/>
                <w:color w:val="auto"/>
              </w:rPr>
            </w:pPr>
          </w:p>
        </w:tc>
        <w:tc>
          <w:tcPr>
            <w:tcW w:w="2260" w:type="dxa"/>
            <w:vAlign w:val="bottom"/>
            <w:gridSpan w:val="2"/>
          </w:tcPr>
          <w:p>
            <w:pPr>
              <w:ind w:left="140"/>
              <w:spacing w:after="0"/>
              <w:rPr>
                <w:sz w:val="20"/>
                <w:szCs w:val="20"/>
                <w:color w:val="auto"/>
              </w:rPr>
            </w:pPr>
            <w:r>
              <w:rPr>
                <w:rFonts w:ascii="Arial" w:cs="Arial" w:eastAsia="Arial" w:hAnsi="Arial"/>
                <w:sz w:val="16"/>
                <w:szCs w:val="16"/>
                <w:color w:val="auto"/>
              </w:rPr>
              <w:t>Metals</w:t>
            </w: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r>
      <w:tr>
        <w:trPr>
          <w:trHeight w:val="237"/>
        </w:trPr>
        <w:tc>
          <w:tcPr>
            <w:tcW w:w="20" w:type="dxa"/>
            <w:vAlign w:val="bottom"/>
          </w:tcPr>
          <w:p>
            <w:pPr>
              <w:spacing w:after="0"/>
              <w:rPr>
                <w:sz w:val="20"/>
                <w:szCs w:val="20"/>
                <w:color w:val="auto"/>
              </w:rPr>
            </w:pPr>
          </w:p>
        </w:tc>
        <w:tc>
          <w:tcPr>
            <w:tcW w:w="2260" w:type="dxa"/>
            <w:vAlign w:val="bottom"/>
            <w:gridSpan w:val="2"/>
          </w:tcPr>
          <w:p>
            <w:pPr>
              <w:ind w:left="140"/>
              <w:spacing w:after="0"/>
              <w:rPr>
                <w:sz w:val="20"/>
                <w:szCs w:val="20"/>
                <w:color w:val="auto"/>
              </w:rPr>
            </w:pPr>
            <w:r>
              <w:rPr>
                <w:rFonts w:ascii="Arial" w:cs="Arial" w:eastAsia="Arial" w:hAnsi="Arial"/>
                <w:sz w:val="16"/>
                <w:szCs w:val="16"/>
                <w:color w:val="auto"/>
              </w:rPr>
              <w:t>Home Fashion</w:t>
            </w: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Mining</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r>
      <w:tr>
        <w:trPr>
          <w:trHeight w:val="237"/>
        </w:trPr>
        <w:tc>
          <w:tcPr>
            <w:tcW w:w="20" w:type="dxa"/>
            <w:vAlign w:val="bottom"/>
          </w:tcPr>
          <w:p>
            <w:pPr>
              <w:spacing w:after="0"/>
              <w:rPr>
                <w:sz w:val="20"/>
                <w:szCs w:val="20"/>
                <w:color w:val="auto"/>
              </w:rPr>
            </w:pPr>
          </w:p>
        </w:tc>
        <w:tc>
          <w:tcPr>
            <w:tcW w:w="2260" w:type="dxa"/>
            <w:vAlign w:val="bottom"/>
            <w:gridSpan w:val="2"/>
          </w:tcPr>
          <w:p>
            <w:pPr>
              <w:ind w:left="140"/>
              <w:spacing w:after="0"/>
              <w:rPr>
                <w:sz w:val="20"/>
                <w:szCs w:val="20"/>
                <w:color w:val="auto"/>
              </w:rPr>
            </w:pPr>
            <w:r>
              <w:rPr>
                <w:rFonts w:ascii="Arial" w:cs="Arial" w:eastAsia="Arial" w:hAnsi="Arial"/>
                <w:sz w:val="16"/>
                <w:szCs w:val="16"/>
                <w:color w:val="auto"/>
              </w:rPr>
              <w:t>Railcar</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operating segments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696</w:t>
            </w:r>
          </w:p>
        </w:tc>
      </w:tr>
      <w:tr>
        <w:trPr>
          <w:trHeight w:val="217"/>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6"/>
                <w:szCs w:val="16"/>
                <w:color w:val="auto"/>
              </w:rPr>
              <w:t>Discontinued operations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before eliminations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6"/>
                <w:szCs w:val="16"/>
                <w:color w:val="auto"/>
              </w:rPr>
              <w:t>Eliminations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1,458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142</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2,590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(1,428)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Eliminations</w:t>
      </w:r>
    </w:p>
    <w:p>
      <w:pPr>
        <w:spacing w:after="0" w:line="117"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Eliminations in the table above relate to our Holding Company's transactions with our Investment and other operating segments. Our Holding Company's net (investments in) distributions from the Investments Funds are included in cash flows from investing activities for our Holding Company and cash flows from financing activities for our Investment segment. Our Holding Company's net distributions from (investments in) our other operating segments are included in cash flows from investing activities for our Holding Company and cash flows from financing activities for our other operating segments. In addition, our Holding Company received loan proceeds from our Railcar segment in 2016 and repaid the loan in 2017 and which is included in cash flows from financing activities for our Holding Company and cash flows from investing activities for our other operating segments.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76" w:right="2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i w:val="1"/>
                <w:iCs w:val="1"/>
                <w:color w:val="auto"/>
              </w:rPr>
              <w:t>Holding Company</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interest on senior unsecured notes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receipts (payments) for income taxes, net of refunds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transactions with subsidiaries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businesses and assets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Payments to acquire additional interests in subsidiaries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(investments in) distributions from the Investment Funds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distributions from (investments in) other operating segments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Partnership contributions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 distributions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debt refinancing</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(repayment) proceeds from other operating segments</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0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6"/>
              </w:rPr>
              <w:t>Increase in cash and cash equivalents and restricted cash and restricted cash</w:t>
            </w:r>
          </w:p>
        </w:tc>
        <w:tc>
          <w:tcPr>
            <w:tcW w:w="110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480" w:type="dxa"/>
            <w:vAlign w:val="bottom"/>
            <w:gridSpan w:val="3"/>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110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480" w:type="dxa"/>
            <w:vAlign w:val="bottom"/>
            <w:gridSpan w:val="3"/>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increases in interest payments over the comparable periods are due to higher interest rates on certain of our senior unsecured notes due to certain debt refinancings in the first and fourth quarters of 2017.</w:t>
      </w:r>
    </w:p>
    <w:p>
      <w:pPr>
        <w:spacing w:after="0" w:line="6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Net cash receipts (payments) for income taxes, net of refunds is net of tax sharing receipts from certain of our consolidated subsidiaries aggregating $27 million, $28 million and $45 million during the years ended December 31, 2018, 2017 and 2016, respectively.</w:t>
      </w:r>
    </w:p>
    <w:p>
      <w:pPr>
        <w:spacing w:after="0" w:line="62"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Proceeds from the sale of businesses includes proceeds from the sales of Federal-Mogul, Tropicana and ARI in 2018 and ARL in 2017 (and residual sales of ARL's remaining railcars in 2018). The cash flows with respect to each of Federal-Mogul, Tropicana and ARI are reported in discontinued operations for all periods presented and the cash proceeds from each of the sales remain with our Holding Company in continuing operations.</w:t>
      </w:r>
    </w:p>
    <w:p>
      <w:pPr>
        <w:spacing w:after="0" w:line="3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Payments to acquire additional interests in subsidiaries during 2018 relates to the acquisition of the remaining interests in a hotel, timeshare and casino resort property in Aruba, previously a subsidiary of Tropicana, in which we had an indirect majority controlling interest in. During 2017, we increased our ownership in Federal-Mogul and Tropicana and during 2016, we increased our ownership in Viskase.</w:t>
      </w:r>
    </w:p>
    <w:p>
      <w:pPr>
        <w:spacing w:after="0" w:line="73" w:lineRule="exact"/>
        <w:rPr>
          <w:sz w:val="20"/>
          <w:szCs w:val="20"/>
          <w:color w:val="auto"/>
        </w:rPr>
      </w:pPr>
    </w:p>
    <w:p>
      <w:pPr>
        <w:ind w:right="540" w:firstLine="405"/>
        <w:spacing w:after="0" w:line="308" w:lineRule="auto"/>
        <w:rPr>
          <w:sz w:val="20"/>
          <w:szCs w:val="20"/>
          <w:color w:val="auto"/>
        </w:rPr>
      </w:pPr>
      <w:r>
        <w:rPr>
          <w:rFonts w:ascii="Arial" w:cs="Arial" w:eastAsia="Arial" w:hAnsi="Arial"/>
          <w:sz w:val="17"/>
          <w:szCs w:val="17"/>
          <w:color w:val="auto"/>
        </w:rPr>
        <w:t>During 2017, we received $600 million in connection with a rights offering for Icahn Enterprises depositary units as well as $12 million from our general partner in connection with the rights offering in order to maintain its aggregate 1.99% general partner interest in Icahn Enterprises.</w:t>
      </w:r>
    </w:p>
    <w:p>
      <w:pPr>
        <w:spacing w:after="0" w:line="3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Net (investments in) distributions from the Investment Funds, Net distributions from (investments in) other operating segments and Note (repayment) proceeds from other operating segments are eliminated in consolidation and discussed further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7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Investment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Investment segment's cash flows from operating activities for the comparable periods were attributable to its net investment transactions.</w:t>
      </w:r>
    </w:p>
    <w:p>
      <w:pPr>
        <w:spacing w:after="0" w:line="12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Investment segment's cash flows from financing activities for the comparable periods were due to contributions from, and distributions to, our Holding Company and Mr. Icahn and his affiliates. Our Investment segment had net cash provided by financing activities of approximately $2.0 billion for the year ended December 31, 2018, which included our approximately $1.7 billion net investment in the Investment Funds as well as $310 million received from Mr. Icahn and his affiliates (excluding us). For the year ended December 31, 2017, our Investment segment had net cash provided by financing activities of $1.9 billion which included our $1.3 billion net investment in the Investment Funds as well as $600 million received from Mr. Icahn and his affiliates (excluding us). For the year ended December 31, 2016, our Investment segment had net cash used in financing activities of $552 million due to distributions paid to our Holding Company of approximately $1.1 billion, offset in part by net contributions from Mr. Icahn and his affiliates (excluding us) of $498 million.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i w:val="1"/>
                <w:iCs w:val="1"/>
                <w:color w:val="auto"/>
              </w:rPr>
              <w:t>Other Operating Segments</w:t>
            </w: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Net cash flow from operating activities before changes in operating assets and</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Transactions with Holding Company</w:t>
            </w: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(272)</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businesses, net of cash acquired</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Proceeds from sale of assets</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repayment from (loan to) Holding Company</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debt and supply chain financing activity</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Distributions to non-controlling interests</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(distributions to) contributions from Holding Company</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6"/>
              </w:rPr>
              <w:t>Increase in cash and cash equivalents and restricted cash and restricted cash</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60" w:type="dxa"/>
            <w:vAlign w:val="bottom"/>
            <w:vMerge w:val="continue"/>
          </w:tcPr>
          <w:p>
            <w:pPr>
              <w:spacing w:after="0"/>
              <w:rPr>
                <w:sz w:val="15"/>
                <w:szCs w:val="15"/>
                <w:color w:val="auto"/>
              </w:rPr>
            </w:pPr>
          </w:p>
        </w:tc>
        <w:tc>
          <w:tcPr>
            <w:tcW w:w="1160" w:type="dxa"/>
            <w:vAlign w:val="bottom"/>
            <w:vMerge w:val="restart"/>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48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116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480" w:type="dxa"/>
            <w:vAlign w:val="bottom"/>
            <w:gridSpan w:val="3"/>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other operating segments' net cash flow from operating activities before changes in operating assets and liabilities were primarily attributable to our Energy segment's positive results from operations for all periods, and for 2017 and 2016, were also attributable to our Railcar segment prior to the sale of its railcar lease fleet.</w:t>
      </w:r>
    </w:p>
    <w:p>
      <w:pPr>
        <w:spacing w:after="0" w:line="7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Changes in operating assets and liabilities for 2018 was primarily attributable to our Real Estate segment receiving payment for its mortgage receivables relating to its 2017 sale of a development property in Las Vegas, Nevada, offset in part by changes in operating assets and liabilities for our Energy and Automotive segments. Changes in operating assets and liabilities for 2017 and 2016 were primarily attributable to our Energy segment resulting from changes in the biofuel blending obligation caused by changes in RINs prices.</w:t>
      </w:r>
    </w:p>
    <w:p>
      <w:pPr>
        <w:spacing w:after="0" w:line="79"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Capital expenditures are primarily from our Energy, Automotive and Mining segments. For the year ended December 31, 2018, our Energy segment's capital expenditures were $102 million, primarily for maintenance, our Automotive segment's capital expenditures were $66 million, primarily for store improvements, and our Mining segment's capital expenditures were $40 million. For the years ended December 31, 2017 and 2016, our Energy segment's capital expenditures were $120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76" w:right="239" w:bottom="1440" w:gutter="0" w:footer="0" w:header="0"/>
        </w:sectPr>
      </w:pPr>
    </w:p>
    <w:bookmarkStart w:id="45" w:name="page46"/>
    <w:bookmarkEnd w:id="45"/>
    <w:p>
      <w:pPr>
        <w:ind w:right="400"/>
        <w:spacing w:after="0" w:line="277" w:lineRule="auto"/>
        <w:rPr>
          <w:sz w:val="20"/>
          <w:szCs w:val="20"/>
          <w:color w:val="auto"/>
        </w:rPr>
      </w:pPr>
      <w:r>
        <w:rPr>
          <w:rFonts w:ascii="Arial" w:cs="Arial" w:eastAsia="Arial" w:hAnsi="Arial"/>
          <w:sz w:val="18"/>
          <w:szCs w:val="18"/>
          <w:color w:val="auto"/>
        </w:rPr>
        <w:t>and $133 million, respectively, our Automotive segment's capital expenditures were $86 million and $37 million, respectively, and our Mining segment's capital expenditures were $38 million and $22 million, respectively.</w:t>
      </w:r>
    </w:p>
    <w:p>
      <w:pPr>
        <w:spacing w:after="0" w:line="62"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Acquisition of businesses, net of cash acquired, primarily relates to our Automotive segment. Our Automotive segment's acquisitions included various service businesses aggregating $15 million in 2018, the acquisitions of Precision Tune, American Driveline and various other service businesses aggregating $218 million in 2017 and its acquisitions of Pep Boys and certain other businesses aggregating $971 million in 2016. In addition, our Food Packaging segment acquired a casings manufacturer for $31 million in 2017 and had other acquisitions of $4 million in 2016, and our Energy segment acquired a nitrogen fertilizer business for common units of CVR Partners and $64 million of net cash consideration in 2016. Acquisitions of businesses, net of cash acquired in 2016 were offset by $30 million of cash held by casino properties in Atlantic City, New Jersey which we obtained a controlling equity interest in through the conversion of our prior debt investment in such casino business.</w:t>
      </w:r>
    </w:p>
    <w:p>
      <w:pPr>
        <w:spacing w:after="0" w:line="7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Proceeds from sale of assets are primarily due to our Real Estate segment's dispositions of certain properties in 2018 and 2017. Proceeds from sale of assets for 2016 primarily relates to our Automotive segment.</w:t>
      </w:r>
    </w:p>
    <w:p>
      <w:pPr>
        <w:spacing w:after="0" w:line="62"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During the year ended December 31, 2017, our Railcar segment received $120 million from our Holding Company for the repayment of an intercompany loan and during the year ended December 31, 2016, our Railcar segment paid $125 million to our Holding Company for the issuance of the intercompany loan.</w:t>
      </w:r>
    </w:p>
    <w:p>
      <w:pPr>
        <w:spacing w:after="0" w:line="7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Distributions to non-controlling interests were from our Energy segment for the years ended December 31, 2018, 2017 and 2016, relating to its regular quarterly dividends and distributions, excluding payments made to us.</w:t>
      </w:r>
    </w:p>
    <w:p>
      <w:pPr>
        <w:spacing w:after="0" w:line="62"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Net distributions to and contributions from our Holding Company include the dividends and distributions paid by our Energy segment of $192 million, $148 million and $142 million for the years ended December 31, 2018, 2017 and 2016, respectively, as well as by our Real Estate segment of $543 million, $374 million and $4 million, respectively, and by our Railcar segment of $0 million, $47 million and $75 million, respectively. During the year ended December 31, 2016, our Automotive segment also distributed $100 million to our Holding Company. During the years ended December 31, 2018, 2017 and 2016, our Automotive segment received funds in the form of investments from our Holding Company of $365 million, $504 million and $1,042 million, respectively, for the acquisition of businesses, investments in 767 Auto Leasing LLC and costs associated with our Automotive segment's multi-year transformation plan. Our other operating segments received funds in the form of loans and investments from our Holding Company aggregating $34 million, $28 million and $81 million during the years ended December 31, 2018, 2017 and 2016, respectively. Our Food Packaging segment also received $50 million in 2018 in connection with a rights offering, including $44 million from our Holding Company.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Discontinued Operations</w:t>
            </w: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2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Federal-Mogul</w:t>
            </w:r>
          </w:p>
        </w:tc>
        <w:tc>
          <w:tcPr>
            <w:tcW w:w="2260" w:type="dxa"/>
            <w:vAlign w:val="bottom"/>
            <w:tcBorders>
              <w:bottom w:val="single" w:sz="8" w:color="CCEEFF"/>
            </w:tcBorders>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Tropicana</w:t>
            </w:r>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w:t>
            </w:r>
          </w:p>
        </w:tc>
        <w:tc>
          <w:tcPr>
            <w:tcW w:w="1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Transactions with Holding Company</w:t>
            </w:r>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Federal-Mogul</w:t>
            </w:r>
          </w:p>
        </w:tc>
        <w:tc>
          <w:tcPr>
            <w:tcW w:w="2260" w:type="dxa"/>
            <w:vAlign w:val="bottom"/>
            <w:tcBorders>
              <w:bottom w:val="single" w:sz="8" w:color="CCEEFF"/>
            </w:tcBorders>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Tropicana</w:t>
            </w:r>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w:t>
            </w:r>
          </w:p>
        </w:tc>
        <w:tc>
          <w:tcPr>
            <w:tcW w:w="1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67"/>
        </w:trPr>
        <w:tc>
          <w:tcPr>
            <w:tcW w:w="496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Federal-Mogul</w:t>
            </w:r>
          </w:p>
        </w:tc>
        <w:tc>
          <w:tcPr>
            <w:tcW w:w="226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Tropicana</w:t>
            </w:r>
          </w:p>
        </w:tc>
        <w:tc>
          <w:tcPr>
            <w:tcW w:w="1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ARI</w:t>
            </w:r>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contributions from (distributions to) Holding Company</w:t>
            </w:r>
          </w:p>
        </w:tc>
        <w:tc>
          <w:tcPr>
            <w:tcW w:w="1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8"/>
                <w:szCs w:val="18"/>
                <w:color w:val="auto"/>
              </w:rPr>
              <w:t>44</w:t>
            </w: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46" w:name="page47"/>
    <w:bookmarkEnd w:id="46"/>
    <w:p>
      <w:pPr>
        <w:ind w:right="40" w:firstLine="405"/>
        <w:spacing w:after="0" w:line="259" w:lineRule="auto"/>
        <w:rPr>
          <w:sz w:val="20"/>
          <w:szCs w:val="20"/>
          <w:color w:val="auto"/>
        </w:rPr>
      </w:pPr>
      <w:r>
        <w:rPr>
          <w:rFonts w:ascii="Arial" w:cs="Arial" w:eastAsia="Arial" w:hAnsi="Arial"/>
          <w:sz w:val="18"/>
          <w:szCs w:val="18"/>
          <w:color w:val="auto"/>
        </w:rPr>
        <w:t>Our cash flows from operating activities from discontinued operations was primarily due to net cash flow from operating activities before changes in operating assets and liabilities for each of Federal-Mogul, Tropicana and ARI. However, Federal-Mogul's cash flows from operating activities in 2017 compared to 2016 was also significantly impacted by changes in operating assets and liabilities primarily due to a buildup of inventory in 2017 compared to a reduction of inventory in 2016.</w:t>
      </w:r>
    </w:p>
    <w:p>
      <w:pPr>
        <w:spacing w:after="0" w:line="7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cash flows from investing activities from discontinued operations were primarily due to capital expenditures for each of Federal-Mogul, Tropicana and ARI.</w:t>
      </w:r>
    </w:p>
    <w:p>
      <w:pPr>
        <w:spacing w:after="0" w:line="6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cash flows from financing activities from discontinued operations were primarily due to net debt transactions for each of Federal-Mogul, Tropicana and ARI. In addition, ARI had aggregate quarterly dividends of $23 million, $31 million and $31 million for the years ended December 31, 2018, 2017 and 2016, respectively, of which $14 million, $19 million and $19 million were paid to us. In 2018, Federal-Mogul also received $56 million from us in connection with a certain litigation reserve.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Refer to Note 12, "Segment and Geographic Reporting," for a reconciliation of our segments' capital expenditures to consolidated capital expenditures for each of the years ended December 31, 2018, 2017 and 2016.</w:t>
      </w:r>
    </w:p>
    <w:p>
      <w:pPr>
        <w:spacing w:after="0" w:line="62" w:lineRule="exact"/>
        <w:rPr>
          <w:sz w:val="20"/>
          <w:szCs w:val="20"/>
          <w:color w:val="auto"/>
        </w:rPr>
      </w:pPr>
    </w:p>
    <w:p>
      <w:pPr>
        <w:jc w:val="both"/>
        <w:ind w:right="640" w:firstLine="405"/>
        <w:spacing w:after="0" w:line="264" w:lineRule="auto"/>
        <w:rPr>
          <w:sz w:val="20"/>
          <w:szCs w:val="20"/>
          <w:color w:val="auto"/>
        </w:rPr>
      </w:pPr>
      <w:r>
        <w:rPr>
          <w:rFonts w:ascii="Arial" w:cs="Arial" w:eastAsia="Arial" w:hAnsi="Arial"/>
          <w:sz w:val="18"/>
          <w:szCs w:val="18"/>
          <w:color w:val="auto"/>
        </w:rPr>
        <w:t>We estimate that our consolidated capital expenditures for our continuing operating businesses to be approximately $239 million for our Energy segment, a majority of which is planned for maintenance, $60 million for our Automotive segment, primarily for strategic priorities and growth, and approximately $63 million in the aggregate for all other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reflects, at December 31, 2018, our contractual cash obligations, subject to certain conditions, due over the indicated periods:</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Thereafter</w:t>
            </w:r>
          </w:p>
        </w:tc>
        <w:tc>
          <w:tcPr>
            <w:tcW w:w="2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7,300</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payments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Pension and other post-retirement benefit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420" w:type="dxa"/>
            <w:vAlign w:val="bottom"/>
          </w:tcPr>
          <w:p>
            <w:pPr>
              <w:ind w:left="200"/>
              <w:spacing w:after="0"/>
              <w:rPr>
                <w:sz w:val="20"/>
                <w:szCs w:val="20"/>
                <w:color w:val="auto"/>
              </w:rPr>
            </w:pPr>
            <w:r>
              <w:rPr>
                <w:rFonts w:ascii="Arial" w:cs="Arial" w:eastAsia="Arial" w:hAnsi="Arial"/>
                <w:sz w:val="18"/>
                <w:szCs w:val="18"/>
                <w:color w:val="auto"/>
              </w:rPr>
              <w:t>plans</w:t>
            </w:r>
          </w:p>
        </w:tc>
        <w:tc>
          <w:tcPr>
            <w:tcW w:w="2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901</w:t>
            </w: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57"/>
        </w:trPr>
        <w:tc>
          <w:tcPr>
            <w:tcW w:w="34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11,126</w:t>
            </w: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The table above excludes debt obligations of $55 million and related interest payments of $14 million relating to our Mining segment, which is classified as held for sale as of December 31, 2018.</w:t>
      </w:r>
    </w:p>
    <w:p>
      <w:pPr>
        <w:spacing w:after="0" w:line="62"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Certain of CVR Energy's and PSC Metals' facilities are environmentally impaired. As of December 31, 2018, CVR Energy and PSC Metals have recorded environmental liabilities of $8 million and $27 million, respectively. For further discussion regarding these commitments, among others, see Note 17, “Commitments and Contingencies,” to the consolidated financial statements.</w:t>
      </w:r>
    </w:p>
    <w:p>
      <w:pPr>
        <w:spacing w:after="0" w:line="73" w:lineRule="exact"/>
        <w:rPr>
          <w:sz w:val="20"/>
          <w:szCs w:val="20"/>
          <w:color w:val="auto"/>
        </w:rPr>
      </w:pPr>
    </w:p>
    <w:p>
      <w:pPr>
        <w:jc w:val="both"/>
        <w:ind w:right="380" w:firstLine="378"/>
        <w:spacing w:after="0" w:line="264" w:lineRule="auto"/>
        <w:rPr>
          <w:sz w:val="20"/>
          <w:szCs w:val="20"/>
          <w:color w:val="auto"/>
        </w:rPr>
      </w:pPr>
      <w:r>
        <w:rPr>
          <w:rFonts w:ascii="Arial" w:cs="Arial" w:eastAsia="Arial" w:hAnsi="Arial"/>
          <w:sz w:val="18"/>
          <w:szCs w:val="18"/>
          <w:color w:val="auto"/>
        </w:rPr>
        <w:t>As discussed in Note 4, “Investments and Related Matters,” to the consolidated financial statements, we have contractual liabilities of $468 million related to securities sold, not yet purchased as of December 31, 2018. This amount has not been included in the table above as maturity is not subject to a contract and cannot be properly estimated.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117"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refer to Note 6, “Financial Instruments,” to the consolidated financial statements contained elsewhere in this Report.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7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60" w:firstLine="378"/>
        <w:spacing w:after="0" w:line="270" w:lineRule="auto"/>
        <w:rPr>
          <w:sz w:val="20"/>
          <w:szCs w:val="20"/>
          <w:color w:val="auto"/>
        </w:rPr>
      </w:pPr>
      <w:r>
        <w:rPr>
          <w:rFonts w:ascii="Arial" w:cs="Arial" w:eastAsia="Arial" w:hAnsi="Arial"/>
          <w:sz w:val="17"/>
          <w:szCs w:val="17"/>
          <w:color w:val="auto"/>
        </w:rPr>
        <w:t>Our significant accounting policies are described in Note 2, “Basis of Presentation and Summary of Significant Accounting Policies,” to the consolidated financial statements. Our consolidated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liabilities, revenues and expenses and the disclosure of contingent assets and liabilities. Among others, estimates are used when accounting for valuation of investments. Estimates used in determining fair value measurements include, but are not limited to, expected future cash flow assumptions, market rate assumptions for contractual obligations, actuarial assumptions for benefit plans, settlement plans for litigation and contingencies, and appropriate discount rates. Estimates and assumptions are evaluated on an ongoing basis and are based on historical and other factors believed to be reasonable under the circumstances.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spacing w:after="0" w:line="70"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We believe the following accounting policies are critical to our business operations and the understanding of results of operations and affect the more significant judgments and estimates used in the preparation of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Except as described below, no provision has been made for federal, state, local or foreign income taxes on the results of operations generated by partnership activities as such taxes are the responsibility of the partners. Our corporate subsidiaries account for their income taxes under the asset and liability method.</w:t>
      </w:r>
    </w:p>
    <w:p>
      <w:pPr>
        <w:spacing w:after="0" w:line="73"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spacing w:after="0" w:line="62" w:lineRule="exact"/>
        <w:rPr>
          <w:sz w:val="20"/>
          <w:szCs w:val="20"/>
          <w:color w:val="auto"/>
        </w:rPr>
      </w:pPr>
    </w:p>
    <w:p>
      <w:pPr>
        <w:ind w:right="440" w:firstLine="378"/>
        <w:spacing w:after="0" w:line="264"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73" w:lineRule="exact"/>
        <w:rPr>
          <w:sz w:val="20"/>
          <w:szCs w:val="20"/>
          <w:color w:val="auto"/>
        </w:rPr>
      </w:pPr>
    </w:p>
    <w:p>
      <w:pPr>
        <w:ind w:firstLine="378"/>
        <w:spacing w:after="0" w:line="253" w:lineRule="auto"/>
        <w:rPr>
          <w:sz w:val="20"/>
          <w:szCs w:val="20"/>
          <w:color w:val="auto"/>
        </w:rPr>
      </w:pPr>
      <w:r>
        <w:rPr>
          <w:rFonts w:ascii="Arial" w:cs="Arial" w:eastAsia="Arial" w:hAnsi="Arial"/>
          <w:sz w:val="18"/>
          <w:szCs w:val="18"/>
          <w:color w:val="auto"/>
        </w:rPr>
        <w:t>On December 22, 2017, The Tax Cuts and Jobs Act (the "Tax Legislation") was enacted in the United States, significantly revising certain U.S. corporate income tax provisions; including, among other items, a reduction of the U.S. corporate rate from 35% to 21%, effective for tax year beginning after December 31, 2017; the transition of U.S. international taxation from a worldwide tax system to a territorial system; and a one-time transition tax on the mandatory deemed repatriation of cumulative foreign earnings as of December 31, 2017, (or, if greater, November 2, 2017) of a “specified foreign corporation” which includes controlled foreign corporations and other foreign corporations which have at least one U.S. corporate shareholder that owns 10% or more of the value or voting power of such foreign corporation. We estimated the impact of the Tax Legislation on our income tax provision for the year ended December 31, 2017 in accordance with our understanding of the Tax Legislation and guidance available at the date of this filing and as a result have recorded adjustments to the various tax balances, current, long-term and deferred tax assets and liabilities, all during the fourth quarter of 2017, the period in which the Tax Legislation was enacted. The actual amounts recorded in 2017 were not significantly different from the provisional amounts estimated in the prior year tax provision.</w:t>
      </w:r>
    </w:p>
    <w:p>
      <w:pPr>
        <w:spacing w:after="0" w:line="87" w:lineRule="exact"/>
        <w:rPr>
          <w:sz w:val="20"/>
          <w:szCs w:val="20"/>
          <w:color w:val="auto"/>
        </w:rPr>
      </w:pPr>
    </w:p>
    <w:p>
      <w:pPr>
        <w:ind w:right="140" w:firstLine="378"/>
        <w:spacing w:after="0" w:line="297" w:lineRule="auto"/>
        <w:rPr>
          <w:sz w:val="20"/>
          <w:szCs w:val="20"/>
          <w:color w:val="auto"/>
        </w:rPr>
      </w:pPr>
      <w:r>
        <w:rPr>
          <w:rFonts w:ascii="Arial" w:cs="Arial" w:eastAsia="Arial" w:hAnsi="Arial"/>
          <w:sz w:val="16"/>
          <w:szCs w:val="16"/>
          <w:color w:val="auto"/>
        </w:rPr>
        <w:t>Management periodically evaluates all evidence, both positive and negative, in determining whether a valuation allowance to reduce the carrying value of deferred tax assets is still needed. For each of the three years ended December 31, 2018, we concluded, based on the projections of taxable income, that certain of our corporate subsidiaries more likely than not will realize a partial benefit from their deferred tax assets and loss carry forwards. Ultimate realization of the deferred tax assets is dependent upon, among other factors, our corporate subsidiaries' ability to generate sufficient taxable income within the carryforward periods and is subject to change depending on the tax laws in effect in the years in which the carryforwards are used.</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14, "Income Taxes," to the consolidated financial statements for further discussion regarding our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17"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The fair value of our investments, including securities sold, not yet purchased, is based on observable market prices when available. Securities owned by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 For some investments little market activity may exist; management's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4" w:right="239" w:bottom="1440" w:gutter="0" w:footer="0" w:header="0"/>
        </w:sectPr>
      </w:pPr>
    </w:p>
    <w:bookmarkStart w:id="48" w:name="page49"/>
    <w:bookmarkEnd w:id="48"/>
    <w:p>
      <w:pPr>
        <w:ind w:right="380"/>
        <w:spacing w:after="0" w:line="277" w:lineRule="auto"/>
        <w:rPr>
          <w:sz w:val="20"/>
          <w:szCs w:val="20"/>
          <w:color w:val="auto"/>
        </w:rPr>
      </w:pPr>
      <w:r>
        <w:rPr>
          <w:rFonts w:ascii="Arial" w:cs="Arial" w:eastAsia="Arial" w:hAnsi="Arial"/>
          <w:sz w:val="18"/>
          <w:szCs w:val="18"/>
          <w:color w:val="auto"/>
        </w:rPr>
        <w:t>determination of fair value is then based on the best information available in the circumstances and may incorporate management's own assumptions and involves a significant degree of judgment.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117"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We calculate depreciation and amortization on a straight-line basis over the estimated useful lives of the various definite-lived assets. When assets are placed in service, we make estimates of what we believe are their reasonable useful lives.</w:t>
      </w:r>
    </w:p>
    <w:p>
      <w:pPr>
        <w:spacing w:after="0" w:line="62"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Long-lived assets held and used by our various operating segments and long-lived assets to be disposed of are reviewed for impairment whenever events or changes in circumstances, such as vacancies and rejected leases and reduced production capacity, indicate that the carrying amount of an asset may not be recoverable. In performing the review for recoverability, we estimate the future cash flows expected to result from the use of the asset and its eventual disposition. If the sum of the expected future cash flows, undiscounted and without interest charges, is less than the carrying amount of the asset an impairment loss is recognized. Measurement of an impairment loss for long-lived assets that we expect to hold and use is based on the fair value of the asset. Long-lived assets to be disposed of are reported at the lower of carrying amount or fair value less cost to sell. Definite-lived assets held by our various segments are periodically reviewed for impairment indicators. If impairment indicators exist, we perform the required analysis and an impairment loss is recognized in accordance with U.S. GAAP.</w:t>
      </w:r>
    </w:p>
    <w:p>
      <w:pPr>
        <w:spacing w:after="0" w:line="71" w:lineRule="exact"/>
        <w:rPr>
          <w:sz w:val="20"/>
          <w:szCs w:val="20"/>
          <w:color w:val="auto"/>
        </w:rPr>
      </w:pPr>
    </w:p>
    <w:p>
      <w:pPr>
        <w:ind w:right="40" w:firstLine="378"/>
        <w:spacing w:after="0" w:line="253" w:lineRule="auto"/>
        <w:rPr>
          <w:sz w:val="20"/>
          <w:szCs w:val="20"/>
          <w:color w:val="auto"/>
        </w:rPr>
      </w:pPr>
      <w:r>
        <w:rPr>
          <w:rFonts w:ascii="Arial" w:cs="Arial" w:eastAsia="Arial" w:hAnsi="Arial"/>
          <w:sz w:val="18"/>
          <w:szCs w:val="18"/>
          <w:color w:val="auto"/>
        </w:rPr>
        <w:t>Indefinite-lived intangible assets, such as goodwill and trademarks, held by our various segments are reviewed for impairment annually, or more frequently if impairment indicators exist. Goodwill impairment testing involves comparing the fair value of our reporting units to their respective carrying values. If the fair value of the reporting unit exceeds its carrying value, no impairment is necessary. If the carrying amount of the reporting unit exceeds its fair value, an impairment loss, equal to the difference (limited to the total amount of goodwill allocated to the tested reporting unit), is recognized in accordance with U.S. GAAP. As of December 31, 2018, our consolidated goodwill was $247 million, primarily within our Automotive segment. We perform the annual goodwill impairment test for our Automotive segment as of October 1 of each year. Based on our annual goodwill impairment analysis for our Automotive segment, we determined that the carrying value of its Parts reporting unit exceeded its fair value and as a result, we recognized a goodwill impairment charge of $87 million in the fourth quarter of 2018, which represented the full amount of the remaining goodwill allocated to the Parts reporting unit. We also determined that the fair value of our Automotive segment's Service reporting unit was significantly in excess of its carrying value and therefore, no impairment is required. As of December 31, 2018, our Automotive segment had remaining goodwill of $241 million, which is allocated entirely to its Service reporting unit.</w:t>
      </w:r>
    </w:p>
    <w:p>
      <w:pPr>
        <w:spacing w:after="0" w:line="85"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 The inputs used to determine the fair values of our reporting units, including future cash flows, discount rates and growth rates and other assumptions involves a significant degree of judgment.</w:t>
      </w:r>
    </w:p>
    <w:p>
      <w:pPr>
        <w:spacing w:after="0" w:line="58" w:lineRule="exact"/>
        <w:rPr>
          <w:sz w:val="20"/>
          <w:szCs w:val="20"/>
          <w:color w:val="auto"/>
        </w:rPr>
      </w:pPr>
    </w:p>
    <w:p>
      <w:pPr>
        <w:ind w:right="680" w:firstLine="378"/>
        <w:spacing w:after="0" w:line="308" w:lineRule="auto"/>
        <w:rPr>
          <w:sz w:val="20"/>
          <w:szCs w:val="20"/>
          <w:color w:val="auto"/>
        </w:rPr>
      </w:pPr>
      <w:r>
        <w:rPr>
          <w:rFonts w:ascii="Arial" w:cs="Arial" w:eastAsia="Arial" w:hAnsi="Arial"/>
          <w:sz w:val="17"/>
          <w:szCs w:val="17"/>
          <w:color w:val="auto"/>
        </w:rPr>
        <w:t>See Note 5, "Fair Value Measurements," and Note 8, "Goodwill and Intangible Assets, Net," to the consolidated financial statements for further discussion regarding the fair value measurements of our long-live assets as well as goodwill and intangible assets.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See Note 2, "Basis of Presentation and Summary of Significant Accounting Policies," to the consolidated financial statements for a discussion of recent accounting pronouncements applicable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right="20" w:firstLine="378"/>
        <w:spacing w:after="0" w:line="308" w:lineRule="auto"/>
        <w:rPr>
          <w:sz w:val="20"/>
          <w:szCs w:val="20"/>
          <w:color w:val="auto"/>
        </w:rPr>
      </w:pPr>
      <w:r>
        <w:rPr>
          <w:rFonts w:ascii="Arial" w:cs="Arial" w:eastAsia="Arial" w:hAnsi="Arial"/>
          <w:sz w:val="17"/>
          <w:szCs w:val="17"/>
          <w:color w:val="auto"/>
        </w:rPr>
        <w:t>Our consolidated balance sheets include substantial amounts of assets and liabilities whose fair values are subject to market risks. Our significant market risks are primarily associated with equity prices, commodity prices, interest rates and foreign currency exchange rates as discussed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17"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Our predominant exposure to equity price risk is related to our Investment segment and the sensitivities to movements in the fair value of the Investment Funds' investments.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76"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64"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Investment Funds hold investments that are reported at fair value as of the reporting date, which include securities owned, securities sold, not yet purchased and derivatives as reported in our consolidated balance sheets. Based on their respective balances as of December 31, 2018, we estimate that in the event of a 10% adverse change in the fair value of these investments, the fair values of securities owned, securities sold, not yet purchased and derivatives would decrease by approximately $687 million, $47 million and $1.0 billion, respectively. However, as of December 31, 2018, we estimate that the impact to our share of the net gain (loss) from investment activities reported in our consolidated statements of operations would be less than the change in fair value since we have an investment of approximately 50% in the Investment Funds, and the non-controlling interests in income would correspondingly offset approximately 50% of the change in fair value. As of December 31, 2017, we estimated that in the event of a 10% adverse change in the fair value of these investments, the fair values of securities owned, securities sold, not yet purchased and derivatives would decrease by approximately $953 million, $102 million and $1.0 billion, respectively and as of December 31, 2017, our investment in the Investment Funds was 41%.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Fluctuations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Based on sensitivity analysis for our equity price risks as of December 31, 2018, the effect of a hypothetical 10% adverse change in market prices would result in loss of approximately $131 million for our Holding Company. As of December 31, 2017, such hypothetical loss was approximately $38 million, with the difference reflecting our acquired investment in Tenneco Inc. during 2018 as well as a positive change in the historical price of other investments held by our Holding Company during 2018. The selected hypothetical change does not reflect what could be considered the best- or worst-case scenarios as results could be far worse due to the nature of equity markets.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260" w:firstLine="378"/>
        <w:spacing w:after="0" w:line="302" w:lineRule="auto"/>
        <w:rPr>
          <w:sz w:val="20"/>
          <w:szCs w:val="20"/>
          <w:color w:val="auto"/>
        </w:rPr>
      </w:pPr>
      <w:r>
        <w:rPr>
          <w:rFonts w:ascii="Arial" w:cs="Arial" w:eastAsia="Arial" w:hAnsi="Arial"/>
          <w:sz w:val="16"/>
          <w:szCs w:val="16"/>
          <w:color w:val="auto"/>
        </w:rPr>
        <w:t>CVR Refining, as a manufacturer of refined petroleum products, and CVR Partners, as a manufacturer of nitrogen fertilizer products, all of which are commodities, have exposure to market pricing for products sold in the future. In order to realize value from our Energy segment's processing capacity, a positive spread between the cost of raw materials and the value of finished products must be achieved (i.e., gross margin or crack spread). The physical commodities that comprise our raw materials and finished goods are typically bought and sold at a spot or index price that can be highly variable.</w:t>
      </w:r>
    </w:p>
    <w:p>
      <w:pPr>
        <w:spacing w:after="0" w:line="46"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Our Energy segment's petroleum business uses a crude oil purchasing intermediary, Vitol, to purchase the majority of its non-gathered crude oil inventory for the refineries, which allows it to take title to and price its crude oil at locations in close proximity to the refineries, as opposed to the crude oil origination point, reducing its risk associated with volatile commodity prices by shortening the commodity conversion cycle time. The commodity conversion cycle time refers to the time elapsed between raw material acquisition and the sale of finished goods. In addition, the petroleum business seeks to reduce the variability of commodity price exposure by engaging in hedging strategies and transactions that will serve to protect gross margins as forecasted in the annual operating plan. With regard to its hedging activities, CVR Refining may enter into, or has entered into, derivative instruments which serve to: lock in or fix a percentage of the anticipated or planned gross margin in future periods when the derivative market offers commodity spreads that generate positive cash flows; hedge the value of inventories in excess of minimum required inventories; and manage existing derivative positions related to a change in anticipated operations and market conditions.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predominant exposure to interest rate risk is related to our Automotive and Food Packaging segments.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76"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Our Automotive segment has variable rate debt with a principal amount outstanding of $370 million as of December 31, 2018. A 1.0% increase in interest rates would increase interest expense by approximately $4 million on an annualized basis, thus decreasing net income by the same amount. Additionally, as of December 31, 2018, our Automotive segment has additional borrowing availability subject to variable interest rates of $90 million, which if outstanding, would increase our Automotive segment's exposure to changes in interest rates.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00" w:firstLine="378"/>
        <w:spacing w:after="0" w:line="279" w:lineRule="auto"/>
        <w:rPr>
          <w:sz w:val="20"/>
          <w:szCs w:val="20"/>
          <w:color w:val="auto"/>
        </w:rPr>
      </w:pPr>
      <w:r>
        <w:rPr>
          <w:rFonts w:ascii="Arial" w:cs="Arial" w:eastAsia="Arial" w:hAnsi="Arial"/>
          <w:sz w:val="17"/>
          <w:szCs w:val="17"/>
          <w:color w:val="auto"/>
        </w:rPr>
        <w:t>Our Food Packaging segment has variable rate debt with a principal amount outstanding of $264 million as of December 31, 2018. A 1.0% increase in interest rates would increase interest expense by approximately $3 million on an annualized basis, thus decreasing net income by the same amount. Additionally, as of December 31, 2018, our Food Packaging segment has additional borrowing availability subject to variable interest rates of $7 million, which if outstanding, would increase our Food Packaging segment's exposure to changes in interest rates.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jc w:val="both"/>
        <w:ind w:right="420" w:firstLine="378"/>
        <w:spacing w:after="0" w:line="264" w:lineRule="auto"/>
        <w:rPr>
          <w:sz w:val="20"/>
          <w:szCs w:val="20"/>
          <w:color w:val="auto"/>
        </w:rPr>
      </w:pPr>
      <w:r>
        <w:rPr>
          <w:rFonts w:ascii="Arial" w:cs="Arial" w:eastAsia="Arial" w:hAnsi="Arial"/>
          <w:sz w:val="18"/>
          <w:szCs w:val="18"/>
          <w:color w:val="auto"/>
        </w:rPr>
        <w:t>Certain of our subsidiaries, operate in foreign jurisdictions and we transact business in foreign currencies. In addition, we may hold investments in common stocks of major multinational companies who have significant foreign business and foreign currency risk of their own. Our net assets subject to financial statement translation into U.S. Dollars are primarily in our Food Packaging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Viskase has foreign currency exposures related to buying, selling, and financing in currencies other than the local currencies in which they operate. At December 31, 2018, Viskase's most significant foreign currency exposures were Euro, Mexican peso, Polish zloty, Brazilian real and Philippine peso.</w:t>
      </w:r>
    </w:p>
    <w:p>
      <w:pPr>
        <w:spacing w:after="0" w:line="16"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Viskase is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Viskase's financial condition.</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Viskase recorded translation (losses) gains in accumulated other comprehensive loss of $(5) million and $6 million for the years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2018 and 2017, respectively, and recorded translation (losses) gains in earnings of $(5) million and $2 million for the years ended December 31, 2018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and the Investment Funds are subject to certain inherent risks through our investments.</w:t>
      </w:r>
    </w:p>
    <w:p>
      <w:pPr>
        <w:spacing w:after="0" w:line="117"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spacing w:after="0" w:line="79" w:lineRule="exact"/>
        <w:rPr>
          <w:sz w:val="20"/>
          <w:szCs w:val="20"/>
          <w:color w:val="auto"/>
        </w:rPr>
      </w:pPr>
    </w:p>
    <w:p>
      <w:pPr>
        <w:ind w:right="160" w:firstLine="378"/>
        <w:spacing w:after="0" w:line="302" w:lineRule="auto"/>
        <w:rPr>
          <w:sz w:val="20"/>
          <w:szCs w:val="20"/>
          <w:color w:val="auto"/>
        </w:rPr>
      </w:pPr>
      <w:r>
        <w:rPr>
          <w:rFonts w:ascii="Arial" w:cs="Arial" w:eastAsia="Arial" w:hAnsi="Arial"/>
          <w:sz w:val="16"/>
          <w:szCs w:val="16"/>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we monitor the credit quality of such counterparty and seek to do business with creditworthy counterparties. Counterparty risk is monitored by obtaining and reviewing public information filed by the counterparties and others.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Program Price Risk</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As a producer of transportation fuels from petroleum, CVR Refining is required to blend biofuels into the product it produces or to purchase RINs in the open market in lieu of blending to meet the mandates established by the EPA. CVR Refining is exposed to market risk related to volatility in the price of RINs needed to comply with the Renewable Fuel Standards. To mitigate the impact of this risk on our Energy segment's results of operations and cash flows, CVR Refining purchased RINs when prices are deemed favorable. See Note 17, "Commitments and Contingencies," to the consolidated financial statements for further discussion about compliance with the Renewable Fuel Standards.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L.P.</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Opinion on the financial statements</w:t>
      </w:r>
    </w:p>
    <w:p>
      <w:pPr>
        <w:spacing w:after="0" w:line="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accompanying consolidated balance sheets of Icahn Enterprises L.P. (a Delaware limited partnership) and subsidiaries (the “Partnership”) as of December 31, 2018 and 2017, the related consolidated statements of operations, comprehensive income, changes in equity, and cash flows for each of the three years in the period ended December 31, 2018, and the related notes and financial statement schedule included under Item 15(a) (collectively referred to as the “financial statements”). In our opinion, the financial statements present fairly, in all material respects, the financial position of the Partnership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Partnership’s internal control over financial reporting as of December 31, 2018,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March 1, 2019 expressed an unqualified opinion.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Basis for opinion</w:t>
      </w:r>
    </w:p>
    <w:p>
      <w:pPr>
        <w:spacing w:after="0" w:line="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2004.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52" w:name="page53"/>
    <w:bookmarkEnd w:id="52"/>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Holdings L.P.</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Opinion on the financial statements</w:t>
      </w:r>
    </w:p>
    <w:p>
      <w:pPr>
        <w:spacing w:after="0" w:line="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audited the accompanying consolidated balance sheets of Icahn Enterprises Holdings L.P. (a Delaware limited partnership) and subsidiaries (the “Partnership”) as of December 31, 2018 and 2017, the related consolidated statements of operations, comprehensive income, changes in equity, and cash flows for each of the three years in the period ended December 31, 2018, and the related notes and financial statement schedule included under Item 15(a) (collectively referred to as the “financial statements”). In our opinion, the financial statements present fairly, in all material respects, the financial position of the Partnership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Basis for opinion</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2004.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860" w:type="dxa"/>
            <w:vAlign w:val="bottom"/>
            <w:vMerge w:val="restart"/>
          </w:tcPr>
          <w:p>
            <w:pPr>
              <w:ind w:left="3600"/>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10,263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23,396</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31,801</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8"/>
                <w:szCs w:val="18"/>
                <w:b w:val="1"/>
                <w:bCs w:val="1"/>
                <w:color w:val="auto"/>
              </w:rPr>
              <w:t>LIABILITIES AND EQUITY</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to brokers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10,491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20,433</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Commitments and contingencies (Note 17)</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Limited partners: Depositary units: 191,366,097 and 173,564,307 units issued and outstanding at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December 31, 2018 and 2017, respectively</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5,106</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12,905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23,396</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31,801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580"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380"/>
          </w:cols>
          <w:pgMar w:left="260" w:top="580" w:right="25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6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0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10,576</w:t>
            </w:r>
          </w:p>
        </w:tc>
        <w:tc>
          <w:tcPr>
            <w:tcW w:w="5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Other revenues from operations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 (loss) from investment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disposition of assets, net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Other (loss) income,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Expenses: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Other expenses from operations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9,752</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income tax benefit</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Income (loss) from continuing operations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97"/>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Icahn Enterprises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311"/>
        </w:trPr>
        <w:tc>
          <w:tcPr>
            <w:tcW w:w="60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Net (loss) income attributable to Icahn Enterprises from:</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5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attributable to Icahn Enterprises allocated to:</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Limited partners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5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General partner</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5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income (loss) per LP unit:</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5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5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and diluted weighted average LP units outstanding</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5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distributions declared per LP unit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364"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80"/>
          </w:cols>
          <w:pgMar w:left="260" w:top="364" w:right="25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6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5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Post-retirement benefits</w:t>
            </w: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6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7"/>
        </w:trPr>
        <w:tc>
          <w:tcPr>
            <w:tcW w:w="6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Icahn Enterprises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5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Icahn Enterprises allocated to:</w:t>
            </w: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Limited partners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2,003</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partner</w:t>
            </w: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604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w:t>
            </w: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60" w:top="364" w:right="259" w:bottom="1440" w:gutter="0" w:footer="0" w:header="0"/>
        </w:sectPr>
      </w:pPr>
    </w:p>
    <w:bookmarkStart w:id="56" w:name="page57"/>
    <w:bookmarkEnd w:id="56"/>
    <w:p>
      <w:pPr>
        <w:ind w:left="37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General Partner's</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Limited</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Total Partners'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Non-controlling</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(Deficit) Equity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Partners' Equity</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Equity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20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Equity</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10,033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(2,220)</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contribution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505</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Dividends and distributions to non-controlling</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200"/>
              <w:spacing w:after="0"/>
              <w:rPr>
                <w:sz w:val="20"/>
                <w:szCs w:val="20"/>
                <w:color w:val="auto"/>
              </w:rPr>
            </w:pPr>
            <w:r>
              <w:rPr>
                <w:rFonts w:ascii="Arial" w:cs="Arial" w:eastAsia="Arial" w:hAnsi="Arial"/>
                <w:sz w:val="16"/>
                <w:szCs w:val="16"/>
                <w:color w:val="auto"/>
              </w:rPr>
              <w:t>interests in subsidiaries</w:t>
            </w: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LP unit issuance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8,017</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2,382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2,591</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and distributions to non-controlling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interests in 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Cumulative effect adjustment from adoption of</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accounting principal</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5,341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5,106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6,262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11,368</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310</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and distributions to non-controlling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interests in 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Cumulative effect adjustment from adoption of</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200"/>
              <w:spacing w:after="0"/>
              <w:rPr>
                <w:sz w:val="20"/>
                <w:szCs w:val="20"/>
                <w:color w:val="auto"/>
              </w:rPr>
            </w:pPr>
            <w:r>
              <w:rPr>
                <w:rFonts w:ascii="Arial" w:cs="Arial" w:eastAsia="Arial" w:hAnsi="Arial"/>
                <w:sz w:val="16"/>
                <w:szCs w:val="16"/>
                <w:color w:val="auto"/>
              </w:rPr>
              <w:t>accounting principal</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7,319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6,529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6,376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12,905</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64"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1"/>
                <w:szCs w:val="21"/>
                <w:color w:val="auto"/>
              </w:rPr>
            </w:pPr>
          </w:p>
        </w:tc>
        <w:tc>
          <w:tcPr>
            <w:tcW w:w="1140" w:type="dxa"/>
            <w:vAlign w:val="bottom"/>
          </w:tcPr>
          <w:p>
            <w:pPr>
              <w:jc w:val="right"/>
              <w:ind w:right="102"/>
              <w:spacing w:after="0"/>
              <w:rPr>
                <w:sz w:val="20"/>
                <w:szCs w:val="20"/>
                <w:color w:val="auto"/>
              </w:rPr>
            </w:pPr>
            <w:r>
              <w:rPr>
                <w:rFonts w:ascii="Arial" w:cs="Arial" w:eastAsia="Arial" w:hAnsi="Arial"/>
                <w:sz w:val="12"/>
                <w:szCs w:val="12"/>
                <w:b w:val="1"/>
                <w:bCs w:val="1"/>
                <w:color w:val="auto"/>
              </w:rPr>
              <w:t>2018</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682"/>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662"/>
              <w:spacing w:after="0"/>
              <w:rPr>
                <w:sz w:val="20"/>
                <w:szCs w:val="20"/>
                <w:color w:val="auto"/>
              </w:rPr>
            </w:pPr>
            <w:r>
              <w:rPr>
                <w:rFonts w:ascii="Arial" w:cs="Arial" w:eastAsia="Arial" w:hAnsi="Arial"/>
                <w:sz w:val="12"/>
                <w:szCs w:val="12"/>
                <w:b w:val="1"/>
                <w:bCs w:val="1"/>
                <w:color w:val="auto"/>
              </w:rPr>
              <w:t>2016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Cash flows from operating activities:</w:t>
            </w: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vMerge w:val="continue"/>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Net income (loss)</w:t>
            </w:r>
          </w:p>
        </w:tc>
        <w:tc>
          <w:tcPr>
            <w:tcW w:w="114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2,591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(2,220)</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Adjustments to reconcile net income (loss) to net cash provided by (used in) operating activities:</w:t>
            </w: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Income from discontinued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250"/>
        </w:trPr>
        <w:tc>
          <w:tcPr>
            <w:tcW w:w="6060" w:type="dxa"/>
            <w:vAlign w:val="bottom"/>
          </w:tcPr>
          <w:p>
            <w:pPr>
              <w:ind w:left="120"/>
              <w:spacing w:after="0"/>
              <w:rPr>
                <w:sz w:val="20"/>
                <w:szCs w:val="20"/>
                <w:color w:val="auto"/>
              </w:rPr>
            </w:pPr>
            <w:r>
              <w:rPr>
                <w:rFonts w:ascii="Arial" w:cs="Arial" w:eastAsia="Arial" w:hAnsi="Arial"/>
                <w:sz w:val="12"/>
                <w:szCs w:val="12"/>
                <w:color w:val="auto"/>
              </w:rPr>
              <w:t>Net loss (gain) from securities transactions</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476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(2,273)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(266)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Purchases of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(2,059)</w:t>
            </w:r>
          </w:p>
        </w:tc>
        <w:tc>
          <w:tcPr>
            <w:tcW w:w="0" w:type="dxa"/>
            <w:vAlign w:val="bottom"/>
          </w:tcPr>
          <w:p>
            <w:pPr>
              <w:spacing w:after="0"/>
              <w:rPr>
                <w:sz w:val="1"/>
                <w:szCs w:val="1"/>
                <w:color w:val="auto"/>
              </w:rPr>
            </w:pPr>
          </w:p>
        </w:tc>
      </w:tr>
      <w:tr>
        <w:trPr>
          <w:trHeight w:val="250"/>
        </w:trPr>
        <w:tc>
          <w:tcPr>
            <w:tcW w:w="6060" w:type="dxa"/>
            <w:vAlign w:val="bottom"/>
          </w:tcPr>
          <w:p>
            <w:pPr>
              <w:ind w:left="120"/>
              <w:spacing w:after="0"/>
              <w:rPr>
                <w:sz w:val="20"/>
                <w:szCs w:val="20"/>
                <w:color w:val="auto"/>
              </w:rPr>
            </w:pPr>
            <w:r>
              <w:rPr>
                <w:rFonts w:ascii="Arial" w:cs="Arial" w:eastAsia="Arial" w:hAnsi="Arial"/>
                <w:sz w:val="12"/>
                <w:szCs w:val="12"/>
                <w:color w:val="auto"/>
              </w:rPr>
              <w:t>Proceeds from sales of securities</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6,763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2,413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7,630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Purchases to cover securities sold, not yet purchased</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(361)</w:t>
            </w:r>
          </w:p>
        </w:tc>
        <w:tc>
          <w:tcPr>
            <w:tcW w:w="0" w:type="dxa"/>
            <w:vAlign w:val="bottom"/>
          </w:tcPr>
          <w:p>
            <w:pPr>
              <w:spacing w:after="0"/>
              <w:rPr>
                <w:sz w:val="1"/>
                <w:szCs w:val="1"/>
                <w:color w:val="auto"/>
              </w:rPr>
            </w:pPr>
          </w:p>
        </w:tc>
      </w:tr>
      <w:tr>
        <w:trPr>
          <w:trHeight w:val="250"/>
        </w:trPr>
        <w:tc>
          <w:tcPr>
            <w:tcW w:w="6060" w:type="dxa"/>
            <w:vAlign w:val="bottom"/>
          </w:tcPr>
          <w:p>
            <w:pPr>
              <w:ind w:left="120"/>
              <w:spacing w:after="0"/>
              <w:rPr>
                <w:sz w:val="20"/>
                <w:szCs w:val="20"/>
                <w:color w:val="auto"/>
              </w:rPr>
            </w:pPr>
            <w:r>
              <w:rPr>
                <w:rFonts w:ascii="Arial" w:cs="Arial" w:eastAsia="Arial" w:hAnsi="Arial"/>
                <w:sz w:val="12"/>
                <w:szCs w:val="12"/>
                <w:color w:val="auto"/>
              </w:rPr>
              <w:t>Proceeds from securities sold, not yet purchased</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1,077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1,222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616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Changes in receivables and payables relating to securities transactions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(4,828)</w:t>
            </w:r>
          </w:p>
        </w:tc>
        <w:tc>
          <w:tcPr>
            <w:tcW w:w="0" w:type="dxa"/>
            <w:vAlign w:val="bottom"/>
          </w:tcPr>
          <w:p>
            <w:pPr>
              <w:spacing w:after="0"/>
              <w:rPr>
                <w:sz w:val="1"/>
                <w:szCs w:val="1"/>
                <w:color w:val="auto"/>
              </w:rPr>
            </w:pPr>
          </w:p>
        </w:tc>
      </w:tr>
      <w:tr>
        <w:trPr>
          <w:trHeight w:val="250"/>
        </w:trPr>
        <w:tc>
          <w:tcPr>
            <w:tcW w:w="6060" w:type="dxa"/>
            <w:vAlign w:val="bottom"/>
          </w:tcPr>
          <w:p>
            <w:pPr>
              <w:ind w:left="120"/>
              <w:spacing w:after="0"/>
              <w:rPr>
                <w:sz w:val="20"/>
                <w:szCs w:val="20"/>
                <w:color w:val="auto"/>
              </w:rPr>
            </w:pPr>
            <w:r>
              <w:rPr>
                <w:rFonts w:ascii="Arial" w:cs="Arial" w:eastAsia="Arial" w:hAnsi="Arial"/>
                <w:sz w:val="12"/>
                <w:szCs w:val="12"/>
                <w:color w:val="auto"/>
              </w:rPr>
              <w:t>Gain on disposition of assets, net</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(2,163)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526</w:t>
            </w:r>
          </w:p>
        </w:tc>
        <w:tc>
          <w:tcPr>
            <w:tcW w:w="0" w:type="dxa"/>
            <w:vAlign w:val="bottom"/>
          </w:tcPr>
          <w:p>
            <w:pPr>
              <w:spacing w:after="0"/>
              <w:rPr>
                <w:sz w:val="1"/>
                <w:szCs w:val="1"/>
                <w:color w:val="auto"/>
              </w:rPr>
            </w:pPr>
          </w:p>
        </w:tc>
      </w:tr>
      <w:tr>
        <w:trPr>
          <w:trHeight w:val="250"/>
        </w:trPr>
        <w:tc>
          <w:tcPr>
            <w:tcW w:w="6060" w:type="dxa"/>
            <w:vAlign w:val="bottom"/>
          </w:tcPr>
          <w:p>
            <w:pPr>
              <w:ind w:left="120"/>
              <w:spacing w:after="0"/>
              <w:rPr>
                <w:sz w:val="20"/>
                <w:szCs w:val="20"/>
                <w:color w:val="auto"/>
              </w:rPr>
            </w:pPr>
            <w:r>
              <w:rPr>
                <w:rFonts w:ascii="Arial" w:cs="Arial" w:eastAsia="Arial" w:hAnsi="Arial"/>
                <w:sz w:val="12"/>
                <w:szCs w:val="12"/>
                <w:color w:val="auto"/>
              </w:rPr>
              <w:t>Impairment</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586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Deferred taxes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250"/>
        </w:trPr>
        <w:tc>
          <w:tcPr>
            <w:tcW w:w="6060" w:type="dxa"/>
            <w:vAlign w:val="bottom"/>
          </w:tcPr>
          <w:p>
            <w:pPr>
              <w:ind w:left="120"/>
              <w:spacing w:after="0"/>
              <w:rPr>
                <w:sz w:val="20"/>
                <w:szCs w:val="20"/>
                <w:color w:val="auto"/>
              </w:rPr>
            </w:pPr>
            <w:r>
              <w:rPr>
                <w:rFonts w:ascii="Arial" w:cs="Arial" w:eastAsia="Arial" w:hAnsi="Arial"/>
                <w:sz w:val="12"/>
                <w:szCs w:val="12"/>
                <w:color w:val="auto"/>
              </w:rPr>
              <w:t>Other, net</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200"/>
              <w:spacing w:after="0"/>
              <w:rPr>
                <w:sz w:val="20"/>
                <w:szCs w:val="20"/>
                <w:color w:val="auto"/>
              </w:rPr>
            </w:pPr>
            <w:r>
              <w:rPr>
                <w:rFonts w:ascii="Arial" w:cs="Arial" w:eastAsia="Arial" w:hAnsi="Arial"/>
                <w:sz w:val="12"/>
                <w:szCs w:val="12"/>
                <w:color w:val="auto"/>
              </w:rPr>
              <w:t>Accounts receivable, net</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Inventories, net</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250"/>
        </w:trPr>
        <w:tc>
          <w:tcPr>
            <w:tcW w:w="6060" w:type="dxa"/>
            <w:vAlign w:val="bottom"/>
          </w:tcPr>
          <w:p>
            <w:pPr>
              <w:ind w:left="200"/>
              <w:spacing w:after="0"/>
              <w:rPr>
                <w:sz w:val="20"/>
                <w:szCs w:val="20"/>
                <w:color w:val="auto"/>
              </w:rPr>
            </w:pPr>
            <w:r>
              <w:rPr>
                <w:rFonts w:ascii="Arial" w:cs="Arial" w:eastAsia="Arial" w:hAnsi="Arial"/>
                <w:sz w:val="12"/>
                <w:szCs w:val="12"/>
                <w:color w:val="auto"/>
              </w:rPr>
              <w:t>Other assets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(208)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Accounts payable</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50"/>
        </w:trPr>
        <w:tc>
          <w:tcPr>
            <w:tcW w:w="6060" w:type="dxa"/>
            <w:vAlign w:val="bottom"/>
          </w:tcPr>
          <w:p>
            <w:pPr>
              <w:ind w:left="200"/>
              <w:spacing w:after="0"/>
              <w:rPr>
                <w:sz w:val="20"/>
                <w:szCs w:val="20"/>
                <w:color w:val="auto"/>
              </w:rPr>
            </w:pPr>
            <w:r>
              <w:rPr>
                <w:rFonts w:ascii="Arial" w:cs="Arial" w:eastAsia="Arial" w:hAnsi="Arial"/>
                <w:sz w:val="12"/>
                <w:szCs w:val="12"/>
                <w:color w:val="auto"/>
              </w:rPr>
              <w:t>Unrealized loss on derivative contracts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(1,239)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136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1,106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Accrued expenses and other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(403)</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2"/>
                <w:szCs w:val="12"/>
                <w:color w:val="auto"/>
              </w:rPr>
              <w:t>Net cash provided by (used in) operating activities from continuing operations</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436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(2,122)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379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Net cash provided by operating activities from discontinued operations</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694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839</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915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(1,428)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1,218</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Capital expenditures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(272)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(316)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Acquisition of businesses, net of cash acquired</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(1,009)</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Purchase of additional interests in consolidated subsidiaries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(349)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Proceeds from disposition of businesses and assets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Other, net</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Net cash provided by (used in) investing activities from continuing operations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993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(1,252)</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Net cash used in investing activities from discontinued operations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(437)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(580)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(593)</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2,590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(1,845)</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2"/>
                <w:szCs w:val="12"/>
                <w:b w:val="1"/>
                <w:bCs w:val="1"/>
                <w:color w:val="auto"/>
              </w:rPr>
              <w:t>Cash flows from financing activities:</w:t>
            </w:r>
          </w:p>
        </w:tc>
        <w:tc>
          <w:tcPr>
            <w:tcW w:w="1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Investment segment contributions from non-controlling interests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505</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Investment segment distributions from non-controlling interests</w:t>
            </w:r>
          </w:p>
        </w:tc>
        <w:tc>
          <w:tcPr>
            <w:tcW w:w="1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Partnership contributions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Partnership distributions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Proceeds from subsidiary equity offerings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Dividends and distributions to non-controlling interests in subsidiaries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Proceeds from Holding Company senior unsecured notes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Repayments of Holding Company senior unsecured notes</w:t>
            </w:r>
          </w:p>
        </w:tc>
        <w:tc>
          <w:tcPr>
            <w:tcW w:w="1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(2,450)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Proceeds from subsidiary borrowings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1,908</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Repayments of subsidiary borrowings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(1,346)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(1,430)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(1,923)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net</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2"/>
                <w:szCs w:val="12"/>
                <w:color w:val="auto"/>
              </w:rPr>
              <w:t>Net cash provided by financing activities from continuing operations</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979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290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Net cash used in financing activities from discontinued operations</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2"/>
                <w:szCs w:val="12"/>
                <w:b w:val="1"/>
                <w:bCs w:val="1"/>
                <w:color w:val="auto"/>
              </w:rPr>
              <w:t>Net cash (used in) provided by financing activities</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718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w w:val="98"/>
              </w:rPr>
              <w:t>Effect of exchange rate changes on cash and cash equivalents and restricted cash and restricted cash equivalents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Add back change in cash and restricted cash of assets held for sale</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321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w w:val="99"/>
              </w:rPr>
              <w:t>Net increase (decrease) in cash and cash equivalents and restricted cash and restricted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(734)</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Cash and cash equivalents and restricted cash and restricted cash equivalents, beginning of period</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1,911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1,884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2,618</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Cash and cash equivalents and restricted cash and restricted cash equivalents, end of period</w:t>
            </w:r>
          </w:p>
        </w:tc>
        <w:tc>
          <w:tcPr>
            <w:tcW w:w="114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5,338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1,911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1,884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0" w:gutter="0" w:footer="0" w:header="0"/>
        </w:sectPr>
      </w:pPr>
    </w:p>
    <w:bookmarkStart w:id="58" w:name="page59"/>
    <w:bookmarkEnd w:id="58"/>
    <w:p>
      <w:pPr>
        <w:jc w:val="center"/>
        <w:ind w:right="-20"/>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9019"/>
          </w:cols>
          <w:pgMar w:left="1440" w:top="125"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9019"/>
          </w:cols>
          <w:pgMar w:left="1440" w:top="125" w:right="1440"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23,428</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31,833</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0"/>
              <w:spacing w:after="0"/>
              <w:rPr>
                <w:sz w:val="20"/>
                <w:szCs w:val="20"/>
                <w:color w:val="auto"/>
              </w:rPr>
            </w:pPr>
            <w:r>
              <w:rPr>
                <w:rFonts w:ascii="Arial" w:cs="Arial" w:eastAsia="Arial" w:hAnsi="Arial"/>
                <w:sz w:val="18"/>
                <w:szCs w:val="18"/>
                <w:b w:val="1"/>
                <w:bCs w:val="1"/>
                <w:color w:val="auto"/>
              </w:rPr>
              <w:t>LIABILITIES AND EQUITY</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derivative contracts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Liabilities held for sale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10,495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20,438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17)</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12,933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23,428</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31,833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80"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10,576</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revenues from operations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(loss) from investment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disposition of assets, net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(loss) income,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expenses from operations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income tax benefit</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Icahn Enterprises Holdings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 attributable to Icahn Enterprises Holdings from:</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attributable to Icahn Enterprises Holdings allocated to:</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Limited partner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General partner</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6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Post-retirement benefits</w:t>
            </w: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1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1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Icahn Enterprises Holdings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5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(loss) attributable to Icahn Enterprises Holdings allocated</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1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Limited partner</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2,025</w:t>
            </w:r>
          </w:p>
        </w:tc>
        <w:tc>
          <w:tcPr>
            <w:tcW w:w="56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(1,222)</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1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6060" w:type="dxa"/>
            <w:vAlign w:val="bottom"/>
          </w:tcPr>
          <w:p>
            <w:pPr>
              <w:spacing w:after="0"/>
              <w:rPr>
                <w:sz w:val="20"/>
                <w:szCs w:val="20"/>
                <w:color w:val="auto"/>
              </w:rPr>
            </w:pP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w:t>
            </w: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4" w:right="239" w:bottom="1440" w:gutter="0" w:footer="0" w:header="0"/>
        </w:sectPr>
      </w:pPr>
    </w:p>
    <w:bookmarkStart w:id="62" w:name="page63"/>
    <w:bookmarkEnd w:id="62"/>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General Partner's</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Limited</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Total Partners'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Non-controlling</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Equity (Deficit)</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Partner's Equity</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Equity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20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Equity</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10,057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(2,219)</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contribution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505</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Dividends and distributions to non-controlling</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200"/>
              <w:spacing w:after="0"/>
              <w:rPr>
                <w:sz w:val="20"/>
                <w:szCs w:val="20"/>
                <w:color w:val="auto"/>
              </w:rPr>
            </w:pPr>
            <w:r>
              <w:rPr>
                <w:rFonts w:ascii="Arial" w:cs="Arial" w:eastAsia="Arial" w:hAnsi="Arial"/>
                <w:sz w:val="16"/>
                <w:szCs w:val="16"/>
                <w:color w:val="auto"/>
              </w:rPr>
              <w:t>interests in subsidiaries</w:t>
            </w: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LP unit issuance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8,042</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and distributions to non-controlling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interests in 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Cumulative effect adjustment from adoption of</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200"/>
              <w:spacing w:after="0"/>
              <w:rPr>
                <w:sz w:val="20"/>
                <w:szCs w:val="20"/>
                <w:color w:val="auto"/>
              </w:rPr>
            </w:pPr>
            <w:r>
              <w:rPr>
                <w:rFonts w:ascii="Arial" w:cs="Arial" w:eastAsia="Arial" w:hAnsi="Arial"/>
                <w:sz w:val="16"/>
                <w:szCs w:val="16"/>
                <w:color w:val="auto"/>
              </w:rPr>
              <w:t>accounting principal</w:t>
            </w: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5,133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6,262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11,395</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310</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and distributions to non-controlling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interests in 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Cumulative effect adjustment from adoption of</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200"/>
              <w:spacing w:after="0"/>
              <w:rPr>
                <w:sz w:val="20"/>
                <w:szCs w:val="20"/>
                <w:color w:val="auto"/>
              </w:rPr>
            </w:pPr>
            <w:r>
              <w:rPr>
                <w:rFonts w:ascii="Arial" w:cs="Arial" w:eastAsia="Arial" w:hAnsi="Arial"/>
                <w:sz w:val="16"/>
                <w:szCs w:val="16"/>
                <w:color w:val="auto"/>
              </w:rPr>
              <w:t>accounting principal</w:t>
            </w: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7,421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6,557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6,376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12,933</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364"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1"/>
                <w:szCs w:val="21"/>
                <w:color w:val="auto"/>
              </w:rPr>
            </w:pPr>
          </w:p>
        </w:tc>
        <w:tc>
          <w:tcPr>
            <w:tcW w:w="1140" w:type="dxa"/>
            <w:vAlign w:val="bottom"/>
          </w:tcPr>
          <w:p>
            <w:pPr>
              <w:jc w:val="right"/>
              <w:ind w:right="102"/>
              <w:spacing w:after="0"/>
              <w:rPr>
                <w:sz w:val="20"/>
                <w:szCs w:val="20"/>
                <w:color w:val="auto"/>
              </w:rPr>
            </w:pPr>
            <w:r>
              <w:rPr>
                <w:rFonts w:ascii="Arial" w:cs="Arial" w:eastAsia="Arial" w:hAnsi="Arial"/>
                <w:sz w:val="12"/>
                <w:szCs w:val="12"/>
                <w:b w:val="1"/>
                <w:bCs w:val="1"/>
                <w:color w:val="auto"/>
              </w:rPr>
              <w:t>2018</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682"/>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662"/>
              <w:spacing w:after="0"/>
              <w:rPr>
                <w:sz w:val="20"/>
                <w:szCs w:val="20"/>
                <w:color w:val="auto"/>
              </w:rPr>
            </w:pPr>
            <w:r>
              <w:rPr>
                <w:rFonts w:ascii="Arial" w:cs="Arial" w:eastAsia="Arial" w:hAnsi="Arial"/>
                <w:sz w:val="12"/>
                <w:szCs w:val="12"/>
                <w:b w:val="1"/>
                <w:bCs w:val="1"/>
                <w:color w:val="auto"/>
              </w:rPr>
              <w:t>2016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Cash flows from operating activities:</w:t>
            </w: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vMerge w:val="continue"/>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Net income (loss)</w:t>
            </w:r>
          </w:p>
        </w:tc>
        <w:tc>
          <w:tcPr>
            <w:tcW w:w="114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2,593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(2,219)</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Adjustments to reconcile net income (loss) to net cash provided by (used in) operating activities:</w:t>
            </w: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Income from discontinued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250"/>
        </w:trPr>
        <w:tc>
          <w:tcPr>
            <w:tcW w:w="6060" w:type="dxa"/>
            <w:vAlign w:val="bottom"/>
          </w:tcPr>
          <w:p>
            <w:pPr>
              <w:ind w:left="120"/>
              <w:spacing w:after="0"/>
              <w:rPr>
                <w:sz w:val="20"/>
                <w:szCs w:val="20"/>
                <w:color w:val="auto"/>
              </w:rPr>
            </w:pPr>
            <w:r>
              <w:rPr>
                <w:rFonts w:ascii="Arial" w:cs="Arial" w:eastAsia="Arial" w:hAnsi="Arial"/>
                <w:sz w:val="12"/>
                <w:szCs w:val="12"/>
                <w:color w:val="auto"/>
              </w:rPr>
              <w:t>Net loss (gain) from securities transactions</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476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(2,273)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(266)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Purchases of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(2,059)</w:t>
            </w:r>
          </w:p>
        </w:tc>
        <w:tc>
          <w:tcPr>
            <w:tcW w:w="0" w:type="dxa"/>
            <w:vAlign w:val="bottom"/>
          </w:tcPr>
          <w:p>
            <w:pPr>
              <w:spacing w:after="0"/>
              <w:rPr>
                <w:sz w:val="1"/>
                <w:szCs w:val="1"/>
                <w:color w:val="auto"/>
              </w:rPr>
            </w:pPr>
          </w:p>
        </w:tc>
      </w:tr>
      <w:tr>
        <w:trPr>
          <w:trHeight w:val="250"/>
        </w:trPr>
        <w:tc>
          <w:tcPr>
            <w:tcW w:w="6060" w:type="dxa"/>
            <w:vAlign w:val="bottom"/>
          </w:tcPr>
          <w:p>
            <w:pPr>
              <w:ind w:left="120"/>
              <w:spacing w:after="0"/>
              <w:rPr>
                <w:sz w:val="20"/>
                <w:szCs w:val="20"/>
                <w:color w:val="auto"/>
              </w:rPr>
            </w:pPr>
            <w:r>
              <w:rPr>
                <w:rFonts w:ascii="Arial" w:cs="Arial" w:eastAsia="Arial" w:hAnsi="Arial"/>
                <w:sz w:val="12"/>
                <w:szCs w:val="12"/>
                <w:color w:val="auto"/>
              </w:rPr>
              <w:t>Proceeds from sales of securities</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6,763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2,413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7,630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Purchases to cover securities sold, not yet purchased</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(361)</w:t>
            </w:r>
          </w:p>
        </w:tc>
        <w:tc>
          <w:tcPr>
            <w:tcW w:w="0" w:type="dxa"/>
            <w:vAlign w:val="bottom"/>
          </w:tcPr>
          <w:p>
            <w:pPr>
              <w:spacing w:after="0"/>
              <w:rPr>
                <w:sz w:val="1"/>
                <w:szCs w:val="1"/>
                <w:color w:val="auto"/>
              </w:rPr>
            </w:pPr>
          </w:p>
        </w:tc>
      </w:tr>
      <w:tr>
        <w:trPr>
          <w:trHeight w:val="250"/>
        </w:trPr>
        <w:tc>
          <w:tcPr>
            <w:tcW w:w="6060" w:type="dxa"/>
            <w:vAlign w:val="bottom"/>
          </w:tcPr>
          <w:p>
            <w:pPr>
              <w:ind w:left="120"/>
              <w:spacing w:after="0"/>
              <w:rPr>
                <w:sz w:val="20"/>
                <w:szCs w:val="20"/>
                <w:color w:val="auto"/>
              </w:rPr>
            </w:pPr>
            <w:r>
              <w:rPr>
                <w:rFonts w:ascii="Arial" w:cs="Arial" w:eastAsia="Arial" w:hAnsi="Arial"/>
                <w:sz w:val="12"/>
                <w:szCs w:val="12"/>
                <w:color w:val="auto"/>
              </w:rPr>
              <w:t>Proceeds from securities sold, not yet purchased</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1,077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1,222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616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Changes in receivables and payables relating to securities transactions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(4,828)</w:t>
            </w:r>
          </w:p>
        </w:tc>
        <w:tc>
          <w:tcPr>
            <w:tcW w:w="0" w:type="dxa"/>
            <w:vAlign w:val="bottom"/>
          </w:tcPr>
          <w:p>
            <w:pPr>
              <w:spacing w:after="0"/>
              <w:rPr>
                <w:sz w:val="1"/>
                <w:szCs w:val="1"/>
                <w:color w:val="auto"/>
              </w:rPr>
            </w:pPr>
          </w:p>
        </w:tc>
      </w:tr>
      <w:tr>
        <w:trPr>
          <w:trHeight w:val="250"/>
        </w:trPr>
        <w:tc>
          <w:tcPr>
            <w:tcW w:w="6060" w:type="dxa"/>
            <w:vAlign w:val="bottom"/>
          </w:tcPr>
          <w:p>
            <w:pPr>
              <w:ind w:left="120"/>
              <w:spacing w:after="0"/>
              <w:rPr>
                <w:sz w:val="20"/>
                <w:szCs w:val="20"/>
                <w:color w:val="auto"/>
              </w:rPr>
            </w:pPr>
            <w:r>
              <w:rPr>
                <w:rFonts w:ascii="Arial" w:cs="Arial" w:eastAsia="Arial" w:hAnsi="Arial"/>
                <w:sz w:val="12"/>
                <w:szCs w:val="12"/>
                <w:color w:val="auto"/>
              </w:rPr>
              <w:t>Gain on disposition of assets, net</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(2,163)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526</w:t>
            </w:r>
          </w:p>
        </w:tc>
        <w:tc>
          <w:tcPr>
            <w:tcW w:w="0" w:type="dxa"/>
            <w:vAlign w:val="bottom"/>
          </w:tcPr>
          <w:p>
            <w:pPr>
              <w:spacing w:after="0"/>
              <w:rPr>
                <w:sz w:val="1"/>
                <w:szCs w:val="1"/>
                <w:color w:val="auto"/>
              </w:rPr>
            </w:pPr>
          </w:p>
        </w:tc>
      </w:tr>
      <w:tr>
        <w:trPr>
          <w:trHeight w:val="250"/>
        </w:trPr>
        <w:tc>
          <w:tcPr>
            <w:tcW w:w="6060" w:type="dxa"/>
            <w:vAlign w:val="bottom"/>
          </w:tcPr>
          <w:p>
            <w:pPr>
              <w:ind w:left="120"/>
              <w:spacing w:after="0"/>
              <w:rPr>
                <w:sz w:val="20"/>
                <w:szCs w:val="20"/>
                <w:color w:val="auto"/>
              </w:rPr>
            </w:pPr>
            <w:r>
              <w:rPr>
                <w:rFonts w:ascii="Arial" w:cs="Arial" w:eastAsia="Arial" w:hAnsi="Arial"/>
                <w:sz w:val="12"/>
                <w:szCs w:val="12"/>
                <w:color w:val="auto"/>
              </w:rPr>
              <w:t>Impairment</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586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Deferred taxes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250"/>
        </w:trPr>
        <w:tc>
          <w:tcPr>
            <w:tcW w:w="6060" w:type="dxa"/>
            <w:vAlign w:val="bottom"/>
          </w:tcPr>
          <w:p>
            <w:pPr>
              <w:ind w:left="120"/>
              <w:spacing w:after="0"/>
              <w:rPr>
                <w:sz w:val="20"/>
                <w:szCs w:val="20"/>
                <w:color w:val="auto"/>
              </w:rPr>
            </w:pPr>
            <w:r>
              <w:rPr>
                <w:rFonts w:ascii="Arial" w:cs="Arial" w:eastAsia="Arial" w:hAnsi="Arial"/>
                <w:sz w:val="12"/>
                <w:szCs w:val="12"/>
                <w:color w:val="auto"/>
              </w:rPr>
              <w:t>Other, net</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200"/>
              <w:spacing w:after="0"/>
              <w:rPr>
                <w:sz w:val="20"/>
                <w:szCs w:val="20"/>
                <w:color w:val="auto"/>
              </w:rPr>
            </w:pPr>
            <w:r>
              <w:rPr>
                <w:rFonts w:ascii="Arial" w:cs="Arial" w:eastAsia="Arial" w:hAnsi="Arial"/>
                <w:sz w:val="12"/>
                <w:szCs w:val="12"/>
                <w:color w:val="auto"/>
              </w:rPr>
              <w:t>Accounts receivable, net</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Inventories, net</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250"/>
        </w:trPr>
        <w:tc>
          <w:tcPr>
            <w:tcW w:w="6060" w:type="dxa"/>
            <w:vAlign w:val="bottom"/>
          </w:tcPr>
          <w:p>
            <w:pPr>
              <w:ind w:left="200"/>
              <w:spacing w:after="0"/>
              <w:rPr>
                <w:sz w:val="20"/>
                <w:szCs w:val="20"/>
                <w:color w:val="auto"/>
              </w:rPr>
            </w:pPr>
            <w:r>
              <w:rPr>
                <w:rFonts w:ascii="Arial" w:cs="Arial" w:eastAsia="Arial" w:hAnsi="Arial"/>
                <w:sz w:val="12"/>
                <w:szCs w:val="12"/>
                <w:color w:val="auto"/>
              </w:rPr>
              <w:t>Other assets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(208)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Accounts payable</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50"/>
        </w:trPr>
        <w:tc>
          <w:tcPr>
            <w:tcW w:w="6060" w:type="dxa"/>
            <w:vAlign w:val="bottom"/>
          </w:tcPr>
          <w:p>
            <w:pPr>
              <w:ind w:left="200"/>
              <w:spacing w:after="0"/>
              <w:rPr>
                <w:sz w:val="20"/>
                <w:szCs w:val="20"/>
                <w:color w:val="auto"/>
              </w:rPr>
            </w:pPr>
            <w:r>
              <w:rPr>
                <w:rFonts w:ascii="Arial" w:cs="Arial" w:eastAsia="Arial" w:hAnsi="Arial"/>
                <w:sz w:val="12"/>
                <w:szCs w:val="12"/>
                <w:color w:val="auto"/>
              </w:rPr>
              <w:t>Unrealized loss on derivative contracts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(1,239)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136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1,106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Accrued expenses and other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(403)</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2"/>
                <w:szCs w:val="12"/>
                <w:color w:val="auto"/>
              </w:rPr>
              <w:t>Net cash provided by (used in) operating activities from continuing operations</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436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(2,122)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379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Net cash provided by operating activities from discontinued operations</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694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839</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915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(1,428)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1,218</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Capital expenditures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(272)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(316)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Acquisition of businesses, net of cash acquired</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(1,009)</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Purchase of additional interests in consolidated subsidiaries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(349)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Proceeds from disposition of businesses and assets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Other, net</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Net cash provided by (used in) investing activities from continuing operations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993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(1,252)</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Net cash used in investing activities from discontinued operations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(437)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(580)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(593)</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2,590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(1,845)</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2"/>
                <w:szCs w:val="12"/>
                <w:b w:val="1"/>
                <w:bCs w:val="1"/>
                <w:color w:val="auto"/>
              </w:rPr>
              <w:t>Cash flows from financing activities:</w:t>
            </w:r>
          </w:p>
        </w:tc>
        <w:tc>
          <w:tcPr>
            <w:tcW w:w="1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Investment segment contributions from non-controlling interests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505</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Investment segment distributions from non-controlling interests</w:t>
            </w:r>
          </w:p>
        </w:tc>
        <w:tc>
          <w:tcPr>
            <w:tcW w:w="1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Partnership contributions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Partnership distributions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Proceeds from subsidiary equity offerings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Dividends and distributions to non-controlling interests in subsidiaries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Proceeds from Holding Company senior unsecured notes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Repayments of Holding Company senior unsecured notes</w:t>
            </w:r>
          </w:p>
        </w:tc>
        <w:tc>
          <w:tcPr>
            <w:tcW w:w="1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(2,450)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Proceeds from subsidiary borrowings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1,908</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Repayments of subsidiary borrowings</w:t>
            </w:r>
          </w:p>
        </w:tc>
        <w:tc>
          <w:tcPr>
            <w:tcW w:w="1140" w:type="dxa"/>
            <w:vAlign w:val="bottom"/>
          </w:tcPr>
          <w:p>
            <w:pPr>
              <w:spacing w:after="0"/>
              <w:rPr>
                <w:sz w:val="21"/>
                <w:szCs w:val="21"/>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(1,346)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(1,430)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(1,923)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net</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2"/>
                <w:szCs w:val="12"/>
                <w:color w:val="auto"/>
              </w:rPr>
              <w:t>Net cash provided by financing activities from continuing operations</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979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290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Net cash used in financing activities from discontinued operations</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2"/>
                <w:szCs w:val="12"/>
                <w:b w:val="1"/>
                <w:bCs w:val="1"/>
                <w:color w:val="auto"/>
              </w:rPr>
              <w:t>Net cash (used in) provided by financing activities</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718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w w:val="98"/>
              </w:rPr>
              <w:t>Effect of exchange rate changes on cash and cash equivalents and restricted cash and restricted cash equivalents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Add back change in cash and restricted cash of assets held for sale</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321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w w:val="99"/>
              </w:rPr>
              <w:t>Net increase (decrease) in cash and cash equivalents and restricted cash and restricted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(734)</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2"/>
                <w:szCs w:val="12"/>
                <w:color w:val="auto"/>
              </w:rPr>
              <w:t>Cash and cash equivalents and restricted cash and restricted cash equivalents, beginning of period</w:t>
            </w:r>
          </w:p>
        </w:tc>
        <w:tc>
          <w:tcPr>
            <w:tcW w:w="114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1,911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1,884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2,618</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Cash and cash equivalents and restricted cash and restricted cash equivalents, end of period</w:t>
            </w:r>
          </w:p>
        </w:tc>
        <w:tc>
          <w:tcPr>
            <w:tcW w:w="114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5,338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1,911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1,884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0" w:gutter="0" w:footer="0" w:header="0"/>
        </w:sectPr>
      </w:pPr>
    </w:p>
    <w:bookmarkStart w:id="64" w:name="page65"/>
    <w:bookmarkEnd w:id="64"/>
    <w:p>
      <w:pPr>
        <w:jc w:val="center"/>
        <w:ind w:right="-20"/>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9019"/>
          </w:cols>
          <w:pgMar w:left="1440" w:top="125"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9019"/>
          </w:cols>
          <w:pgMar w:left="1440" w:top="125" w:right="1440"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December 31, 2018.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In addition to the above, Mr. Icahn and his affiliates owned approximately 91.7% of Icahn Enterprises' outstanding depositary units as of December 31, 2018.</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Operating Businesses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We are a diversified holding company owning subsidiaries currently engaged in the following continuing operating businesses: </w:t>
      </w:r>
      <w:r>
        <w:rPr>
          <w:rFonts w:ascii="Arial" w:cs="Arial" w:eastAsia="Arial" w:hAnsi="Arial"/>
          <w:sz w:val="16"/>
          <w:szCs w:val="16"/>
          <w:color w:val="231F20"/>
        </w:rPr>
        <w:t>Investment, Energy,</w:t>
      </w:r>
      <w:r>
        <w:rPr>
          <w:rFonts w:ascii="Arial" w:cs="Arial" w:eastAsia="Arial" w:hAnsi="Arial"/>
          <w:sz w:val="16"/>
          <w:szCs w:val="16"/>
          <w:color w:val="auto"/>
        </w:rPr>
        <w:t xml:space="preserve"> </w:t>
      </w:r>
      <w:r>
        <w:rPr>
          <w:rFonts w:ascii="Arial" w:cs="Arial" w:eastAsia="Arial" w:hAnsi="Arial"/>
          <w:sz w:val="16"/>
          <w:szCs w:val="16"/>
          <w:color w:val="231F20"/>
        </w:rPr>
        <w:t>Automotive, Food Packaging, Metals, Real Estate, Home Fashion and Mining</w:t>
      </w:r>
      <w:r>
        <w:rPr>
          <w:rFonts w:ascii="Arial" w:cs="Arial" w:eastAsia="Arial" w:hAnsi="Arial"/>
          <w:sz w:val="16"/>
          <w:szCs w:val="16"/>
          <w:color w:val="000000"/>
        </w:rPr>
        <w:t>. We also report the results of our Holding Company, which includes the results</w:t>
      </w:r>
      <w:r>
        <w:rPr>
          <w:rFonts w:ascii="Arial" w:cs="Arial" w:eastAsia="Arial" w:hAnsi="Arial"/>
          <w:sz w:val="16"/>
          <w:szCs w:val="16"/>
          <w:color w:val="231F20"/>
        </w:rPr>
        <w:t xml:space="preserve"> </w:t>
      </w:r>
      <w:r>
        <w:rPr>
          <w:rFonts w:ascii="Arial" w:cs="Arial" w:eastAsia="Arial" w:hAnsi="Arial"/>
          <w:sz w:val="16"/>
          <w:szCs w:val="16"/>
          <w:color w:val="000000"/>
        </w:rPr>
        <w:t>of certain subsidiaries of Icahn Enterprises and Icahn Enterprises Holdings (unless otherwise noted), and investment activity and expenses associated with our Holding Company. Our historical results also report the results of our Railcar segment through the date we sold our last remaining railcars on lease, which occurred in the third quarter of 2018. See Note 12, "Segment and Geographic Reporting," for a reconciliation of each of our reporting segment's results of operations to our consolidated results. Certain additional information with respect to our segments are discussed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Investment segment is comprised of various private investment funds ("Investment Funds") in which we have general partner interests and through which we invest our proprietary capital. We and certain of Mr. Icahn's wholly-owned affiliates are the only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 We had interests in the Investment Funds with a fair market value of approximately $5.1 billion and $3.0 billion as of December 31, 2018 and 2017,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20" w:firstLine="405"/>
        <w:spacing w:after="0" w:line="302" w:lineRule="auto"/>
        <w:rPr>
          <w:sz w:val="20"/>
          <w:szCs w:val="20"/>
          <w:color w:val="auto"/>
        </w:rPr>
      </w:pPr>
      <w:r>
        <w:rPr>
          <w:rFonts w:ascii="Arial" w:cs="Arial" w:eastAsia="Arial" w:hAnsi="Arial"/>
          <w:sz w:val="16"/>
          <w:szCs w:val="16"/>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w:t>
      </w:r>
    </w:p>
    <w:p>
      <w:pPr>
        <w:spacing w:after="0" w:line="4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CVR Energy has a general partner interest in CVR Refining and CVR Partners and also owns approximately 80.6% of the outstanding common units of CVR Refining and 34.4% of the outstanding common units of CVR Partners as of December 31, 2018. On August 1, 2018, CVR Energy completed an exchange offer whereby CVR Refining's public unitholders tendered a total of 21,625,106 common units of CVR Refining in exchange for 13,699,549 shares of CVR Energy common stock. In connection with this transaction, our equity attributable to Icahn Enterprises and Icahn Enterprises holdings increased by $99 million.</w:t>
      </w:r>
    </w:p>
    <w:p>
      <w:pPr>
        <w:spacing w:after="0" w:line="8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As of December 31, 2018, we owned approximately 70.8% of the total outstanding common stock of CVR Energy. In addition, as of December 31, 2018, we directly owned approximately 3.9% of the total outstanding common units of CVR Refining.</w:t>
      </w:r>
    </w:p>
    <w:p>
      <w:pPr>
        <w:spacing w:after="0" w:line="62"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On January 29, 2019, CVR Energy, pursuant to the exercise of its right to purchase all of the issued and outstanding common units in CVR Refining, purchased the remaining common units of CVR Refining not already owned by CVR Energy, including the purchase of CVR Refining common units owned directly by us. As a result, as of January 29, 2019, CVR Energy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337" w:right="25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owns all of the common units of CVR Refining and we no longer have any direct ownership in CVR Refining. In addition, the common units of CVR Refining have subsequently ceased to be publicly traded or listed on the New York Stock Exchange any other national securities exchange. The remaining common units of CVR Refining acquired in this transaction were purchased for $241 million, excluding the amount paid by CVR Energy to us for the common units of CVR Refining directly owned by us.</w:t>
      </w:r>
    </w:p>
    <w:p>
      <w:pPr>
        <w:spacing w:after="0" w:line="7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During 2016, CVR Partners acquired a nitrogen fertilizer business for total purchase price consideration which included the issuance of common units of CVR Partners with a fair value of $335 million, cash paid of $99 million and debt assumed with a fair value of $368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conduct our Automotive segment through our wholly-owned subsidiary, Icahn Automotive Group LLC ("Icahn Automotive"). Icahn Automotive is engaged in the retail and wholesale distribution of automotive parts in the aftermarket as well as providing automotive repair and maintenance services to its customers. Icahn Automotive is the parent company of various automotive businesses acquired in recent years, including The Pep Boys - Manny, Moe &amp; Jack ("Pep Boys") and the franchise businesses of Precision Tune Auto Care ("Precision Tune") and American Driveline Systems, the franchisor of AAMCO and Cottman Transmission service centers ("American Driveline"). Precision Tune and American Driveline were acquired in 2017 for an aggregate purchase price of $162 million. Pep Boys was acquired in 2016 for aggregate consideration of approximately $1.2 billion.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We conduct our Food Packaging segment through our majority owned subsidiary, Viskase Companies, Inc. ("Viskase"). During January 2018, Viskase received $50 million in connection with its common stock rights offering. In connection with this rights offering, we fully exercised our subscription rights under our basic and over subscription privileges to purchase additional shares of Viskase common stock, thereby increasing our ownership of Viskase from 74.6% to 78.6%, for an aggregate additional investment of $44 million.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Viskase is a producer of cellulosic, fibrous and plastic casings used to prepare and package processed meat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We conduct our Metals segment through our indirect wholly-owned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6"/>
          <w:szCs w:val="16"/>
          <w:i w:val="1"/>
          <w:iCs w:val="1"/>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Real Estate operations consist primarily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In addition, our Real Estate operations also includes a hotel, timeshare and casino resort property in Aruba as well as a casino property in Atlantic City, New Jersey, which ceased operations in 2014 prior to our obtaining control of the property.</w:t>
      </w:r>
    </w:p>
    <w:p>
      <w:pPr>
        <w:spacing w:after="0" w:line="7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During 2018, our Real Estate segment sold two commercial rental properties for aggregate proceeds of $179 million, resulting in aggregate pretax gain on disposition of assets of $89 million.</w:t>
      </w:r>
    </w:p>
    <w:p>
      <w:pPr>
        <w:spacing w:after="0" w:line="62"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In August 2017, our Real Estate segment sold a development property in Las Vegas, Nevada for $600 million, resulting in a pretax gain on disposition of assets of $456 million. The transaction included cash proceeds from the sale of $225 million and two tranches of seller financing totaling $375 million (including a $345 million first-lien mortgage and a $30 million second-lien mortgage). The seller financing receivables, plus accrued and unpaid interest receivable, are included in other assets in our consolidated balance sheet as of December 31, 2017 and were received in full during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880" w:firstLine="405"/>
        <w:spacing w:after="0" w:line="277" w:lineRule="auto"/>
        <w:rPr>
          <w:sz w:val="20"/>
          <w:szCs w:val="20"/>
          <w:color w:val="auto"/>
        </w:rPr>
      </w:pPr>
      <w:r>
        <w:rPr>
          <w:rFonts w:ascii="Arial" w:cs="Arial" w:eastAsia="Arial" w:hAnsi="Arial"/>
          <w:sz w:val="18"/>
          <w:szCs w:val="18"/>
          <w:color w:val="auto"/>
        </w:rPr>
        <w:t>We conduct our Home Fashion segment through our wholly-owned subsidiary, WestPoint Home LLC (“WPH”). WPH's business consists of manufacturing, sourcing, marketing, distributing and selling home fashion consumer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337"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We conduct our Mining segment through our majority owned subsidiary, Ferrous Resources Ltd. ("Ferrous Resources"). As of December 31, 2018, we owned approximately 77.2% of the total outstanding common stock of Ferrous Resources. Ferrous Resources acquired certain rights to iron ore mineral resources in Brazil and develops mining operations and related infrastructure to produce and sell iron ore products to the global steel industry.</w:t>
      </w:r>
    </w:p>
    <w:p>
      <w:pPr>
        <w:spacing w:after="0" w:line="39" w:lineRule="exact"/>
        <w:rPr>
          <w:sz w:val="20"/>
          <w:szCs w:val="20"/>
          <w:color w:val="auto"/>
        </w:rPr>
      </w:pPr>
    </w:p>
    <w:p>
      <w:pPr>
        <w:ind w:right="380" w:firstLine="378"/>
        <w:spacing w:after="0" w:line="264" w:lineRule="auto"/>
        <w:rPr>
          <w:sz w:val="20"/>
          <w:szCs w:val="20"/>
          <w:color w:val="auto"/>
        </w:rPr>
      </w:pPr>
      <w:r>
        <w:rPr>
          <w:rFonts w:ascii="Arial" w:cs="Arial" w:eastAsia="Arial" w:hAnsi="Arial"/>
          <w:sz w:val="18"/>
          <w:szCs w:val="18"/>
          <w:color w:val="auto"/>
        </w:rPr>
        <w:t>On December 5, 2018, we announced a definitive agreement to sell Ferrous Resources for total consideration of $550 million. The transaction is expected to close in the first half of 2019. This transaction met all the criteria to be classified as held for sale on December 5, 2018 upon execution of the definitive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We conducted our Railcar segment through our wholly-owned subsidiary, American Railcar Leasing, LLC ("ARL"). ARL operated a leasing business consisting of purchased railcars leased to third parties under operating leases.</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2017, we sold ARL and a majority of its railcar lease fleet for aggregate cash consideration of approximately $1.8 billion and reassigned the debt of ARL to the purchaser. During 2018, we sold all remaining railcars of ARL not previously sold for additional cash consideration of $17 million. In connection with these transactions, we recorded a pretax gain on disposition of assets of approximately $1.7 billion in 2017 and an additional pretax gain of $5 million in 2018.</w:t>
      </w:r>
    </w:p>
    <w:p>
      <w:pPr>
        <w:spacing w:after="0" w:line="79" w:lineRule="exact"/>
        <w:rPr>
          <w:sz w:val="20"/>
          <w:szCs w:val="20"/>
          <w:color w:val="auto"/>
        </w:rPr>
      </w:pPr>
    </w:p>
    <w:p>
      <w:pPr>
        <w:ind w:right="1460" w:firstLine="405"/>
        <w:spacing w:after="0" w:line="375" w:lineRule="auto"/>
        <w:rPr>
          <w:sz w:val="20"/>
          <w:szCs w:val="20"/>
          <w:color w:val="auto"/>
        </w:rPr>
      </w:pPr>
      <w:r>
        <w:rPr>
          <w:rFonts w:ascii="Arial" w:cs="Arial" w:eastAsia="Arial" w:hAnsi="Arial"/>
          <w:sz w:val="18"/>
          <w:szCs w:val="18"/>
          <w:color w:val="auto"/>
        </w:rPr>
        <w:t xml:space="preserve">As a result of the sale of all remaining railcars, as of December 31, 2018, our business no longer includes an active Railcar segment. </w:t>
      </w:r>
      <w:r>
        <w:rPr>
          <w:rFonts w:ascii="Arial" w:cs="Arial" w:eastAsia="Arial" w:hAnsi="Arial"/>
          <w:sz w:val="18"/>
          <w:szCs w:val="18"/>
          <w:b w:val="1"/>
          <w:bCs w:val="1"/>
          <w:i w:val="1"/>
          <w:iCs w:val="1"/>
          <w:color w:val="auto"/>
        </w:rPr>
        <w:t>Description of Discontinued Operating Businesses</w:t>
      </w:r>
    </w:p>
    <w:p>
      <w:pPr>
        <w:spacing w:after="0" w:line="1"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As of December 31, 2018, we also report discontinued operations previously reported in our Automotive and Railcar segments and former Gaming segment as discussed below. In addition, see Note 13, "Discontinued Operations," for additional information with respect to our discontinued operating businesses.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Our discontinued Automotive operations consists of our previously wholly-owned subsidiary, Federal-Mogul LLC ("Federal-Mogul"). During January 2017, we increased our ownership in Federal-Mogul from 82.0% to 100% for an aggregate purchase price of $305 million.</w:t>
      </w:r>
    </w:p>
    <w:p>
      <w:pPr>
        <w:spacing w:after="0" w:line="62" w:lineRule="exact"/>
        <w:rPr>
          <w:sz w:val="20"/>
          <w:szCs w:val="20"/>
          <w:color w:val="auto"/>
        </w:rPr>
      </w:pPr>
    </w:p>
    <w:p>
      <w:pPr>
        <w:ind w:right="180" w:firstLine="405"/>
        <w:spacing w:after="0" w:line="288" w:lineRule="auto"/>
        <w:rPr>
          <w:sz w:val="20"/>
          <w:szCs w:val="20"/>
          <w:color w:val="auto"/>
        </w:rPr>
      </w:pPr>
      <w:r>
        <w:rPr>
          <w:rFonts w:ascii="Arial" w:cs="Arial" w:eastAsia="Arial" w:hAnsi="Arial"/>
          <w:sz w:val="16"/>
          <w:szCs w:val="16"/>
          <w:color w:val="auto"/>
        </w:rPr>
        <w:t>On October 1, 2018, we closed on the previously announced sale of Federal-Mogul to Tenneco Inc. ("Tenneco"). In connection with the sale, we received $800 million in cash and approximately 29.5 million shares of Tenneco common stock, of which approximately 23.8 million shares are non-voting shares that will convert to voting shares if and when sold. The remaining approximately 5.7 million voting shares received by us represents approximately</w:t>
      </w:r>
    </w:p>
    <w:p>
      <w:pPr>
        <w:ind w:right="40"/>
        <w:spacing w:after="0" w:line="253" w:lineRule="auto"/>
        <w:rPr>
          <w:sz w:val="20"/>
          <w:szCs w:val="20"/>
          <w:color w:val="auto"/>
        </w:rPr>
      </w:pPr>
      <w:r>
        <w:rPr>
          <w:rFonts w:ascii="Arial" w:cs="Arial" w:eastAsia="Arial" w:hAnsi="Arial"/>
          <w:sz w:val="18"/>
          <w:szCs w:val="18"/>
          <w:color w:val="auto"/>
        </w:rPr>
        <w:t>9.9% of the aggregate voting interest in Tenneco. There are restrictions on how many shares of Tenneco common stock that can be sold by us within the first 150 days after the closing of the sale. The voting and non-voting shares of Tenneco common stock have the same economic value. As of October 1, 2018, the approximately 29.5 million voting and non-voting shares of Tenneco common stock had a fair market value of approximately $1.2 billion, which our Holding Company will hold and record as a Level 1 investment measured at fair value on a recurring basis. In addition, Federal-Mogul's outstanding debt was assumed by Tenneco.</w:t>
      </w:r>
    </w:p>
    <w:p>
      <w:pPr>
        <w:spacing w:after="0" w:line="8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a result of the sale of Federal-Mogul, we recorded a pretax gain on sale of discontinued operations attributable to Icahn Enterprises of $251 million in the fourth quarter of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jc w:val="both"/>
        <w:ind w:right="280" w:firstLine="405"/>
        <w:spacing w:after="0" w:line="257" w:lineRule="auto"/>
        <w:rPr>
          <w:sz w:val="20"/>
          <w:szCs w:val="20"/>
          <w:color w:val="auto"/>
        </w:rPr>
      </w:pPr>
      <w:r>
        <w:rPr>
          <w:rFonts w:ascii="Arial" w:cs="Arial" w:eastAsia="Arial" w:hAnsi="Arial"/>
          <w:sz w:val="18"/>
          <w:szCs w:val="18"/>
          <w:color w:val="auto"/>
        </w:rPr>
        <w:t>Our discontinued Gaming operations consists of our previous majority ownership in Tropicana Entertainment Inc. ("Tropicana") and the Trump Taj Mahal Casino Resort ("Taj Mahal"). In August 2017, we increased our ownership in Tropicana from 72.5% to 83.9% through a tender offer for additional shares of Tropicana common stock not already owned by us for an aggregate purchase price of $95 million. In addition, Tropicana repurchased and retired shares of its common stock in connection with this tender offer for an aggregate purchase price of $36 million. Taj Mahal closed in October 2016 and was subsequently sold on March 31, 2017.</w:t>
      </w:r>
    </w:p>
    <w:p>
      <w:pPr>
        <w:spacing w:after="0" w:line="8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On October 1, 2018, Tropicana closed on the previously announced real estate sales and merger transaction for aggregate cash consideration, net of adjustments, of approximately $1.8 billion. The transaction did not include Tropicana Aruba Resort and Casino, which was retained by us and is now reported within our Real Estate segment. Our proportionate share of the cash proceeds, net of adjustments, was approximately $1.5 billion.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337"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As a result of the sale of Tropicana, we recorded a pretax gain on sale of discontinued operations attributable to Icahn Enterprises of $779 million in the fourth quarter of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discontinued Railcar operations consists of our previous majority ownership in American Railcar Industries, Inc. ("ARI"). On December 5, 2018, we closed on the previously announced sale of ARI for aggregate cash consideration of $831 million.</w:t>
      </w:r>
    </w:p>
    <w:p>
      <w:pPr>
        <w:spacing w:after="0" w:line="6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a result of the sale of ARI, we recorded a pretax gain on sale of discontinued operations attributable to Icahn Enterprises of $400 million in the fourth quarter of 2018.</w:t>
      </w:r>
    </w:p>
    <w:p>
      <w:pPr>
        <w:spacing w:after="0" w:line="16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audited consolidated financial statements have been prepared in accordance with accounting principles generally accepted in the United States (“U.S. GAAP”).</w:t>
      </w:r>
    </w:p>
    <w:p>
      <w:pPr>
        <w:spacing w:after="0" w:line="6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8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recent sales of Federal-Mogul, Tropicana and ARI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As of December 31, 2018, our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59"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Except for our Investment segment, for equity investments in which we own 50% or less but greater than 20%, we generally account for such investments using the equity method. All other equity investments are accounted for at fair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 and Held For Sale</w:t>
      </w:r>
    </w:p>
    <w:p>
      <w:pPr>
        <w:spacing w:after="0" w:line="117"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We classify assets and liabilities as held for sale when management, having the authority to approve the action, commits to a plan to sell the disposal group, the sale is probable within one year, and the disposal group is available for immediate sale in its present condition. We also consider whether an active program to locate a buyer has been initiated, whether the disposal group is marketed actively for sale at a price that is reasonable in relation to its current fair value, and whether actions required to complete the plan indicate it is unlikely significant changes to the plan will be made or the plan will be withdrawn.</w:t>
      </w:r>
    </w:p>
    <w:p>
      <w:pPr>
        <w:spacing w:after="0" w:line="4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accordance with U.S. GAAP, we classify operations as discontinued when they meet all the criteria to be classified as held for sale and when the sale represents a strategic shift that will have a major impact on our financial condition and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7" w:right="23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Preparation of Financial Statements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 of assets and liabilities at the date of the financial statements and the reported amount of revenues and expenses during the period. Due to the inherent uncertainty involved in making estimates, actual results may differ from the estimates and assumptions used in preparing the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 xml:space="preserve">In connection with our adoption of Financial Accounting Standards Board ("FASB") Accounting Standards Update ("ASU") No. 2016-18, </w:t>
      </w:r>
      <w:r>
        <w:rPr>
          <w:rFonts w:ascii="Arial" w:cs="Arial" w:eastAsia="Arial" w:hAnsi="Arial"/>
          <w:sz w:val="18"/>
          <w:szCs w:val="18"/>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Cash</w:t>
      </w:r>
      <w:r>
        <w:rPr>
          <w:rFonts w:ascii="Arial" w:cs="Arial" w:eastAsia="Arial" w:hAnsi="Arial"/>
          <w:sz w:val="18"/>
          <w:szCs w:val="18"/>
          <w:color w:val="auto"/>
        </w:rPr>
        <w:t>, as discussed below, our net cash provided by operating activities for the years ended December 31, 2017 and 2016 was decreased by $19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$446 million, respectively.</w:t>
      </w:r>
    </w:p>
    <w:p>
      <w:pPr>
        <w:spacing w:after="0" w:line="7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 xml:space="preserve">In connection with our adoption of FASB ASU No. 2017-07, </w:t>
      </w:r>
      <w:r>
        <w:rPr>
          <w:rFonts w:ascii="Arial" w:cs="Arial" w:eastAsia="Arial" w:hAnsi="Arial"/>
          <w:sz w:val="18"/>
          <w:szCs w:val="18"/>
          <w:i w:val="1"/>
          <w:iCs w:val="1"/>
          <w:color w:val="auto"/>
        </w:rPr>
        <w:t>Improving the Presentation of Net Periodic Pension Cost and Net Periodic Postretirement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Cost</w:t>
      </w:r>
      <w:r>
        <w:rPr>
          <w:rFonts w:ascii="Arial" w:cs="Arial" w:eastAsia="Arial" w:hAnsi="Arial"/>
          <w:sz w:val="18"/>
          <w:szCs w:val="18"/>
          <w:color w:val="auto"/>
        </w:rPr>
        <w:t>, as discussed below, we decreased our selling, general and administrative costs by $4 million and $4 million and decreased other income, net by</w:t>
      </w:r>
      <w:r>
        <w:rPr>
          <w:rFonts w:ascii="Arial" w:cs="Arial" w:eastAsia="Arial" w:hAnsi="Arial"/>
          <w:sz w:val="18"/>
          <w:szCs w:val="18"/>
          <w:i w:val="1"/>
          <w:iCs w:val="1"/>
          <w:color w:val="auto"/>
        </w:rPr>
        <w:t xml:space="preserve"> </w:t>
      </w:r>
      <w:r>
        <w:rPr>
          <w:rFonts w:ascii="Arial" w:cs="Arial" w:eastAsia="Arial" w:hAnsi="Arial"/>
          <w:sz w:val="18"/>
          <w:szCs w:val="18"/>
          <w:color w:val="auto"/>
        </w:rPr>
        <w:t>$4 million and $4 million for the years ended December 31, 2017 and 2016, respectively.</w:t>
      </w:r>
    </w:p>
    <w:p>
      <w:pPr>
        <w:spacing w:after="0" w:line="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Certain reclassifications have been made within the consolidated statements of operations to include gain (loss) on derivatives within cost of goods sold for our Energy segment. Prior year balances have been reclassified to conform to the current year presentation. The reclassifications of losses on derivatives from other income, net to costs of goods sold were $70 million and $19 million for the years ended December 31, 2017 and 2016, respectively. These reclassifications did not have an impact on previously reported net income.</w:t>
      </w:r>
    </w:p>
    <w:p>
      <w:pPr>
        <w:spacing w:after="0" w:line="79"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We have recasted certain historical results for discontinued operations, which we disclose in Note 13, "Discontinued Operations." In addition, certain other reclassifications from the prior year presentation have been made to conform to the current year presentation, which did not have an impact on previously reported net income and equity and are not deemed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following is a discussion of variable interest entities in which we are deemed to be the primary beneficiary and in which we therefore consolidate. In addition, as discussed in Note 3, "Related Party Transactions," we have a variable interest in an entity in which we are not the primary beneficiary and therefore we do not consolidate.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determined that Icahn Enterprises Holdings is a VIE because it lacks both substantive kick-out and participating rights. Icahn Enterprises is the primary beneficiary of Icahn Enterprises Holdings principally based on its 99% limited partner interest in Icahn Enterprises Holdings and therefore continues to consolidate Icahn Enterprises Holdings. The consolidated financial statements of Icahn Enterprises Holdings are included in this Report. The balances with respect to Icahn Enterprises Holdings' consolidated VIEs are discussed below, comprising the Investment Funds, CVR Refining, CVR Partners and Viskase.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CVR Refining and CVR Partners are each considered VIEs because each of these limited partnerships lack both substantive kick-out and participating rights. In addition, CVR Energy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it is the primary beneficiary of both CVR Refining and CVR Partners. Based upon this evaluation, CVR Energy continues to consolidate both CVR Refining and CVR Partners.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337" w:right="27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includes balances of assets and liabilities of VIE's included in Icahn Enterprises Holdings' consolidated balance sheets.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9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w w:val="93"/>
              </w:rPr>
              <w:t>2,648</w:t>
            </w:r>
          </w:p>
        </w:tc>
        <w:tc>
          <w:tcPr>
            <w:tcW w:w="6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734</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6,951</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9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664</w:t>
            </w:r>
          </w:p>
        </w:tc>
        <w:tc>
          <w:tcPr>
            <w:tcW w:w="6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506</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3,027</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9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380</w:t>
            </w:r>
          </w:p>
        </w:tc>
        <w:tc>
          <w:tcPr>
            <w:tcW w:w="6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369</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863</w:t>
            </w:r>
          </w:p>
        </w:tc>
        <w:tc>
          <w:tcPr>
            <w:tcW w:w="6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9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6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1,023</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w:t>
            </w:r>
          </w:p>
        </w:tc>
        <w:tc>
          <w:tcPr>
            <w:tcW w:w="9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w w:val="93"/>
              </w:rPr>
              <w:t>1,170</w:t>
            </w:r>
          </w:p>
        </w:tc>
        <w:tc>
          <w:tcPr>
            <w:tcW w:w="6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1,166</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Related Matters,” and Note 5, “Fair Value Measurements,” for a detailed discussion of our investments and other non-financial assets and/or liabilities.</w:t>
      </w:r>
    </w:p>
    <w:p>
      <w:pPr>
        <w:spacing w:after="0" w:line="79"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debt as of December 31, 2018 was approximately $7.3 billion and $7.3 billion, respectively. The carrying value and estimated fair value of our debt as of December 31, 2017 was approximately $7.4 billion and $7.6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of Businesses</w:t>
      </w:r>
    </w:p>
    <w:p>
      <w:pPr>
        <w:spacing w:after="0" w:line="117"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We account for business combinations under the acquisition method of accounting (other than acquisitions of businesses under common control), which requires us to recognize separately 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w:t>
      </w:r>
    </w:p>
    <w:p>
      <w:pPr>
        <w:spacing w:after="0" w:line="79"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including our estimates for intangible assets, contractual obligations assumed, pre-acquisition contingencies, and contingent consideration, where applicable. In valuing our acquisitions, we estimate fair values based on industry data and trends and by reference to relevant market rates and transactions, and discounted cash flow valuation methods, among other factors. The discount rates used were commensurate with the inherent risks associated with each type of asset and the level and timing of cash flows appropriately reflect market participant assumptions. The primary items that generate goodwill include the value of the synergies between the acquired company and our existing businesses and the value of the acquired assembled workforce, neither of which qualifies for recognition as an intangible asset.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37" w:right="2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Investments and Disposition of Entities under Common Control</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Acquisitions or investments of entities under common control are reflected in a manner similar to pooling of interests. The general partner's capital account or non-controlling interests, as applicable, are charged or credited for the difference between the consideration we pay for the entity and the related entity's basis prior to our acquisition or investment. Net gains or losses of an acquired entity prior to its acquisition or investment date are allocated to the general partner's capital account or non-controlling interests, as applicable. In allocating gains and losses upon the sale of a previously acquired common control entity, we allocate a gain or loss for financial reporting purposes by first restoring the general partner's capital account or non-controlling interests, as applicable, for the cumulative charges or credits relating to prior periods recorded at the time of our acquisition or investment and then allocating the remaining gain or loss ("Common Control Gains or Losses") among our general partner, limited partners and non-controlling interests, as applicable, in accordance with their respective ownership percentages. In the case of acquisitions of entities under common control, such Common Control Gains or Losses are allocated in accordance with their respective partnership percentages under the Amended and Restated Agreement of Limited Partnership dated as of May 12, 1987, as amended from time to time (together with the partnership agreement of Icahn Enterprises Holdings, the “Partnership Agreement”) (i.e., 98.01% to the limited partners and 1.99% to the general partner).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Cash and cash equivalents and restricted cash and restricted cash equivalents in our consolidated statements of cash flows is comprised of (i) cash and cash equivalents and (ii) cash held at consolidated affiliated partnerships and restricted cash.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consider short-term investments, which are highly liquid with original maturities of three months or less at date of purchase, to be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117"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Our cash held at consolidated affiliated partnerships balance was $2,648 million and $192 million as of December 31, 2018 and December 31, 2017, respectively. Cash held at consolidated affiliated partnerships relates to our Investment segment and consists of cash and cash equivalents held by the Investment Funds that, although not legally restricted, is not available to fund the general liquidity needs of the Investment segment or Icahn Enterprises.</w:t>
      </w:r>
    </w:p>
    <w:p>
      <w:pPr>
        <w:spacing w:after="0" w:line="3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restricted cash balance was $34 million and $555 million as of December 31, 2018 and December 31, 2017, respectively. Restricted cash includes, but is not limited to, our Investment segment's cash pledged and held for margin requirements on derivative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and Related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i w:val="1"/>
          <w:iCs w:val="1"/>
          <w:color w:val="auto"/>
        </w:rPr>
        <w:t xml:space="preserve">Investment Transactions and Related Investment Income (Loss). </w:t>
      </w:r>
      <w:r>
        <w:rPr>
          <w:rFonts w:ascii="Arial" w:cs="Arial" w:eastAsia="Arial" w:hAnsi="Arial"/>
          <w:sz w:val="16"/>
          <w:szCs w:val="16"/>
          <w:color w:val="auto"/>
        </w:rPr>
        <w:t>Investment transactions of the Investment Funds are recorded on a trade date basis.</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gains or losses on sales of investments are based on the first-in, first-out or the specific identification method. Realized and unrealized gains or losses on investments are recorded in the consolidated statements of operations. Interest income and expenses are recorded on an accrual basis and dividends are recorded on the ex-dividend date. Premiums and discounts on fixed income securities are amortized using the effective yield method.</w:t>
      </w:r>
    </w:p>
    <w:p>
      <w:pPr>
        <w:spacing w:after="0" w:line="4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Investments held by the Investment segment are carried at fair value. Our Investment segment applies the fair value option to those investments that are otherwise subject to the equity method.</w:t>
      </w:r>
    </w:p>
    <w:p>
      <w:pPr>
        <w:spacing w:after="0" w:line="6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 xml:space="preserve">Valuation of Investments. </w:t>
      </w:r>
      <w:r>
        <w:rPr>
          <w:rFonts w:ascii="Arial" w:cs="Arial" w:eastAsia="Arial" w:hAnsi="Arial"/>
          <w:sz w:val="18"/>
          <w:szCs w:val="18"/>
          <w:color w:val="auto"/>
        </w:rPr>
        <w:t>Securities of the Investment Funds that are listed on a securities exchange are valued at their last sales price on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Investment Funds.</w:t>
      </w:r>
    </w:p>
    <w:p>
      <w:pPr>
        <w:spacing w:after="0" w:line="79"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i w:val="1"/>
          <w:iCs w:val="1"/>
          <w:color w:val="auto"/>
        </w:rPr>
        <w:t xml:space="preserve">Foreign Currency Transactions. </w:t>
      </w:r>
      <w:r>
        <w:rPr>
          <w:rFonts w:ascii="Arial" w:cs="Arial" w:eastAsia="Arial" w:hAnsi="Arial"/>
          <w:sz w:val="16"/>
          <w:szCs w:val="16"/>
          <w:color w:val="auto"/>
        </w:rPr>
        <w:t>The books and records of the Investment Funds are maintained in U.S. dollars. Assets and liabilities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currencies other than U.S. dollars are translated into U.S. dollars at the rate of exchange in effect at the balance sheet date. Transactions during the period denominated in currencies other than U.S. dollars are translated at the rate of exchange applicable on the date of the transaction. Foreign currency translation gains and losses are recorded in the consolidated statements of operations. The Investment Funds do not isolate that portion of the results of operations resulting from changes in foreign exchange rates on investments from the fluctuations arising from changes in the market prices 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337" w:right="27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securities. Such fluctuations are reflected in net gain (loss) from investment activities in the consolidated statements of operations.</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The fair values of the Investment Funds' assets and liabilities that qualify as financial instruments under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U.S. GAAP approximate the carrying amounts presented in the consolidated balance sheets.</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Securities Sold, Not Yet Purchased. </w:t>
      </w:r>
      <w:r>
        <w:rPr>
          <w:rFonts w:ascii="Arial" w:cs="Arial" w:eastAsia="Arial" w:hAnsi="Arial"/>
          <w:sz w:val="18"/>
          <w:szCs w:val="18"/>
          <w:color w:val="auto"/>
        </w:rPr>
        <w:t>The Investment Funds may sell an investment they do not own in anticipation of a decline in the fair value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When the Investment Funds sell an investment short, they must borrow the investment sold short and deliver it to the broker-dealer through which they made the short sale. A gain, limited to the price at which the Investment Funds sold the investment short, or a loss, unlimited in amount, will be recognized upon the cover of the short sale.</w:t>
      </w:r>
    </w:p>
    <w:p>
      <w:pPr>
        <w:spacing w:after="0" w:line="7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Due From Brokers. </w:t>
      </w:r>
      <w:r>
        <w:rPr>
          <w:rFonts w:ascii="Arial" w:cs="Arial" w:eastAsia="Arial" w:hAnsi="Arial"/>
          <w:sz w:val="18"/>
          <w:szCs w:val="18"/>
          <w:color w:val="auto"/>
        </w:rPr>
        <w:t>Due from brokers represents cash balances with the Investment Funds' clearing brokers. These funds as well as fully-paid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marginable securities are essentially restricted to the extent that they serve as collateral against securities sold, not yet purchased. Due from brokers may also include unrestricted balances with derivative counterparties.</w:t>
      </w:r>
    </w:p>
    <w:p>
      <w:pPr>
        <w:spacing w:after="0" w:line="73" w:lineRule="exact"/>
        <w:rPr>
          <w:sz w:val="20"/>
          <w:szCs w:val="20"/>
          <w:color w:val="auto"/>
        </w:rPr>
      </w:pPr>
    </w:p>
    <w:p>
      <w:pPr>
        <w:ind w:right="860" w:firstLine="405"/>
        <w:spacing w:after="0" w:line="375" w:lineRule="auto"/>
        <w:rPr>
          <w:sz w:val="20"/>
          <w:szCs w:val="20"/>
          <w:color w:val="auto"/>
        </w:rPr>
      </w:pPr>
      <w:r>
        <w:rPr>
          <w:rFonts w:ascii="Arial" w:cs="Arial" w:eastAsia="Arial" w:hAnsi="Arial"/>
          <w:sz w:val="18"/>
          <w:szCs w:val="18"/>
          <w:i w:val="1"/>
          <w:iCs w:val="1"/>
          <w:color w:val="auto"/>
        </w:rPr>
        <w:t xml:space="preserve">Due To Brokers. </w:t>
      </w:r>
      <w:r>
        <w:rPr>
          <w:rFonts w:ascii="Arial" w:cs="Arial" w:eastAsia="Arial" w:hAnsi="Arial"/>
          <w:sz w:val="18"/>
          <w:szCs w:val="18"/>
          <w:color w:val="auto"/>
        </w:rPr>
        <w:t>Due to brokers represents margin debit balances collateralized by certain of the Investment Funds' investments in securities.</w:t>
      </w:r>
      <w:r>
        <w:rPr>
          <w:rFonts w:ascii="Arial" w:cs="Arial" w:eastAsia="Arial" w:hAnsi="Arial"/>
          <w:sz w:val="18"/>
          <w:szCs w:val="18"/>
          <w:i w:val="1"/>
          <w:iCs w:val="1"/>
          <w:color w:val="auto"/>
        </w:rPr>
        <w:t xml:space="preserve"> Other Segments and Holding Company</w:t>
      </w:r>
    </w:p>
    <w:p>
      <w:pPr>
        <w:spacing w:after="0" w:line="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Investments in equity and debt securities are carried at fair value with the unrealized gains or losses reflected in the consolidated statements of operations. For purposes of determining gains and losses, the cost of securities is based on specific identification. Dividend income is recorded when declared and interest income is recognized when earned.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 for Financial Assets and Financial Liabilities</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The fair value option gives entities the option to measure eligible financial assets, financial liabilities and firm commitments at fair value (i.e., the fair value option), on an instrument-by-instrument basis, that are otherwise not permitted to be accounted for at fair value pursuant to the provisions of FASB Accounting Standards Codification ("ASC") Topic 825, </w:t>
      </w:r>
      <w:r>
        <w:rPr>
          <w:rFonts w:ascii="Arial" w:cs="Arial" w:eastAsia="Arial" w:hAnsi="Arial"/>
          <w:sz w:val="17"/>
          <w:szCs w:val="17"/>
          <w:i w:val="1"/>
          <w:iCs w:val="1"/>
          <w:color w:val="auto"/>
        </w:rPr>
        <w:t>Financial Instrument</w:t>
      </w:r>
      <w:r>
        <w:rPr>
          <w:rFonts w:ascii="Arial" w:cs="Arial" w:eastAsia="Arial" w:hAnsi="Arial"/>
          <w:sz w:val="17"/>
          <w:szCs w:val="17"/>
          <w:color w:val="auto"/>
        </w:rPr>
        <w:t>s. The election to use the fair value option is available when an entity first recognizes a financial asset or financial liability or upon entering into a firm commitment. Subsequent changes in fair value must be recorded in earnings. In estimating the fair value for financial instruments for which the fair value option has been elected, we use the valuation methodologies in accordance to where the financial instruments are classified within the fair value hierarchy as discussed in Note 5, “Fair Value Measurements.” For our Investment segment, we apply the fair value option to our investments that would otherwise be accounted under the equity method.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From time to time, our subsidiaries enter into derivative contracts, including purchased and written option contracts, swap contracts, futures contracts and forward contracts. U.S. GAAP requires recognition of all derivatives as either assets or liabilities in the balance sheet at their fair value. The accounting for changes in fair value depends on the intended use of the derivative and its resulting designation. For those derivative instruments that are designated and qualify as hedging instruments, a company must designate the hedging instrument, based upon the exposure being hedged, as a fair value hedge, cash flow hedge or a hedge of a net investment in a foreign operation. Gains and losses related to a hedge are either recognized in income immediately to offset the gain or loss on the hedged item or are deferred and reported as a component of accumulated other comprehensive loss and subsequently recognized in earnings when the hedged item affects earnings. The change in fair value of the ineffective portion of a financial instrument, determined using the hypothetical derivative method, is recognized in earnings immediately. The gain or loss related to financial instruments that are not designated as hedges are recognized immediately in earnings. Cash flows related to hedging activities are included in the operating section of the consolidated statements of cash flows. For further information regarding our derivative contracts, see Note 6, “Financial Instruments."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Accounts receivable, net consists of trade receivables from customers, including contract assets when we have an unconditional right to receive consideration. An allowance for doubtful accounts is determined through analysis of the aging of accounts receivable at the date of the consolidated financial statements, assessments of collectability based on an evaluation of historic and anticipated trends, the financial condition of our customers, and an evaluation of the impact of economic conditions. Our allowance for doubtful accounts is an estimate based on specifically identified accounts as well as general reserves based on historical experience.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37"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Energy segment inventories consist primarily of domestic and foreign crude oil, blending stock and components, work in progress, fertilizer products, and refined fuels and by-products. Inventories are valued at the lower of FIFO cost, or net realizable value for fertilizer products, refined fuels and by-products for all periods presented. Refinery unfinished and finished products inventory values were determined using the ability-to-bear process, whereby raw materials and production costs are allocated to work-in-process and finished goods based on their relative fair values. Other inventories, including other raw materials, spare parts and supplies, are valued at the lower of moving-average cost, which approximates FIFO, or net realizable value. The cost of inventories includes inbound freight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Food Packaging, and Home Fashion</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Automotive, Food Packaging and Home Fashion segment inventories are stated at the lower of cost or market. Cost is determined by using the first-in, first-out basis method ("FIFO"), except for our Automotive segment, which also utilizes weighted-average cost and the last-in, first-out method for certain of its subsidiaries. Inventory recorded using the last-in, first-out method was $846 million and $900 million as of December 31, 2018 and 2017, respectively, all of which relates to finished goods. The cost of manufactured goods includes the cost of direct materials, labor and manufacturing overhead. Our Automotive, Food Packaging and Home Fashion segments reserve for estimated excess, slow-moving and obsolete inventory as well as inventory whose carrying value is in excess of net realizable value.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Our Metals segment inventories are stated at the lower of cost or market. Cost is determined using the average cost method. The production and accounting process utilized by our Metals segment to record recycled metals inventory quantities relies on significant estimates. Our Metals segment relies upon perpetual inventory records that utilize estimated recoveries and yields that are based upon historical trends and periodic tests for certain unprocessed metal commodities. Over time, these estimates are reasonably good indicators of what is ultimately produced; however, actual recoveries and yields can vary depending on product quality, moisture content and source of the unprocessed metal. To assist in validating the reasonableness of the estimates, our Metals segment performs periodic physical inventories which involve the use of estimation techniques. Physical inventories may detect significant variations in volume, but because of variations in product density and production processes utilized to manufacture the product, physical inventories will not generally detect smaller variations. To help mitigate this risk, our Metals segment adjusts its physical inventories when the volume of a commodity is low and a physical inventory can more accurately estimate the remaining volume.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Mining segment inventories are valued at the lower of cost or market. Cost includes all costs incurred in the normal course of business in bringing each product to its present location and condition, including direct materials and direct labor costs, and an allocation of production overheads based on normal production capacity. Cost is calculated using weighted average unit cost.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Long-lived assets such as property, plant, and equipment, and definite-lived intangible assets are recorded at cost or fair value established at acquisition, less accumulated depreciation or amortization, unless the expected future use of the assets indicate a lower value is appropriate. Long-lived asset groups are evaluated for impairment when impairment indicators exist. If the carrying value of a long-lived asset group is impaired, an impairment charge is recorded for the amount by which the carrying value of the long-lived asset group exceeds its fair value. Depreciation and amortization are computed principally by the straight-line method for financial reporting purposes.</w:t>
      </w:r>
    </w:p>
    <w:p>
      <w:pPr>
        <w:spacing w:after="0" w:line="80"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Land and construction in progress are stated at the lower of cost or net realizable value. Interest is capitalized on expenditures for long-term projects until a salable or ready-for-use condition is reached. The interest capitalization rate is based on the interest rate on specific borrowings to fund the projects.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337" w:right="25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The direct-expense method of accounting is used for planned major maintenance activities. Maintenance costs are recognized as expense when maintenance services are performed. Planned major maintenance activities for CVR Energy's nitrogen plant generally occur every two to three years. The required frequency of planned major maintenance activities varies by unit for the refineries, but generally is every four to five years.</w:t>
      </w:r>
    </w:p>
    <w:p>
      <w:pPr>
        <w:spacing w:after="0" w:line="39"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For the years ended December 31, 2018, 2017, and 2016, our Energy segment recorded an aggregate of $10 million, $83 million and $38 million, respectively, in turnaround expenses related to its refineries and nitrogen fertilizer plants.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costs of acquiring mineral reserves and resources for our Mining segment are capitalized in the consolidated balance sheets as incurred. Capitalized mineral reserves and mine development expenditures are, upon commencement of commercial production, depreciated using a unit of production method based on the estimated economically recoverable reserves to which they relate, or are written off if abandoned.</w:t>
      </w:r>
    </w:p>
    <w:p>
      <w:pPr>
        <w:spacing w:after="0" w:line="5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Exploration and evaluation expenditures relate to costs incurred in the exploration and evaluation of potential mineral reserves and include costs such as exploratory drilling, sample testing and the costs of feasibility studies. For our Mining segment, exploration and evaluation expenditures other than that acquired through the purchase of another mining company, are expensed as incurred. Purchased exploration and evaluation assets are recognized as assets at their cost of acquisition or at fair value if purchased as part of a business combination.</w:t>
      </w:r>
    </w:p>
    <w:p>
      <w:pPr>
        <w:spacing w:after="0" w:line="63"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Expenditures are transferred to mine development assets once the work completed supports the future development of the property, provided that technical feasibility and commercial viability studies have been successfully completed.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Goodwill and indefinite-lived intangible assets primarily include trademarks and brand names acquired in acquisitions. For a complete discussion of the impairment of goodwill and indefinite-lived intangible assets related to our various segments, see Note 8, “Goodwill and Intangible Assets, Net.”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Goodwill is determined as the excess of fair value over amounts attributable to specific tangible and intangible assets. Goodwill is reviewed for impairment annually, or more frequently if impairment indicators exist. An impairment exists when a reporting unit’s carrying value exceeds its fair value. When performing the goodwill impairment testing, a reporting units’ fair value is based on valuation techniques using the best available information, primarily discounted cash flows projections, guideline transaction multiples, and multiples of current and future earnings. The impairment charge, if any, is the excess of the tested reporting unit's carrying value over its fair value, limited to the total amount of goodwill allocated to the tested reporting unit.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Indefinite-lived intangible assets are stated at fair value established at acquisition or cost. These indefinite-lived intangible assets are reviewed for impairment annually, or more frequently if impairment indicators exist. An impairment exists when a trademark or brand names' carrying value exceeds its fair value. The fair values of these assets are based upon the prospective stream of hypothetical after-tax royalty cost savings discounted at rates that reflect the rates of return appropriate for these intangible assets. The impairment charge, if any, is the excess of the assets carrying value over its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 Plan Obligations</w:t>
      </w:r>
    </w:p>
    <w:p>
      <w:pPr>
        <w:spacing w:after="0" w:line="11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Post-retirement benefit liabilities were $77 million and $80 million as of December 31, 2018 and 2017, respectively, and are included in accrued expenses and other liabilities in our consolidated balance sheets.</w:t>
      </w:r>
    </w:p>
    <w:p>
      <w:pPr>
        <w:spacing w:after="0" w:line="62"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Appropriate actuarial methods and assumptions are used in accounting for defined benefit pension plans and other post-retirement benefit plans. These assumptions include long-term rate of return on plan assets, discount rates and other factors. Actual results that differ from the assumptions used are accumulated and amortized over future periods. Therefore, assumptions used to calculate benefit obligations as of the end of the year directly impact the expense to be recognized in future periods. The measurement date for all defined benefit plans is December 31 of each year.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337" w:right="27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Accumulated other comprehensive loss is included in the limited partners and general partner components of equity in the consolidated balance sheets in the amounts of $84 million and $1,384 million as of December 31, 2018 and 2017, respectively. Refer to Note 15, "Changes in Accumulated Other Comprehensive Loss," for further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Net Profits and Losses in Consolidated Affiliated Partnerships</w:t>
      </w:r>
    </w:p>
    <w:p>
      <w:pPr>
        <w:spacing w:after="0" w:line="117"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Net investment income and net realized and unrealized gains and losses on investments of the Investment Funds are allocated to the respective partners of the Investment Funds based on their percentage ownership in such Investment Funds on a monthly basis. Except for our limited partner interest, such allocations made to the limited partners of the Investment Funds are represented as non-controlling interests in our consolidated statements of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Partnership Interest of Icahn Enterprises and Icahn Enterprises Holdings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general partner's capital account generally consists of its cumulative share of our net income less cash distributions plus capital contributions. Additionally, in acquisitions of common control companies accounted for at historical cost similar to a pooling of interests, the general partner's capital account would be charged (or credited) in a manner similar to a distribution (or contribution) for the excess (or deficit) of the fair value of consideration paid over historical basis in the business acquired.</w:t>
      </w:r>
    </w:p>
    <w:p>
      <w:pPr>
        <w:spacing w:after="0" w:line="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Capital Accounts, as defined under the Partnership Agreement, are maintained for our general partner and our limited partners. The capital account provisions of our Partnership Agreement incorporate principles established for U.S. federal income tax purposes and are not comparable to the equity accounts reflected under U.S. GAAP in our consolidated financial statements. Under our Partnership Agreement, the general partner is required to make additional capital contributions to us upon the issuance of any additional depositary units in order to maintain a capital account balance equal to 1.99% (1% in the case of Icahn Enterprises Holdings) of the total capital accounts of all partners.</w:t>
      </w:r>
    </w:p>
    <w:p>
      <w:pPr>
        <w:spacing w:after="0" w:line="80"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Generally, net earnings for U.S. federal income tax purposes are allocated 1.99% (1% in the case of Icahn Enterprises Holdings) and 98.01% (99% in the case of Icahn Enterprises Holdings) between the general partner and the limited partners, respectively, in the same proportion as aggregate cash distributions made to the general partner and the limited partners during the period. This is generally consistent with the manner of allocating net income under our Partnership Agreement; however, it is not comparable to the allocation of net income reflected in our consolidated financial statements.</w:t>
      </w:r>
    </w:p>
    <w:p>
      <w:pPr>
        <w:spacing w:after="0" w:line="4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Pursuant to the Partnership Agreement, in the event of our dissolution, after satisfying our liabilities, our remaining assets would be divided among our limited partners and the general partner in accordance with their respective percentage interests under the Partnership Agreement. If a deficit balance still remains in the general partner's capital account after all allocations are made between the partners, the general partner would not be required to make whole any such deficit.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Income Per LP Unit</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For Icahn Enterprises, basic income (loss) per LP unit is based on net income or loss attributable to Icahn Enterprises allocated to limited partners. Net income or loss allocated to limited partners is divided by the weighted-average number of LP units outstanding. Diluted income (loss) per LP unit, when applicable, is based on basic income (loss) adjusted for the potential effect of dilutive securities as well as the related weighted-average number of units and equivalent units outstanding.</w:t>
      </w:r>
    </w:p>
    <w:p>
      <w:pPr>
        <w:spacing w:after="0" w:line="7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For accounting purposes, when applicable, earnings prior to dates of acquisitions of entities under common control are excluded from the computation of basic and diluted income per LP unit as such earnings are allocated to our general partner.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Except as described below, no provision has been made for federal, state, local or foreign income taxes on the results of operations generated by partnership activities, as such taxes are the responsibility of the partners. Provision has been made for federal, state, local or foreign income taxes on the results of operations generated by our corporate subsidiaries and these are reflected within continuing and discontinued operations.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Deferred tax assets are limited to amounts considered to be realizable in future periods. A valuation allowance is recorded against deferred tax assets if management does not believe that we have met the “more-likely-than-not” standard to allow recognition of such an asset.</w:t>
      </w:r>
    </w:p>
    <w:p>
      <w:pPr>
        <w:spacing w:after="0" w:line="3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U.S. GAAP provides that the tax effects from an uncertain tax position can be recognized in the financial statements only if the position is “more-likely-than-not”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percent likely to be recognized upon ultimate settlement with the taxing authority is recorded. See Note 14, “Income Taxes,”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 xml:space="preserve">As discussed below, on January 1, 2018, we adopted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Due to the nature of our business, we derive revenue from various sources in various industries. Investment segment and Holding Company revenues are not in scope of FASB ASC Topic 606. Real Estate leasing and Railcar leasing revenues are also not in scope of FASB ASC Topic 606. Revenue from contracts with customers are included in net sales and other revenues from operations in the consolidated statements of operations. Related contract assets are included in accounts receivable, net or other assets and related contract liabilities are included in accrued expenses and other liabilities in the consolidated balance sheets. Revenue from contracts with customers and related contract balances relate primarily to our Energy and Automotive segments. The following is a summary of our revenue recognition that is in scope of FASB ASC Topic 606. In addition, we present disaggregated revenue information in Note 12, "Segment and Geographic Reporting."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jc w:val="both"/>
        <w:ind w:right="60" w:firstLine="405"/>
        <w:spacing w:after="0" w:line="29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Energy segment revenues from the sale of petroleum products are recorded upon delivery of the products to customers, which is the point</w:t>
      </w:r>
      <w:r>
        <w:rPr>
          <w:rFonts w:ascii="Arial" w:cs="Arial" w:eastAsia="Arial" w:hAnsi="Arial"/>
          <w:sz w:val="16"/>
          <w:szCs w:val="16"/>
          <w:i w:val="1"/>
          <w:iCs w:val="1"/>
          <w:color w:val="auto"/>
        </w:rPr>
        <w:t xml:space="preserve"> </w:t>
      </w:r>
      <w:r>
        <w:rPr>
          <w:rFonts w:ascii="Arial" w:cs="Arial" w:eastAsia="Arial" w:hAnsi="Arial"/>
          <w:sz w:val="16"/>
          <w:szCs w:val="16"/>
          <w:color w:val="auto"/>
        </w:rPr>
        <w:t>at which title is transferred and the customer has assumed the risk of loss. This generally takes place as product passes into the pipeline, as a product transfer order occurs within a pipeline system, or as product enters equipment or locations supplied or designated by the customer. For our Energy segment's nitrogen fertilizer products sold, revenues are recorded at the point in time at which the customer obtains control of the product, which is generally upon delivery and acceptance by the customer. Nitrogen fertilizer products are sold on a wholesale basis under a contract or by purchase order. Excise and other taxes collected from customers and remitted to governmental authorities by our Energy segment are not included in reported revenues.</w:t>
      </w:r>
    </w:p>
    <w:p>
      <w:pPr>
        <w:spacing w:after="0" w:line="5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petroleum business' contracts with its customers state the terms of the sale, including the description, quantity, and price of each product sold. Depending on the product sold, payment from customers is generally due in full within 2 to 30 days of product delivery or invoice date. Many of the petroleum business' contracts have index-based pricing which is considered variable consideration that should be estimated in determining the transaction price. Our Energy segment determined that it does not need to estimate the variable consideration because the uncertainty related to the consideration is resolved on the pricing date or the date when the product is delivered. The nitrogen fertilizer business has an immaterial amount of variable consideration for contracts with an original duration of less than a year. A small portion of the nitrogen fertilizer partnership's revenue includes contracts extending beyond one year and contain variable pricing in which the majority of the variability is attributed to the market-based pricing. The nitrogen fertilizer business' contracts do not contain a significant financing component.</w:t>
      </w:r>
    </w:p>
    <w:p>
      <w:pPr>
        <w:spacing w:after="0" w:line="8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Energy segment generally provides no warranty other than the implicit promise that goods delivered are free of liens and encumbrances and meet the agreed upon specifications. In addition, product returns are very rare and are accounted for as they occur, however, contracts do include provisions which state that the petroleum business will except returns of off-spec product, refund the customer, provide on-spec product, and pay for damages to any customer equipment which resulted from off-spec product. Typically, if a customer is not satisfied with a product, the price is adjusted downward instead of the product being returned or exchanged.</w:t>
      </w:r>
    </w:p>
    <w:p>
      <w:pPr>
        <w:spacing w:after="0" w:line="8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December 31, 2018, our Energy segment had $11 million of remaining performance obligations for contracts within an original expected duration of more than one year. Our Energy segment expects to recognize approximately $5 million of these performance obligations as revenue by the end of 2019 and the remaining balance thereafter.</w:t>
      </w:r>
    </w:p>
    <w:p>
      <w:pPr>
        <w:spacing w:after="0" w:line="7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Our Energy segment's deferred revenue is a contract liability that primarily relates to fertilizer sales contracts requiring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7"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prepaid contract amounts. Contracts requiring prepayment are generally short-term in nature and, as discussed above, revenue is recognized at the point in time in which the customer obtains control of the product. Our Energy segment had deferred revenue of $69 million and $34 million as of December 31, 2018 and January 1, 2018 (the effective date of the adoption of FASB ASC Topic 606), respectively. Deferred revenue is included in accrued expense and other liabilities in the consolidated balance sheets. For the year ended December 31, 2018, our Energy segment recorded revenue of $34 million with respect to deferred revenue outstanding as of January 1,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Automotive segment recognizes revenue when it satisfies a performance obligation by transferring control over a product or service to a</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Our Automotive segment revenue from retail and commercial parts sales is measured based on consideration specified in a contract with a customer and excludes any sales incentives and amounts collected on behalf of third parties. Automotive service revenues are recognized on completion of the service and consist of products and the labor charged for installing products or maintaining or repairing vehicles. Automotive services labor revenues are included in other revenues from operations in our consolidated statements of operations, however, the sale of any installed parts or materials related to automotive services are included in net sales. Our Automotive segment recognizes revenues from extended warranties offered to its customers on tires its sells, including lifetime warranties for road hazard assistance (recognized over 3 years) and 1-year, 3-year and lifetime plans for alignments (recognized over 1 year, 3 years and 5 years, respectively), for which it receives payment upfront. Revenues from extended warranties are recognized over the term of the warranty contract with the satisfaction of its performance obligations measured using the output method. Our Automotive segment recognizes revenues from franchise fees, which it receives payment upfront, and franchise royalties, for which it receives payment over time. Revenues from upfront franchise fees are recognized at the time the store opens, as that is when our Automotive segment's performance obligations are deemed complete, and revenues from franchise royalties are recognized in the period in which royalties are earned, generally based on a percentage of franchise sales.</w:t>
      </w:r>
    </w:p>
    <w:p>
      <w:pPr>
        <w:spacing w:after="0" w:line="6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Our Automotive segment has deferred revenue with respect to extended warranty plans of $42 million and $42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and January 1, 2018, respectively, which are included in accrued expenses and other liabilities in our consolidated balance sheets. For the year ended December 31, 2018, our Automotive segment recorded revenue of $22 million with respect to deferred revenue outstanding as of January 1, 2018. For deferred revenue outstanding as of December 31, 2018, our Automotive segment expects to recognize approximately $22 million in 2019 and the remainder thereafter.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Our Food Packaging segment revenues are recognized at the time products are shipped to the customer, under F.O.B. shipping point or F.O.B. port terms, which is the point at which title is transferred, the customer has the assumed risk of loss, and payment has been received or collection is reasonably assumed. Revenues are net of discounts, rebates and allowances. Viskase records all labor, raw materials, in-bound freight, plant receiving and purchasing, warehousing, handling and distribution costs as a component of costs of goods sold.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Our Metals segment's primary source of revenue is from the sale of processed ferrous scrap metal, non-ferrous scrap metals, steel pipe and steel plate. PSC Metals also generates revenues from sales of secondary plate and pipe, the brokering of scrap metals and from services performed. All sales are recognized when title passes to the customer. Revenues from services are recognized as the service is performed. Sales adjustments related to price and weight differences are reflected as a reduction of revenues when settled.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Home Fashion segment records revenue upon delivery and when title is transferred and the customer has assumed the risk of loss. Unless otherwise agreed in writing, title and risk of loss pass from WPH to the customer when WPH delivers the merchandise to the designated point of delivery, to the designated point of destination or to the designated carrier, free on board. Provisions for certain rebates, sales incentives, product returns and discounts to customers are recorded in the same period the related revenue is recorded.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Mining segment recognizes revenue when title, ownership, and risk of loss pass to the customer, all of which occur upon shipment or delivery of the product and is based on the applicable shipping terms. Revenue is measured at the fair value of the consideration received or receivable, with any adjustments as a result of provisional pricing recorded against revenue.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337"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 and Expense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Revenue from real estate sales and related costs are recognized at the time of closing primarily by specific identification.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the property comprising our net lease portfolio is leased to others under long-term net leases and we account for these leases in accordance with applicable U.S. GAAP. We account for our leases as follows: (i) under the financing method, (x) minimum lease payments to be received plus the estimated value of the property at the end of the lease are considered the gross investment in the lease and (y) unearned income, representing the difference between gross investment and actual cost of the leased property, is amortized to income over the lease term so as to produce a constant periodic rate of return on the net investment in the lease; and (ii) under the operating method, revenue is recognized as rentals become due, and expenses (including depreciation) are charged to operations as incurred.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Revenues from railcar leasing are generated from operating leases that are priced as an integrated service that includes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executory costs, such as certain maintenance, insurance, and ad valorem taxes and are recognized on a straight-line basis per terms of the underlying lease. If railcars are sold under a lease that is less than one year old, the proceeds from the railcars sold that were on lease will be shown on a gross basis in revenues and cost of revenues at the time of sale. Sales of leased railcars that have been on lease for more than one year are recognized as a net gain or loss from the disposal of the long-term asset as a component of earnings from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Shipping Costs: </w:t>
      </w:r>
      <w:r>
        <w:rPr>
          <w:rFonts w:ascii="Arial" w:cs="Arial" w:eastAsia="Arial" w:hAnsi="Arial"/>
          <w:sz w:val="18"/>
          <w:szCs w:val="18"/>
          <w:color w:val="auto"/>
        </w:rPr>
        <w:t>Our Energy segment's pass-through finished goods delivery costs reimbursed by customers are reported in net sales, while an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is included in cost of goods sold.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i w:val="1"/>
          <w:iCs w:val="1"/>
          <w:color w:val="auto"/>
        </w:rPr>
        <w:t xml:space="preserve">Shipping Costs: </w:t>
      </w:r>
      <w:r>
        <w:rPr>
          <w:rFonts w:ascii="Arial" w:cs="Arial" w:eastAsia="Arial" w:hAnsi="Arial"/>
          <w:sz w:val="18"/>
          <w:szCs w:val="18"/>
          <w:color w:val="auto"/>
        </w:rPr>
        <w:t>Our Automotive segment recognizes shipping and handling costs as incurred and is included in selling, general and administrative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statements of operations for its commercial and retail parts businesses.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117"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We recognize environmental liabilities when a loss is probable and reasonably estimable. Estimates of these costs are based upon currently available facts, internal and third-party assessments of contamination, available remediation technology, site-specific costs, and currently enacted laws and regulations. In reporting environmental liabilities, no offset is made for potential recoveries. Loss contingency accruals, including those for environmental remediation, are subject to revision as further information develops or circumstances change, and such accruals can take into account the legal liability of other parties. Environmental expenditures are capitalized at the time of the expenditure when such costs provide future economic benefits.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On an ongoing basis, we assess the potential liabilities related to any lawsuits or claims brought against us. While it is typically very difficult to determine the timing and ultimate outcome of such actions, we use our best judgment to determine if it is probable that we will incur an expense related to the settlement or final adjudication of such matters and whether a reasonable estimation of such probable loss, if any, can be made. In assessing probable losses, we make estimates of the amount of insurance recoveries, if any. We accrue a liability when we believe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we have previously made.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Exchange adjustments related to international currency transactions and translation adjustments for international subsidiaries whose functional currency is the U.S. dollar (principally those located in highly inflationary economies) are reflected in the consolidated statements of operations. Translation adjustments of international subsidiaries for which the local currency is the functional currency are reflected in the consolidated balance sheets as a component of accumulated other comprehensive income. Deferred taxes are not provided on translation adjustments, other than for intercompany loans not designated as permanently reinvested, as the earnings of the subsidiaries are considered to be permanently reinvested.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7"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Concentrations of credit risk relate primarily to derivative instruments from our Investment segment. See Note 6, “Financial Instruments,” for further discussion.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Accounting Standards Updates</w:t>
      </w:r>
    </w:p>
    <w:p>
      <w:pPr>
        <w:spacing w:after="0" w:line="117"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 xml:space="preserve">In May 2014, the FASB issued ASU No. 2014-09, creating a new topic,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superseding revenue recognition requirements in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 fiscal years, and interim reporting periods within those years, beginning after December 15, 2017, using one of two retrospective application methods. In addition, the FASB issued other amendments during 2016 and 2017 to FASB ASC Topic 606 that include implementation guidance to principal versus agent considerations, guidance to identifying performance obligations and licensing guidance and other narrow scope improvements. We adopted these new standards on January 1, 2018 using the modified retrospective application method which required a cumulative effect adjustment recognized in equity at such date. The standard has been applied to all contracts at the date of initial application. No adjustment to revenue for periods prior to adoption were required. We have not identified any material differences in our revenue recognition methods that required modification under the new standards. Additionally, our internal control framework did not materially change as a result of the adoption of these new standards. The impact of adopting these new standards on our consolidated financial statements is a cumulative effect adjustment to decrease our equity attributable to Icahn Enterprises and Icahn Enterprises Holdings as of January 1, 2018 by $29 million, primarily relating to our Automotive segment.</w:t>
      </w:r>
    </w:p>
    <w:p>
      <w:pPr>
        <w:spacing w:after="0" w:line="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January 1, 2018, our Energy segment increased each of accounts receivable, net and accrued expenses and other liabilities by $21 million for customer prepayments prior to delivery and to gross up certain fees collected from customers to reflect a receivable and deferred revenue recorded at the point in time in which a prepaid contract is legally enforceable and the associated right to consideration is unconditional. Previously, deferred revenue was recorded by our Energy segment upon customer prepayment.</w:t>
      </w:r>
    </w:p>
    <w:p>
      <w:pPr>
        <w:spacing w:after="0" w:line="7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As of January 1, 2018, our Automotive segment increased accrued expenses and other liabilities by $42 million and decreased deferred tax liabilities by $10 million for certain extended warranties to reflect the revenues from these plans as deferred revenue. Previously, revenues from these plans were recognized upfront. Our Automotive segment also recognizes revenue from the sale of goods on a drop ship basis. Previously, revenues from these transactions were recognized gross. For the year ended December 31, 2018, net sales and cost of goods sold would have been higher by $62 million and $62 million, respectively, under prior accounting principles.</w:t>
      </w:r>
    </w:p>
    <w:p>
      <w:pPr>
        <w:spacing w:after="0" w:line="80"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In addition to the above, we increased assets by an aggregate of $32 million and increased liabilities by $29 million as of January 1, 2018, primarily with respect to Federal-Mogul's asset and liabilities classified as held for sale. For the year ended December 31, 2018, the impact on revenues would have been immaterial under prior accounting principles.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Accounting Standards Updates</w:t>
      </w:r>
    </w:p>
    <w:p>
      <w:pPr>
        <w:spacing w:after="0" w:line="117"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xml:space="preserve">, which amends FASB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This ASU requires that equity investments (except those accounted for under the equity method of accounting or those that result in the consolidation of the investee) to be measured at fair value with changes recognized in earnings. However, an entity may choose to measure equity investments that do not have readily determinable fair values at cost minus impairment. In addition, there were other amendments to certain disclosure and presentation matters pertaining to financial instruments, including the requirement of an entity to use the exit price notion when measuring the fair value of financial instruments for disclosure purposes. This ASU is effective for fiscal years beginning after December 15, 2017, including interim periods within those fiscal years. We adopted this new standard on January 1, 2018 using the modified retrospective application method which required a cumulative effect adjustment recognized in equity at such date. The amendments related to equity securities without readily determinable fair values were applied prospectively to equity investments that existed as of the date of adoption. The adoption of this standard did not have a material impact on our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7"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Classification of Certain Cash Receipts and Cash Payment</w:t>
      </w:r>
      <w:r>
        <w:rPr>
          <w:rFonts w:ascii="Arial" w:cs="Arial" w:eastAsia="Arial" w:hAnsi="Arial"/>
          <w:sz w:val="18"/>
          <w:szCs w:val="18"/>
          <w:color w:val="auto"/>
        </w:rPr>
        <w:t xml:space="preserve">s, which amends FASB ASC Topic 230, </w:t>
      </w: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This ASU seeks to reduce the diversity currently in practice by providing guidance on the presentation of eight specific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issues in the statement of cash flows. This ASU is effective for fiscal years beginning after December 15, 2017, and interim periods within those fiscal years. We adopted this standard on January 1, 2018 using the retrospective application method. The adoption of this standard did not have a material impact on our consolidated statements of cash flows.</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which amends FASB ASC Topic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 This ASU requires that the statement of cash flows explain the change during the period total cash, cash equivalents, and amounts generally described as restricted cash or restricted cash equivalents. This ASU is effective for fiscal years beginning after December 15, 2017, and interim periods within those fiscal years. We have adopted this standard on January 1, 2018 using the retrospective application method. The impact of adopting this new standard is discussed above under "Reclassifications."</w:t>
      </w:r>
    </w:p>
    <w:p>
      <w:pPr>
        <w:spacing w:after="0" w:line="8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Cost</w:t>
      </w:r>
      <w:r>
        <w:rPr>
          <w:rFonts w:ascii="Arial" w:cs="Arial" w:eastAsia="Arial" w:hAnsi="Arial"/>
          <w:sz w:val="18"/>
          <w:szCs w:val="18"/>
          <w:color w:val="auto"/>
        </w:rPr>
        <w:t>, which amends FASB ASC Topic 715,</w:t>
      </w:r>
      <w:r>
        <w:rPr>
          <w:rFonts w:ascii="Arial" w:cs="Arial" w:eastAsia="Arial" w:hAnsi="Arial"/>
          <w:sz w:val="18"/>
          <w:szCs w:val="18"/>
          <w:i w:val="1"/>
          <w:iCs w:val="1"/>
          <w:color w:val="auto"/>
        </w:rPr>
        <w:t xml:space="preserve"> Compensation - Retirement Benefits</w:t>
      </w:r>
      <w:r>
        <w:rPr>
          <w:rFonts w:ascii="Arial" w:cs="Arial" w:eastAsia="Arial" w:hAnsi="Arial"/>
          <w:sz w:val="18"/>
          <w:szCs w:val="18"/>
          <w:color w:val="auto"/>
        </w:rPr>
        <w:t>. This ASU requires entities to present the service cost component of net</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 benefit cost in the same line item or items in the financial statements as other compensation costs arising from services rendered by the pertinent employees during the period. This ASU is effective for fiscal years beginning after December 15, 2017, and interim periods within those fiscal years. We adopted this standard on January 1, 2018 using the retrospective application method. The impact of adopting this new standard is discussed above under "Reclassifications."</w:t>
      </w:r>
    </w:p>
    <w:p>
      <w:pPr>
        <w:spacing w:after="0" w:line="8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xml:space="preserve">, which amends FASB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This ASU provides updated guidance about which changes to the terms and conditions of a share-based payment award require an entity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in Topic 718. This ASU is effective for fiscal years beginning after December 15, 2017, and interim periods within those fiscal years. We adopted this standard on January 1, 2018 which has been applied prospectively and which did not have a material impact on our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FASB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This ASU requires the recognition of right-of-use assets and lease liabilities by lessees for those leases classified as operating leases under previous guidance. In addition, among other changes to the accounting for leases, this ASU retains the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guidance. Furthermore, quantification and qualitative disclosures, including disclosures regarding significant judgments made by management, will be required. This ASU is effective for fiscal years beginning after December 15, 2018, including interim periods within those fiscal years. The amendments in this ASU should be applied using a modified retrospective approach. Early application is permitted. In addition, in July 2018, the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provides an additional (and optional) transition method to adopt the new leases standard. We have developed an implementation plan to adopt the new leases standard using the new transition method option effective January 1, 2019, which will require adopting the new leases standard at the adoption date and recognizing a cumulative-effect adjustment to the opening balance of equity in the period of adoption instead of the earliest period presented. In addition, prior period presentation and disclosure will not be adjusted after adoption. The most significant impact will relate to the recognition of right-of-use assets and lease liabilities on our consolidated balance sheets for long-term operating leases with the significant majority of the impact within our Automotive segment. Our Automotive segment has identified approximately 2,300 leases, primarily for real estate, and estimates recognizing right-of-use assets of $639 million and related liabilities of $674 million as of January 1, 2019. Our Energy segment estimates recognizing right-of-use assets and liabilities of $53 million, in addition to the recognition of finance lease assets and obligations of $26 million, as of January 1, 2019. The aggregate impact of all other segments is not material.</w:t>
      </w:r>
    </w:p>
    <w:p>
      <w:pPr>
        <w:spacing w:after="0" w:line="70"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amends FASB ASC Topic 326, </w:t>
      </w:r>
      <w:r>
        <w:rPr>
          <w:rFonts w:ascii="Arial" w:cs="Arial" w:eastAsia="Arial" w:hAnsi="Arial"/>
          <w:sz w:val="18"/>
          <w:szCs w:val="18"/>
          <w:i w:val="1"/>
          <w:iCs w:val="1"/>
          <w:color w:val="auto"/>
        </w:rPr>
        <w:t xml:space="preserve">Financial Instruments - Credit Losses. </w:t>
      </w:r>
      <w:r>
        <w:rPr>
          <w:rFonts w:ascii="Arial" w:cs="Arial" w:eastAsia="Arial" w:hAnsi="Arial"/>
          <w:sz w:val="18"/>
          <w:szCs w:val="18"/>
          <w:color w:val="auto"/>
        </w:rPr>
        <w:t>This ASU requires financial assets measured at amortized cost to be presented at the net amount to be collected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broadens the information, including forecasted information incorporating more timely information, that an entity must consider in developing its expected credit loss estimate for assets measured. This ASU is effective for fiscal years beginning after December 15, 2019, including interim periods within those fiscal years. Early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337"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application is permitted for fiscal years beginning after December 15, 2018. We are currently evaluating the impact of this standard on our consolidated financial statements.</w:t>
      </w:r>
    </w:p>
    <w:p>
      <w:pPr>
        <w:spacing w:after="0" w:line="62"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xml:space="preserve">, which amends FASB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This ASU includes amendments to existing guidance to better align an entity’s risk management activities and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hedging relationships through changes to both the designation and measurement guidance for qualifying hedging relationships and the presentation of hedge results. This ASU is effective for fiscal years beginning after December 15, 2018, and interim periods within those fiscal years. Early adoption is permitted. We are currently evaluating the impact of this standard on our consolidated financial statements.</w:t>
      </w:r>
    </w:p>
    <w:p>
      <w:pPr>
        <w:spacing w:after="0" w:line="64" w:lineRule="exact"/>
        <w:rPr>
          <w:sz w:val="20"/>
          <w:szCs w:val="20"/>
          <w:color w:val="auto"/>
        </w:rPr>
      </w:pPr>
    </w:p>
    <w:p>
      <w:pPr>
        <w:ind w:right="240" w:firstLine="405"/>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which amends FASB ASC Topic 220,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This ASU allows a reclassification out of accumulated other comprehensive loss within equity for standard tax effects resulting from the Tax Cuts and Jobs Act and consequently, eliminates the stranded tax effects resulting from the Tax Cuts and Jobs Act. This ASU is effective for fiscal years beginning after December 15, 2018, and interim periods within those fiscal years. Early adoption is permitted. We are currently evaluating the impact of this standard on our consolidated financial statements.</w:t>
      </w:r>
    </w:p>
    <w:p>
      <w:pPr>
        <w:spacing w:after="0" w:line="5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Framework-Changes to the Disclosure Requirements for Fair Value Measurements</w:t>
      </w:r>
      <w:r>
        <w:rPr>
          <w:rFonts w:ascii="Arial" w:cs="Arial" w:eastAsia="Arial" w:hAnsi="Arial"/>
          <w:sz w:val="18"/>
          <w:szCs w:val="18"/>
          <w:color w:val="auto"/>
        </w:rPr>
        <w:t xml:space="preserve">, which amends FASB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ASU eliminates, modifies and adds various disclosure requirements on fair value measurements. This ASU is effective for fiscal years beginning after December 15, 2019, and interim periods within those fiscal years. Certain disclosures are required to be applied using a retrospective approach and others using a prospective approach. Early adoption is permitted. We are currently evaluating the impact of this standard on our consolidated financial statements.</w:t>
      </w:r>
    </w:p>
    <w:p>
      <w:pPr>
        <w:spacing w:after="0" w:line="8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 That is</w:t>
      </w:r>
      <w:r>
        <w:rPr>
          <w:rFonts w:ascii="Arial" w:cs="Arial" w:eastAsia="Arial" w:hAnsi="Arial"/>
          <w:sz w:val="18"/>
          <w:szCs w:val="18"/>
          <w:color w:val="auto"/>
        </w:rPr>
        <w:t xml:space="preserve"> </w:t>
      </w:r>
      <w:r>
        <w:rPr>
          <w:rFonts w:ascii="Arial" w:cs="Arial" w:eastAsia="Arial" w:hAnsi="Arial"/>
          <w:sz w:val="18"/>
          <w:szCs w:val="18"/>
          <w:i w:val="1"/>
          <w:iCs w:val="1"/>
          <w:color w:val="auto"/>
        </w:rPr>
        <w:t>a Service Contract</w:t>
      </w:r>
      <w:r>
        <w:rPr>
          <w:rFonts w:ascii="Arial" w:cs="Arial" w:eastAsia="Arial" w:hAnsi="Arial"/>
          <w:sz w:val="18"/>
          <w:szCs w:val="18"/>
          <w:color w:val="auto"/>
        </w:rPr>
        <w:t>, which amends FASB ASC Subtopic 350-40,</w:t>
      </w:r>
      <w:r>
        <w:rPr>
          <w:rFonts w:ascii="Arial" w:cs="Arial" w:eastAsia="Arial" w:hAnsi="Arial"/>
          <w:sz w:val="18"/>
          <w:szCs w:val="18"/>
          <w:i w:val="1"/>
          <w:iCs w:val="1"/>
          <w:color w:val="auto"/>
        </w:rPr>
        <w:t xml:space="preserve"> Intangibles-Goodwill and Other-Internal-Use Software</w:t>
      </w:r>
      <w:r>
        <w:rPr>
          <w:rFonts w:ascii="Arial" w:cs="Arial" w:eastAsia="Arial" w:hAnsi="Arial"/>
          <w:sz w:val="18"/>
          <w:szCs w:val="18"/>
          <w:color w:val="auto"/>
        </w:rPr>
        <w:t>. This ASU adds certain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related to implementation costs incurred for internal-use software and cloud computing arrangements. The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fiscal years beginning after December 15, 2019, and interim periods within those fiscal years. The amendments in this ASU should be applied either using a retrospective or prospective approach. Early adoption is permitted. We are currently evaluating the impact of this standard on our consolidated financial statements.</w:t>
      </w:r>
    </w:p>
    <w:p>
      <w:pPr>
        <w:spacing w:after="0" w:line="188"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Funds</w:t>
      </w:r>
    </w:p>
    <w:p>
      <w:pPr>
        <w:spacing w:after="0" w:line="117"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During the years ended December 31, 2018, 2017 and 2016, Mr. Icahn and his affiliates (excluding us) invested $310 million, $600 million and $498 million, respectively, in the Investment Funds, net of redemptions. As of December 31, 2018 and 2017, the total fair market value of investments in the Investment Funds made by Mr. Icahn and his affiliates (excluding us) was approximately $5.0 billion and $4.4 billion, respectively, representing approximately 50% and 59% of the Investment Funds' assets under management as of each respective date.</w:t>
      </w:r>
    </w:p>
    <w:p>
      <w:pPr>
        <w:spacing w:after="0" w:line="6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years ended December 31, 2018, 2017 and 2016, $12 million, $13 million and $34 million, respectively, was allocated to the Investment Funds based on this expense-sharing arrangement.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Hertz Global Holdings, Inc.</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discussed in Note 4, "Investments and Related Matters," the Investment Funds have an investment in the common stock of Hertz Global Holdings, Inc. ("Hertz") measured at fair value that would have otherwise been subject to the equity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37"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method of accounting. Icahn Automotive provides services to Hertz in the ordinary course of business. For the years ended December 31, 2018, 2017 and 2016, revenue from Hertz was $40 million, $17 million and $3 million, respectively. Additionally, Federal-Mogul had payments to Hertz in the ordinary course of business of $1 million, $2 million and $2 million for the years ended December 31, 2018, 2017 and 2016, respectively.</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year ended December 31, 2018, the Investment Funds purchased shares of a certain investment from Hertz in the amount of $36 million.</w:t>
      </w:r>
    </w:p>
    <w:p>
      <w:pPr>
        <w:spacing w:after="0" w:line="140" w:lineRule="exact"/>
        <w:rPr>
          <w:sz w:val="20"/>
          <w:szCs w:val="20"/>
          <w:color w:val="auto"/>
        </w:rPr>
      </w:pPr>
    </w:p>
    <w:p>
      <w:pPr>
        <w:ind w:firstLine="405"/>
        <w:spacing w:after="0" w:line="283" w:lineRule="auto"/>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 Lease and Management Agreement with Hertz, pursuant to which Hertz granted 767 Auto Leasing LLC ("767 Leasing"), a joint venture created to purchase vehicles for lease, the option to acquire certain vehicles from Hertz at rates aligned with the rates at which Hertz sells vehicles to third parties. Under this agreement,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has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Our exposure to loss with respect to</w:t>
      </w:r>
    </w:p>
    <w:p>
      <w:pPr>
        <w:spacing w:after="0" w:line="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767 Leasing is primarily limited to our direct investment in 767 Leasing as well as any payment obligations of 767 Leasing that we guarantee, which are not material at December 31, 2018. As of December 31, 2018, 767 Leasing had assets of $60 million, primarily vehicles for lease, and liabilities of $1 million, which represents a payable to Icahn Automotive in connection with a shared services agreement. For the year ended December 31, 2018, our Automotive segment invested $60 million in 767 Leasing. As of December 31, 2018, our Automotive segment had an equity method investment in 767 Leasing of $59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Railcar Leasing, LLC</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February 29, 2016, Icahn Enterprises entered into a contribution agreement with an affiliate of Mr. Icahn to acquire the remaining 25% economic interest in ARL not already owned by us. Pursuant to this contribution agreement, we contributed 685,367 newly issued depositary units of Icahn Enterprises with a fair value of $35 million to such affiliate in exchange for the remaining 25% economic interest in ARL. As a result of the transaction, we owned a 100% economic interest in ARL. This transaction was authorized by the independent committee of the board of directors of the general partner of Icahn Enterprises. The independent committee was advised by independent counsel and retained an independent financial advisor which rendered a fairness opinion.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ACF Industries LLC</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Our Railcar operations, prior to December 5, 2018 (the date we closed on the sale of ARI), had certain transactions with ACF Industries LLC ("ACF"), an affiliate of Mr. Icahn, under various agreements, as well as on a purchase order basis. ACF is a manufacturer and fabricator of specialty railcar parts and miscellaneous steel products. Agreements and transactions with ACF include the following:</w:t>
      </w:r>
    </w:p>
    <w:p>
      <w:pPr>
        <w:spacing w:after="0" w:line="100" w:lineRule="exact"/>
        <w:rPr>
          <w:sz w:val="20"/>
          <w:szCs w:val="20"/>
          <w:color w:val="auto"/>
        </w:rPr>
      </w:pPr>
    </w:p>
    <w:p>
      <w:pPr>
        <w:ind w:left="720" w:hanging="30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Railcar component purchases from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Railcar parts purchases from and sales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Railcar purchasing and engineering services agreement with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Lease of certain intellectual property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Railcar repair services and support for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Railcar purchases from ACF (prior to June 1, 2017)</w:t>
      </w:r>
    </w:p>
    <w:p>
      <w:pPr>
        <w:spacing w:after="0" w:line="13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Purchases from ACF were $3 million, $6 million and $21 million for the years ended December 31, 2018, 2017 and 2016, respectively. For the years ended December 31, 2018, 2017 and 2016, revenues from ACF were $6 million, $1 million and $1 million,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7"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CVR Energy, Viskase, PSC Metals, WPH, Federal-Mogul (prior to October 1, 2018), ARI (prior to December 5, 2018), ARL (prior to June 1, 2017) and Tropicana (prior to October 1, 2018)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For the years ended December 31, 2018, 2017 and 2016, we and certain of our subsidiaries paid certain of the Insight Portfolio Group's operating expenses of $4 million, $2 million and $2 million, respectively.</w:t>
      </w:r>
    </w:p>
    <w:p>
      <w:pPr>
        <w:spacing w:after="0" w:line="16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900" w:type="dxa"/>
            <w:vAlign w:val="bottom"/>
            <w:gridSpan w:val="2"/>
          </w:tcPr>
          <w:p>
            <w:pPr>
              <w:spacing w:after="0"/>
              <w:rPr>
                <w:sz w:val="2"/>
                <w:szCs w:val="2"/>
                <w:color w:val="auto"/>
              </w:rPr>
            </w:pPr>
          </w:p>
        </w:tc>
        <w:tc>
          <w:tcPr>
            <w:tcW w:w="188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4540" w:type="dxa"/>
            <w:vAlign w:val="bottom"/>
          </w:tcPr>
          <w:p>
            <w:pPr>
              <w:jc w:val="right"/>
              <w:ind w:right="373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4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160"/>
              <w:spacing w:after="0"/>
              <w:rPr>
                <w:sz w:val="20"/>
                <w:szCs w:val="20"/>
                <w:color w:val="auto"/>
              </w:rPr>
            </w:pPr>
            <w:r>
              <w:rPr>
                <w:rFonts w:ascii="Arial" w:cs="Arial" w:eastAsia="Arial" w:hAnsi="Arial"/>
                <w:sz w:val="18"/>
                <w:szCs w:val="18"/>
                <w:color w:val="auto"/>
              </w:rPr>
              <w:t>Equity securities:</w:t>
            </w:r>
          </w:p>
        </w:tc>
        <w:tc>
          <w:tcPr>
            <w:tcW w:w="4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 materials</w:t>
            </w:r>
          </w:p>
        </w:tc>
        <w:tc>
          <w:tcPr>
            <w:tcW w:w="49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Financial</w:t>
            </w:r>
          </w:p>
        </w:tc>
        <w:tc>
          <w:tcPr>
            <w:tcW w:w="4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Technology</w:t>
            </w:r>
          </w:p>
        </w:tc>
        <w:tc>
          <w:tcPr>
            <w:tcW w:w="4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6,686</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45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6,867</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45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6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2"/>
            <w:shd w:val="clear" w:color="auto" w:fill="CCEEFF"/>
          </w:tcPr>
          <w:p>
            <w:pPr>
              <w:jc w:val="right"/>
              <w:ind w:right="393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w w:val="93"/>
              </w:rPr>
              <w:t>Securities sold, not yet purchased, at fair value:</w:t>
            </w:r>
          </w:p>
        </w:tc>
        <w:tc>
          <w:tcPr>
            <w:tcW w:w="4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4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9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Industrial</w:t>
            </w:r>
          </w:p>
        </w:tc>
        <w:tc>
          <w:tcPr>
            <w:tcW w:w="45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45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vMerge w:val="restart"/>
          </w:tcPr>
          <w:p>
            <w:pPr>
              <w:jc w:val="right"/>
              <w:ind w:right="2230"/>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5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6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portion of unrealized (losses) gains that relates to securities still held by our Investment segment, primarily equity securities, was $(800) million, $1,413 million and $340 million for the years ended December 31, 2018, 2017 and 2016, respectively.</w:t>
      </w:r>
    </w:p>
    <w:p>
      <w:pPr>
        <w:spacing w:after="0" w:line="62" w:lineRule="exact"/>
        <w:rPr>
          <w:sz w:val="20"/>
          <w:szCs w:val="20"/>
          <w:color w:val="auto"/>
        </w:rPr>
      </w:pPr>
    </w:p>
    <w:p>
      <w:pPr>
        <w:ind w:right="320" w:firstLine="378"/>
        <w:spacing w:after="0" w:line="259" w:lineRule="auto"/>
        <w:rPr>
          <w:sz w:val="20"/>
          <w:szCs w:val="20"/>
          <w:color w:val="auto"/>
        </w:rPr>
      </w:pPr>
      <w:r>
        <w:rPr>
          <w:rFonts w:ascii="Arial" w:cs="Arial" w:eastAsia="Arial" w:hAnsi="Arial"/>
          <w:sz w:val="18"/>
          <w:szCs w:val="18"/>
          <w:color w:val="auto"/>
        </w:rPr>
        <w:t>As of December 31, 2018, the Investment Funds owned approximately 27.9% of the outstanding common stock of Hertz. Our Investment segment recorded net (losses) gains of $(197) million, $13 million and $(389) million for the years ended December 31, 2018, 2017 and 2016, respectively, with respect to its investment in Hertz. As of December 31, 2018 and 2017, the aggregate fair value of our Investment segment's investment in Hertz was $320 million and $517 million, respectively.</w:t>
      </w:r>
    </w:p>
    <w:p>
      <w:pPr>
        <w:spacing w:after="0" w:line="79"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The Investment Funds also owned approximately 18.1% of the outstanding common stock of Herbalife Ltd. ("Herbalife") as of December 31, 2018. We are deemed to have significant influence with respect to our investment in Herbalife after considering the collective ownership in Herbalife by us and affiliates of Mr. Icahn, as well as our collective representation on the board of directors of Herbalife. Our Investment segment recorded net gains (losses) of $864 million, $357 million and $(113) million for the years ended December 31, 2018, 2017 and 2016, respectively, with respect to its investment in Herbalife. As of December 31, 2018 and 2017, the aggregate fair value of our Investment segment's investment in Herbalife was approximately $1.7 billion and $1.2 billion, respectively.</w:t>
      </w:r>
    </w:p>
    <w:p>
      <w:pPr>
        <w:spacing w:after="0" w:line="85" w:lineRule="exact"/>
        <w:rPr>
          <w:sz w:val="20"/>
          <w:szCs w:val="20"/>
          <w:color w:val="auto"/>
        </w:rPr>
      </w:pPr>
    </w:p>
    <w:p>
      <w:pPr>
        <w:ind w:right="280" w:firstLine="405"/>
        <w:spacing w:after="0" w:line="375" w:lineRule="auto"/>
        <w:rPr>
          <w:sz w:val="20"/>
          <w:szCs w:val="20"/>
          <w:color w:val="auto"/>
        </w:rPr>
      </w:pPr>
      <w:r>
        <w:rPr>
          <w:rFonts w:ascii="Arial" w:cs="Arial" w:eastAsia="Arial" w:hAnsi="Arial"/>
          <w:sz w:val="18"/>
          <w:szCs w:val="18"/>
          <w:color w:val="auto"/>
        </w:rPr>
        <w:t xml:space="preserve">Herbalife and Hertz each file annual, quarterly and current reports and proxy and information statements with the SEC, which are publicly available. </w:t>
      </w:r>
      <w:r>
        <w:rPr>
          <w:rFonts w:ascii="Arial" w:cs="Arial" w:eastAsia="Arial" w:hAnsi="Arial"/>
          <w:sz w:val="18"/>
          <w:szCs w:val="18"/>
          <w:b w:val="1"/>
          <w:bCs w:val="1"/>
          <w:i w:val="1"/>
          <w:iCs w:val="1"/>
          <w:color w:val="auto"/>
        </w:rPr>
        <w:t>Other Segments and Holding Company</w:t>
      </w:r>
    </w:p>
    <w:p>
      <w:pPr>
        <w:spacing w:after="0" w:line="1"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With the exception of certain equity method investments at our operating subsidiaries, our investments are measured at fair value in our consolidated balance sheets. The carrying value of investments held by our Other segments and our Holding Company consist of the following: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112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7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80" w:firstLine="405"/>
        <w:spacing w:after="0" w:line="277" w:lineRule="auto"/>
        <w:rPr>
          <w:sz w:val="20"/>
          <w:szCs w:val="20"/>
          <w:color w:val="auto"/>
        </w:rPr>
      </w:pPr>
      <w:r>
        <w:rPr>
          <w:rFonts w:ascii="Arial" w:cs="Arial" w:eastAsia="Arial" w:hAnsi="Arial"/>
          <w:sz w:val="18"/>
          <w:szCs w:val="18"/>
          <w:color w:val="auto"/>
        </w:rPr>
        <w:t>The portion of unrealized (losses) gains that relates to equity securities still held by our Other segments and Holding Company was $(339) million, $67 million and $0 million for the years ended December 31, 2018, 2017 and 2016, respectively.</w:t>
      </w:r>
    </w:p>
    <w:p>
      <w:pPr>
        <w:spacing w:after="0" w:line="16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1 - Quoted prices are available in active markets for identical investments and non-financial assets and/or liabilities as of the reporting date.</w:t>
      </w:r>
    </w:p>
    <w:p>
      <w:pPr>
        <w:spacing w:after="0" w:line="129" w:lineRule="exact"/>
        <w:rPr>
          <w:sz w:val="20"/>
          <w:szCs w:val="20"/>
          <w:color w:val="auto"/>
        </w:rPr>
      </w:pPr>
    </w:p>
    <w:p>
      <w:pPr>
        <w:jc w:val="both"/>
        <w:ind w:left="420" w:right="20"/>
        <w:spacing w:after="0" w:line="31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39" w:lineRule="exact"/>
        <w:rPr>
          <w:sz w:val="20"/>
          <w:szCs w:val="20"/>
          <w:color w:val="auto"/>
        </w:rPr>
      </w:pPr>
    </w:p>
    <w:p>
      <w:pPr>
        <w:ind w:left="420" w:right="120"/>
        <w:spacing w:after="0" w:line="264"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337"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comparable market transactions and other valuation methodologies, adjusted as appropriate for liquidity, credit, market and/or other risk factors.</w:t>
      </w:r>
    </w:p>
    <w:p>
      <w:pPr>
        <w:spacing w:after="0" w:line="1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valuation of our assets and liabilities by the above fair value hierarchy levels measured on a recurring basis: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3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9,920</w:t>
            </w:r>
          </w:p>
        </w:tc>
        <w:tc>
          <w:tcPr>
            <w:tcW w:w="0" w:type="dxa"/>
            <w:vAlign w:val="bottom"/>
          </w:tcPr>
          <w:p>
            <w:pPr>
              <w:spacing w:after="0"/>
              <w:rPr>
                <w:sz w:val="1"/>
                <w:szCs w:val="1"/>
                <w:color w:val="auto"/>
              </w:rPr>
            </w:pPr>
          </w:p>
        </w:tc>
      </w:tr>
      <w:tr>
        <w:trPr>
          <w:trHeight w:val="270"/>
        </w:trPr>
        <w:tc>
          <w:tcPr>
            <w:tcW w:w="3320" w:type="dxa"/>
            <w:vAlign w:val="bottom"/>
          </w:tcPr>
          <w:p>
            <w:pPr>
              <w:ind w:left="20"/>
              <w:spacing w:after="0" w:line="270" w:lineRule="exact"/>
              <w:rPr>
                <w:sz w:val="20"/>
                <w:szCs w:val="20"/>
                <w:color w:val="auto"/>
              </w:rPr>
            </w:pPr>
            <w:r>
              <w:rPr>
                <w:rFonts w:ascii="Arial" w:cs="Arial" w:eastAsia="Arial" w:hAnsi="Arial"/>
                <w:sz w:val="18"/>
                <w:szCs w:val="18"/>
                <w:color w:val="auto"/>
                <w:w w:val="93"/>
              </w:rPr>
              <w:t>Derivative contracts, at fair value (Note 6)</w:t>
            </w:r>
            <w:r>
              <w:rPr>
                <w:rFonts w:ascii="Arial" w:cs="Arial" w:eastAsia="Arial" w:hAnsi="Arial"/>
                <w:sz w:val="25"/>
                <w:szCs w:val="25"/>
                <w:color w:val="auto"/>
                <w:w w:val="93"/>
                <w:vertAlign w:val="superscript"/>
              </w:rPr>
              <w:t>(1)</w:t>
            </w:r>
          </w:p>
        </w:tc>
        <w:tc>
          <w:tcPr>
            <w:tcW w:w="1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3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Securities sold, not yet purchased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Derivative contracts, at fair value (Note 6)</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consolidated balance sheets.</w:t>
      </w:r>
    </w:p>
    <w:p>
      <w:pPr>
        <w:spacing w:after="0" w:line="10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Refer to Note 18, "Pension and Other Post-Retirement Benefit Plans," for our Food Packaging segment's defined benefit plan assets measured at fair value on a recurring basis as of December 31, 2018 and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 for Which We Use Level 3 Inputs to Determine Fair Value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investments measured at fair value on a recurring basis for which we use Level 3 inputs to determine fair value are as follows: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7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gridSpan w:val="3"/>
          </w:tcPr>
          <w:p>
            <w:pPr>
              <w:jc w:val="right"/>
              <w:ind w:right="67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Net unrealized gains</w:t>
            </w:r>
          </w:p>
        </w:tc>
        <w:tc>
          <w:tcPr>
            <w:tcW w:w="108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8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r>
      <w:tr>
        <w:trPr>
          <w:trHeight w:val="20"/>
        </w:trPr>
        <w:tc>
          <w:tcPr>
            <w:tcW w:w="8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Net unrealized gains during the years ended December 31, 2018 and 2017 relate to a certain equity investment which is considered a Level 3 investment due to unobservable market data and is measured at fair value on a recurring basis. We determined the fair value of this investment based on recent market transactions. As of December 31, 2018 and 2017, the fair value of this investment was $369 million and $274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 for Which We Use Level 3 Inputs to Determine Fair Value</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Certain assets measured at fair value using Level 3 inputs on a nonrecurring basis have been impaired. During the years ended December 31, 2018, 2017 and 2016, we recorded impairment charges of $5 million, $10 million and $9 million, respectively, relating to property, plant and equipment. We determined the fair value of property, plant and equipment by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3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applying probability weighted, expected present value techniques to the estimated future cash flows using assumptions a market participant would utilize. In addition, during the year ended December 31, 2017, we recorded a loss of $8 million from marking inventory down to net realizable value at our Automotive segment. Additionally, in connection with our reclassification of certain Railcar segment assets from held and used to assets held for sale, we recorded aggregate impairment charges of $68 million for the year ended December 31, 2017, which represents the difference between the carrying value and fair value less cost to sell of such assets.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8, "Goodwill and Intangible Assets, Net," for discussion of our goodwill and intangible asset impairments.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12, "Segment and Geographic Reporting," for total impairment recorded by each of our segments.</w:t>
      </w:r>
    </w:p>
    <w:p>
      <w:pPr>
        <w:spacing w:after="0" w:line="22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46"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5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7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7"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jc w:val="both"/>
        <w:ind w:right="260" w:firstLine="405"/>
        <w:spacing w:after="0" w:line="302"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w:t>
      </w:r>
    </w:p>
    <w:p>
      <w:pPr>
        <w:spacing w:after="0" w:line="46"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December 31, 2018 and 2017 was zero and $17 million, respectively.</w:t>
      </w:r>
    </w:p>
    <w:p>
      <w:pPr>
        <w:spacing w:after="0" w:line="8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4"/>
          </w:tcPr>
          <w:p>
            <w:pPr>
              <w:ind w:left="80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Pr>
          <w:p>
            <w:pPr>
              <w:spacing w:after="0"/>
              <w:rPr>
                <w:sz w:val="18"/>
                <w:szCs w:val="18"/>
                <w:color w:val="auto"/>
              </w:rPr>
            </w:pPr>
          </w:p>
        </w:tc>
        <w:tc>
          <w:tcPr>
            <w:tcW w:w="3080" w:type="dxa"/>
            <w:vAlign w:val="bottom"/>
            <w:gridSpan w:val="3"/>
          </w:tcPr>
          <w:p>
            <w:pPr>
              <w:jc w:val="right"/>
              <w:ind w:right="894"/>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4"/>
              <w:spacing w:after="0"/>
              <w:rPr>
                <w:sz w:val="20"/>
                <w:szCs w:val="20"/>
                <w:color w:val="auto"/>
              </w:rPr>
            </w:pPr>
            <w:r>
              <w:rPr>
                <w:rFonts w:ascii="Arial" w:cs="Arial" w:eastAsia="Arial" w:hAnsi="Arial"/>
                <w:sz w:val="16"/>
                <w:szCs w:val="16"/>
                <w:b w:val="1"/>
                <w:bCs w:val="1"/>
                <w:color w:val="auto"/>
              </w:rPr>
              <w:t>Long Notional</w:t>
            </w:r>
          </w:p>
        </w:tc>
        <w:tc>
          <w:tcPr>
            <w:tcW w:w="3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Short Notional</w:t>
            </w:r>
          </w:p>
        </w:tc>
        <w:tc>
          <w:tcPr>
            <w:tcW w:w="200" w:type="dxa"/>
            <w:vAlign w:val="bottom"/>
          </w:tcPr>
          <w:p>
            <w:pPr>
              <w:spacing w:after="0"/>
              <w:rPr>
                <w:sz w:val="18"/>
                <w:szCs w:val="18"/>
                <w:color w:val="auto"/>
              </w:rPr>
            </w:pPr>
          </w:p>
        </w:tc>
        <w:tc>
          <w:tcPr>
            <w:tcW w:w="1400" w:type="dxa"/>
            <w:vAlign w:val="bottom"/>
          </w:tcPr>
          <w:p>
            <w:pPr>
              <w:jc w:val="right"/>
              <w:ind w:right="234"/>
              <w:spacing w:after="0"/>
              <w:rPr>
                <w:sz w:val="20"/>
                <w:szCs w:val="20"/>
                <w:color w:val="auto"/>
              </w:rPr>
            </w:pPr>
            <w:r>
              <w:rPr>
                <w:rFonts w:ascii="Arial" w:cs="Arial" w:eastAsia="Arial" w:hAnsi="Arial"/>
                <w:sz w:val="16"/>
                <w:szCs w:val="16"/>
                <w:b w:val="1"/>
                <w:bCs w:val="1"/>
                <w:color w:val="auto"/>
                <w:w w:val="98"/>
              </w:rPr>
              <w:t>Long Notional</w:t>
            </w:r>
          </w:p>
        </w:tc>
        <w:tc>
          <w:tcPr>
            <w:tcW w:w="30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Short Notional</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4"/>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Exposure</w:t>
            </w:r>
          </w:p>
        </w:tc>
        <w:tc>
          <w:tcPr>
            <w:tcW w:w="200" w:type="dxa"/>
            <w:vAlign w:val="bottom"/>
          </w:tcPr>
          <w:p>
            <w:pPr>
              <w:spacing w:after="0"/>
              <w:rPr>
                <w:sz w:val="18"/>
                <w:szCs w:val="18"/>
                <w:color w:val="auto"/>
              </w:rPr>
            </w:pPr>
          </w:p>
        </w:tc>
        <w:tc>
          <w:tcPr>
            <w:tcW w:w="1400" w:type="dxa"/>
            <w:vAlign w:val="bottom"/>
          </w:tcPr>
          <w:p>
            <w:pPr>
              <w:jc w:val="right"/>
              <w:ind w:right="394"/>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380" w:type="dxa"/>
            <w:vAlign w:val="bottom"/>
          </w:tcPr>
          <w:p>
            <w:pPr>
              <w:jc w:val="right"/>
              <w:ind w:right="374"/>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gridSpan w:val="4"/>
          </w:tcPr>
          <w:p>
            <w:pPr>
              <w:jc w:val="right"/>
              <w:ind w:right="1214"/>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83"/>
        </w:trPr>
        <w:tc>
          <w:tcPr>
            <w:tcW w:w="4680" w:type="dxa"/>
            <w:vAlign w:val="bottom"/>
          </w:tcPr>
          <w:p>
            <w:pPr>
              <w:ind w:left="280"/>
              <w:spacing w:after="0" w:line="283" w:lineRule="exact"/>
              <w:rPr>
                <w:sz w:val="20"/>
                <w:szCs w:val="20"/>
                <w:color w:val="auto"/>
              </w:rPr>
            </w:pPr>
            <w:r>
              <w:rPr>
                <w:rFonts w:ascii="Arial" w:cs="Arial" w:eastAsia="Arial" w:hAnsi="Arial"/>
                <w:sz w:val="18"/>
                <w:szCs w:val="18"/>
                <w:color w:val="auto"/>
              </w:rPr>
              <w:t>Credit contracts</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468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180" w:right="240" w:hanging="172"/>
        <w:spacing w:after="0" w:line="286" w:lineRule="auto"/>
        <w:tabs>
          <w:tab w:leader="none" w:pos="180" w:val="left"/>
        </w:tabs>
        <w:numPr>
          <w:ilvl w:val="0"/>
          <w:numId w:val="19"/>
        </w:numPr>
        <w:rPr>
          <w:rFonts w:ascii="Arial" w:cs="Arial" w:eastAsia="Arial" w:hAnsi="Arial"/>
          <w:sz w:val="8"/>
          <w:szCs w:val="8"/>
          <w:color w:val="auto"/>
        </w:rPr>
      </w:pPr>
      <w:r>
        <w:rPr>
          <w:rFonts w:ascii="Arial" w:cs="Arial" w:eastAsia="Arial" w:hAnsi="Arial"/>
          <w:sz w:val="13"/>
          <w:szCs w:val="13"/>
          <w:color w:val="auto"/>
        </w:rPr>
        <w:t>The short notional amount on our credit default swap positions was approximately $1.8 billion as of December 31, 2018. However, because credit spreads cannot compress below zero, our downside short notional exposure is $479 million as of December 31, 2018. The short notional amount on our credit default swap positions was approximately $2.5 billion as of December 31, 2017. However, because credit spreads cannot compress below zero, our downside short notional exposure to loss is $391 million as of December 31,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CVR Refining is subject to price fluctuations caused by supply conditions, weather, economic conditions, interest rate fluctuations and other factors. To manage price risk on crude oil and other inventories and to fix margins on certain future production, CVR Refining from time to time enters into various commodity derivative transactions. CVR Refining holds derivative instruments, such as exchange-traded crude oil futures and certain over-the-counter forward swap agreements, which it believes provide an economic hedge on future transactions, but such instruments are not designated as hedges under U.S. GAAP. There are no premiums paid or received at inception of the derivative contracts and upon settlement.</w:t>
      </w:r>
    </w:p>
    <w:p>
      <w:pPr>
        <w:spacing w:after="0" w:line="64"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CVR Refining's commodity derivatives include commodity swaps and forward purchase and sale commitments. CVR Refining did not have open commodity swap instruments at December 31, 2018. At December 31, 2017, CVR Refining had open commodity swap instruments consisting of 15 million barrels of crack spreads, primarily to fix the margin on a portion of its future gasoline and distillate production. Additionally, as of December 31, 2018 and December 31, 2017, CVR Refining had open forward purchase and sale commitments for 2 million barrels and 6 million barrels, respectively, of Canadian crude oil priced at fixed differentials that are not considered probable of physical settlement and are accounted for as derivatives.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right="80" w:firstLine="378"/>
        <w:spacing w:after="0" w:line="302" w:lineRule="auto"/>
        <w:rPr>
          <w:sz w:val="20"/>
          <w:szCs w:val="20"/>
          <w:color w:val="auto"/>
        </w:rPr>
      </w:pPr>
      <w:r>
        <w:rPr>
          <w:rFonts w:ascii="Arial" w:cs="Arial" w:eastAsia="Arial" w:hAnsi="Arial"/>
          <w:sz w:val="16"/>
          <w:szCs w:val="16"/>
          <w:color w:val="auto"/>
        </w:rPr>
        <w:t>Certain derivative contracts executed by the Investment Funds with a single counterparty or by our Energy segment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consolidated balance sheets.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337" w:right="2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 in accordance with U.S GAAP:</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46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Liability Derivatives</w:t>
            </w:r>
          </w:p>
        </w:tc>
        <w:tc>
          <w:tcPr>
            <w:tcW w:w="680" w:type="dxa"/>
            <w:vAlign w:val="bottom"/>
            <w:tcBorders>
              <w:bottom w:val="single" w:sz="8" w:color="auto"/>
            </w:tcBorders>
          </w:tcPr>
          <w:p>
            <w:pPr>
              <w:spacing w:after="0"/>
              <w:rPr>
                <w:sz w:val="24"/>
                <w:szCs w:val="24"/>
                <w:color w:val="auto"/>
              </w:rPr>
            </w:pPr>
          </w:p>
        </w:tc>
      </w:tr>
      <w:tr>
        <w:trPr>
          <w:trHeight w:val="237"/>
        </w:trPr>
        <w:tc>
          <w:tcPr>
            <w:tcW w:w="4680" w:type="dxa"/>
            <w:vAlign w:val="bottom"/>
          </w:tcPr>
          <w:p>
            <w:pPr>
              <w:spacing w:after="0"/>
              <w:rPr>
                <w:sz w:val="20"/>
                <w:szCs w:val="20"/>
                <w:color w:val="auto"/>
              </w:rPr>
            </w:pP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2018</w:t>
            </w: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2017</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December 31,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4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4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gridSpan w:val="3"/>
          </w:tcPr>
          <w:p>
            <w:pPr>
              <w:jc w:val="right"/>
              <w:ind w:right="19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Credit contracts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4680" w:type="dxa"/>
            <w:vAlign w:val="bottom"/>
          </w:tcPr>
          <w:p>
            <w:pPr>
              <w:ind w:left="280"/>
              <w:spacing w:after="0"/>
              <w:rPr>
                <w:sz w:val="20"/>
                <w:szCs w:val="20"/>
                <w:color w:val="auto"/>
              </w:rPr>
            </w:pPr>
            <w:r>
              <w:rPr>
                <w:rFonts w:ascii="Arial" w:cs="Arial" w:eastAsia="Arial" w:hAnsi="Arial"/>
                <w:sz w:val="18"/>
                <w:szCs w:val="18"/>
                <w:color w:val="auto"/>
              </w:rPr>
              <w:t>Sub-total</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1,282</w:t>
            </w:r>
          </w:p>
        </w:tc>
      </w:tr>
      <w:tr>
        <w:trPr>
          <w:trHeight w:val="27"/>
        </w:trPr>
        <w:tc>
          <w:tcPr>
            <w:tcW w:w="4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6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(2)</w:t>
            </w: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4680" w:type="dxa"/>
            <w:vAlign w:val="bottom"/>
          </w:tcPr>
          <w:p>
            <w:pPr>
              <w:ind w:left="2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(2)</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2"/>
                <w:szCs w:val="22"/>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1,275</w:t>
            </w:r>
          </w:p>
        </w:tc>
      </w:tr>
      <w:tr>
        <w:trPr>
          <w:trHeight w:val="20"/>
        </w:trPr>
        <w:tc>
          <w:tcPr>
            <w:tcW w:w="4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consolidated balance sheets.</w:t>
      </w:r>
    </w:p>
    <w:p>
      <w:pPr>
        <w:spacing w:after="0" w:line="13" w:lineRule="exact"/>
        <w:rPr>
          <w:rFonts w:ascii="Arial" w:cs="Arial" w:eastAsia="Arial" w:hAnsi="Arial"/>
          <w:sz w:val="9"/>
          <w:szCs w:val="9"/>
          <w:color w:val="auto"/>
        </w:rPr>
      </w:pPr>
    </w:p>
    <w:p>
      <w:pPr>
        <w:ind w:left="180" w:right="100" w:hanging="172"/>
        <w:spacing w:after="0" w:line="255" w:lineRule="auto"/>
        <w:tabs>
          <w:tab w:leader="none" w:pos="180" w:val="left"/>
        </w:tabs>
        <w:numPr>
          <w:ilvl w:val="0"/>
          <w:numId w:val="20"/>
        </w:numPr>
        <w:rPr>
          <w:rFonts w:ascii="Arial" w:cs="Arial" w:eastAsia="Arial" w:hAnsi="Arial"/>
          <w:sz w:val="9"/>
          <w:szCs w:val="9"/>
          <w:color w:val="auto"/>
        </w:rPr>
      </w:pPr>
      <w:r>
        <w:rPr>
          <w:rFonts w:ascii="Arial" w:cs="Arial" w:eastAsia="Arial" w:hAnsi="Arial"/>
          <w:sz w:val="14"/>
          <w:szCs w:val="14"/>
          <w:color w:val="auto"/>
        </w:rPr>
        <w:t>Excludes netting of cash collateral received and posted. The total collateral posted at December 31, 2018 and 2017 was $0 million and $542 million, respectively, across all counterparties, which are included in cash held at consolidated affiliated partnerships and restricted cash in our consolidated balance sheets.</w:t>
      </w:r>
    </w:p>
    <w:p>
      <w:pPr>
        <w:spacing w:after="0" w:line="8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following table presents the amount of gain (loss) recognized in the consolidated statements of operations for our derivatives not designated as hedging instruments: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60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8"/>
              </w:rPr>
              <w:t>Gain (Loss) Recognized in Income</w:t>
            </w:r>
            <w:r>
              <w:rPr>
                <w:rFonts w:ascii="Arial" w:cs="Arial" w:eastAsia="Arial" w:hAnsi="Arial"/>
                <w:sz w:val="25"/>
                <w:szCs w:val="25"/>
                <w:b w:val="1"/>
                <w:bCs w:val="1"/>
                <w:color w:val="auto"/>
                <w:w w:val="88"/>
                <w:vertAlign w:val="superscript"/>
              </w:rPr>
              <w:t>(1)</w:t>
            </w:r>
          </w:p>
        </w:tc>
        <w:tc>
          <w:tcPr>
            <w:tcW w:w="1140" w:type="dxa"/>
            <w:vAlign w:val="bottom"/>
            <w:tcBorders>
              <w:bottom w:val="single" w:sz="8" w:color="auto"/>
            </w:tcBorders>
          </w:tcPr>
          <w:p>
            <w:pPr>
              <w:spacing w:after="0"/>
              <w:rPr>
                <w:sz w:val="24"/>
                <w:szCs w:val="24"/>
                <w:color w:val="auto"/>
              </w:rPr>
            </w:pPr>
          </w:p>
        </w:tc>
      </w:tr>
      <w:tr>
        <w:trPr>
          <w:trHeight w:val="237"/>
        </w:trPr>
        <w:tc>
          <w:tcPr>
            <w:tcW w:w="6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40" w:type="dxa"/>
            <w:vAlign w:val="bottom"/>
            <w:gridSpan w:val="6"/>
          </w:tcPr>
          <w:p>
            <w:pPr>
              <w:jc w:val="center"/>
              <w:ind w:right="410"/>
              <w:spacing w:after="0"/>
              <w:rPr>
                <w:sz w:val="20"/>
                <w:szCs w:val="20"/>
                <w:color w:val="auto"/>
              </w:rPr>
            </w:pPr>
            <w:r>
              <w:rPr>
                <w:rFonts w:ascii="Arial" w:cs="Arial" w:eastAsia="Arial" w:hAnsi="Arial"/>
                <w:sz w:val="18"/>
                <w:szCs w:val="18"/>
                <w:b w:val="1"/>
                <w:bCs w:val="1"/>
                <w:color w:val="auto"/>
                <w:w w:val="90"/>
              </w:rPr>
              <w:t>Year Ended December 31,</w:t>
            </w:r>
          </w:p>
        </w:tc>
        <w:tc>
          <w:tcPr>
            <w:tcW w:w="114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6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1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6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contracts</w:t>
            </w: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1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6040" w:type="dxa"/>
            <w:vAlign w:val="bottom"/>
          </w:tcPr>
          <w:p>
            <w:pPr>
              <w:spacing w:after="0"/>
              <w:rPr>
                <w:sz w:val="20"/>
                <w:szCs w:val="20"/>
                <w:color w:val="auto"/>
              </w:rPr>
            </w:pP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w:t>
            </w:r>
          </w:p>
        </w:tc>
      </w:tr>
      <w:tr>
        <w:trPr>
          <w:trHeight w:val="27"/>
        </w:trPr>
        <w:tc>
          <w:tcPr>
            <w:tcW w:w="6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80" w:right="200" w:hanging="172"/>
        <w:spacing w:after="0" w:line="252" w:lineRule="auto"/>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from investment activities in our consolidated statements of operations for our Investment segment and are included in cost of goods sold for our Energy segment. Gains (losses) recognized on derivatives for our Investment segment were $798 million, $(1,969) million and $(1,640) million for the years ended December 31, 2018, 2017 and 2016, respectively. Gains (losses) recognized on derivatives for our Energy segment were $146 million, $(70) million and $(19) million for the years ended December 31, 2018, 2017 and 2016,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Non-Derivative Instruments Designated as Hedging Instruments</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As of December 31, 2017, Federal-Mogul had foreign currency denominated debt, of which $884 million was designated as a net investment hedge in certain foreign subsidiaries and affiliates of Federal-Mogul. We sold Federal-Mogul on October 1, 2018. Changes to its carrying value are included in other comprehensive loss as translation adjustments and other prior to our sale of Federal-Mogul. The amounts recognized in other comprehensive loss for the years ended December 31, 2018 and 2017 was a loss of $29 million and $85 million,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3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Inventories, net consists of the following:</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2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02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1,492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7"/>
              </w:rPr>
              <w:t>1,779</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in the table above is presented net of reserves of $39 million and $73 million as of December 31, 2018 and 2017, respectively.</w:t>
      </w:r>
    </w:p>
    <w:p>
      <w:pPr>
        <w:spacing w:after="0" w:line="221" w:lineRule="exact"/>
        <w:rPr>
          <w:sz w:val="20"/>
          <w:szCs w:val="20"/>
          <w:color w:val="auto"/>
        </w:rPr>
      </w:pPr>
    </w:p>
    <w:p>
      <w:pPr>
        <w:ind w:left="380" w:right="8280" w:hanging="372"/>
        <w:spacing w:after="0" w:line="469" w:lineRule="auto"/>
        <w:tabs>
          <w:tab w:leader="none" w:pos="326"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2018</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4"/>
          </w:tcPr>
          <w:p>
            <w:pPr>
              <w:ind w:left="20"/>
              <w:spacing w:after="0"/>
              <w:rPr>
                <w:sz w:val="20"/>
                <w:szCs w:val="20"/>
                <w:color w:val="auto"/>
              </w:rPr>
            </w:pPr>
            <w:r>
              <w:rPr>
                <w:rFonts w:ascii="Arial" w:cs="Arial" w:eastAsia="Arial" w:hAnsi="Arial"/>
                <w:sz w:val="16"/>
                <w:szCs w:val="16"/>
                <w:b w:val="1"/>
                <w:bCs w:val="1"/>
                <w:color w:val="auto"/>
                <w:w w:val="97"/>
              </w:rPr>
              <w:t>December 31, 2017</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Automotive</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Food Packaging</w:t>
            </w:r>
          </w:p>
        </w:tc>
        <w:tc>
          <w:tcPr>
            <w:tcW w:w="180" w:type="dxa"/>
            <w:vAlign w:val="bottom"/>
          </w:tcPr>
          <w:p>
            <w:pPr>
              <w:spacing w:after="0"/>
              <w:rPr>
                <w:sz w:val="20"/>
                <w:szCs w:val="20"/>
                <w:color w:val="auto"/>
              </w:rPr>
            </w:pPr>
          </w:p>
        </w:tc>
        <w:tc>
          <w:tcPr>
            <w:tcW w:w="13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0"/>
              </w:rPr>
              <w:t>Consolidated</w:t>
            </w:r>
          </w:p>
        </w:tc>
        <w:tc>
          <w:tcPr>
            <w:tcW w:w="260" w:type="dxa"/>
            <w:vAlign w:val="bottom"/>
          </w:tcPr>
          <w:p>
            <w:pPr>
              <w:spacing w:after="0"/>
              <w:rPr>
                <w:sz w:val="20"/>
                <w:szCs w:val="20"/>
                <w:color w:val="auto"/>
              </w:rPr>
            </w:pPr>
          </w:p>
        </w:tc>
        <w:tc>
          <w:tcPr>
            <w:tcW w:w="12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3"/>
              </w:rPr>
              <w:t>Automotive</w:t>
            </w:r>
          </w:p>
        </w:tc>
        <w:tc>
          <w:tcPr>
            <w:tcW w:w="10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Food Packaging</w:t>
            </w:r>
          </w:p>
        </w:tc>
        <w:tc>
          <w:tcPr>
            <w:tcW w:w="18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Consolidated</w:t>
            </w: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5"/>
          </w:tcPr>
          <w:p>
            <w:pPr>
              <w:jc w:val="right"/>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carrying amount, Jan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262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1"/>
        </w:trPr>
        <w:tc>
          <w:tcPr>
            <w:tcW w:w="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Gross carrying amount, Dec 31</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20" w:type="dxa"/>
            <w:vAlign w:val="bottom"/>
            <w:tcBorders>
              <w:top w:val="single" w:sz="8" w:color="auto"/>
            </w:tcBorders>
          </w:tcPr>
          <w:p>
            <w:pPr>
              <w:spacing w:after="0"/>
              <w:rPr>
                <w:sz w:val="20"/>
                <w:szCs w:val="20"/>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Accumulated impairment, Jan 1</w:t>
            </w: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Accumulated impairment, Dec 31</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Net carrying value, Dec 31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247</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20" w:type="dxa"/>
            <w:vAlign w:val="bottom"/>
            <w:tcBorders>
              <w:bottom w:val="single" w:sz="8" w:color="auto"/>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140" w:type="dxa"/>
            <w:vAlign w:val="bottom"/>
            <w:gridSpan w:val="4"/>
          </w:tcPr>
          <w:p>
            <w:pPr>
              <w:ind w:left="360"/>
              <w:spacing w:after="0"/>
              <w:rPr>
                <w:sz w:val="20"/>
                <w:szCs w:val="20"/>
                <w:color w:val="auto"/>
              </w:rPr>
            </w:pPr>
            <w:r>
              <w:rPr>
                <w:rFonts w:ascii="Arial" w:cs="Arial" w:eastAsia="Arial" w:hAnsi="Arial"/>
                <w:sz w:val="18"/>
                <w:szCs w:val="18"/>
                <w:color w:val="auto"/>
              </w:rPr>
              <w:t>Intangible assets, net consists of the following:</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December 31, 2018</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ind w:left="20"/>
              <w:spacing w:after="0"/>
              <w:rPr>
                <w:sz w:val="20"/>
                <w:szCs w:val="20"/>
                <w:color w:val="auto"/>
              </w:rPr>
            </w:pPr>
            <w:r>
              <w:rPr>
                <w:rFonts w:ascii="Arial" w:cs="Arial" w:eastAsia="Arial" w:hAnsi="Arial"/>
                <w:sz w:val="16"/>
                <w:szCs w:val="16"/>
                <w:b w:val="1"/>
                <w:bCs w:val="1"/>
                <w:color w:val="auto"/>
                <w:w w:val="97"/>
              </w:rPr>
              <w:t>December 31, 2017</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rPr>
              <w:t>Net</w:t>
            </w:r>
          </w:p>
        </w:tc>
        <w:tc>
          <w:tcPr>
            <w:tcW w:w="260" w:type="dxa"/>
            <w:vAlign w:val="bottom"/>
          </w:tcPr>
          <w:p>
            <w:pPr>
              <w:spacing w:after="0"/>
              <w:rPr>
                <w:sz w:val="18"/>
                <w:szCs w:val="18"/>
                <w:color w:val="auto"/>
              </w:rPr>
            </w:pPr>
          </w:p>
        </w:tc>
        <w:tc>
          <w:tcPr>
            <w:tcW w:w="120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Net</w:t>
            </w: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7"/>
                <w:szCs w:val="17"/>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7"/>
              </w:rPr>
              <w:t>Carrying</w:t>
            </w:r>
          </w:p>
        </w:tc>
        <w:tc>
          <w:tcPr>
            <w:tcW w:w="260" w:type="dxa"/>
            <w:vAlign w:val="bottom"/>
          </w:tcPr>
          <w:p>
            <w:pPr>
              <w:spacing w:after="0"/>
              <w:rPr>
                <w:sz w:val="17"/>
                <w:szCs w:val="17"/>
                <w:color w:val="auto"/>
              </w:rPr>
            </w:pPr>
          </w:p>
        </w:tc>
        <w:tc>
          <w:tcPr>
            <w:tcW w:w="120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180" w:type="dxa"/>
            <w:vAlign w:val="bottom"/>
          </w:tcPr>
          <w:p>
            <w:pPr>
              <w:spacing w:after="0"/>
              <w:rPr>
                <w:sz w:val="18"/>
                <w:szCs w:val="18"/>
                <w:color w:val="auto"/>
              </w:rPr>
            </w:pPr>
          </w:p>
        </w:tc>
        <w:tc>
          <w:tcPr>
            <w:tcW w:w="132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8"/>
              </w:rPr>
              <w:t>Value</w:t>
            </w:r>
          </w:p>
        </w:tc>
        <w:tc>
          <w:tcPr>
            <w:tcW w:w="260" w:type="dxa"/>
            <w:vAlign w:val="bottom"/>
          </w:tcPr>
          <w:p>
            <w:pPr>
              <w:spacing w:after="0"/>
              <w:rPr>
                <w:sz w:val="18"/>
                <w:szCs w:val="18"/>
                <w:color w:val="auto"/>
              </w:rPr>
            </w:pPr>
          </w:p>
        </w:tc>
        <w:tc>
          <w:tcPr>
            <w:tcW w:w="120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5"/>
          </w:tcPr>
          <w:p>
            <w:pPr>
              <w:jc w:val="right"/>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620" w:type="dxa"/>
            <w:vAlign w:val="bottom"/>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5"/>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23"/>
                <w:szCs w:val="23"/>
                <w:color w:val="auto"/>
              </w:rPr>
            </w:pPr>
          </w:p>
        </w:tc>
      </w:tr>
      <w:tr>
        <w:trPr>
          <w:trHeight w:val="244"/>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378"/>
        <w:spacing w:after="0" w:line="286" w:lineRule="auto"/>
        <w:rPr>
          <w:sz w:val="20"/>
          <w:szCs w:val="20"/>
          <w:color w:val="auto"/>
        </w:rPr>
      </w:pPr>
      <w:r>
        <w:rPr>
          <w:rFonts w:ascii="Arial" w:cs="Arial" w:eastAsia="Arial" w:hAnsi="Arial"/>
          <w:sz w:val="17"/>
          <w:szCs w:val="17"/>
          <w:color w:val="auto"/>
        </w:rPr>
        <w:t>We recorded amortization expense associated with definite-lived intangible assets for the years ended December 31, 2018, 2017 and 2016 of $47 million, $41 million and $32 million, respectively. We utilize the straight-line method of amortization, recognized over the estimated useful lives of the assets. Additionally, during the years ended December 31, 2017 and 2016, we impaired intangible assets by $1 million and $3 million, respectively.</w:t>
      </w:r>
    </w:p>
    <w:p>
      <w:pPr>
        <w:sectPr>
          <w:pgSz w:w="11900" w:h="16838" w:orient="portrait"/>
          <w:cols w:equalWidth="0" w:num="1">
            <w:col w:w="11420"/>
          </w:cols>
          <w:pgMar w:left="240" w:top="337"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337" w:right="239" w:bottom="1440" w:gutter="0" w:footer="0" w:header="0"/>
          <w:type w:val="continuous"/>
        </w:sectPr>
      </w:pPr>
    </w:p>
    <w:bookmarkStart w:id="90" w:name="page91"/>
    <w:bookmarkEnd w:id="90"/>
    <w:tbl>
      <w:tblPr>
        <w:tblLayout w:type="fixed"/>
        <w:tblInd w:w="20" w:type="dxa"/>
        <w:tblCellMar>
          <w:top w:w="0" w:type="dxa"/>
          <w:left w:w="0" w:type="dxa"/>
          <w:bottom w:w="0" w:type="dxa"/>
          <w:right w:w="0" w:type="dxa"/>
        </w:tblCellMar>
      </w:tblPr>
      <w:tr>
        <w:trPr>
          <w:trHeight w:val="216"/>
        </w:trPr>
        <w:tc>
          <w:tcPr>
            <w:tcW w:w="968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968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968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rPr>
              <w:t>NOTES TO CONSOLIDATED FINANCIAL STATEMENTS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67"/>
        </w:trPr>
        <w:tc>
          <w:tcPr>
            <w:tcW w:w="9680" w:type="dxa"/>
            <w:vAlign w:val="bottom"/>
            <w:gridSpan w:val="2"/>
          </w:tcPr>
          <w:p>
            <w:pPr>
              <w:ind w:left="360"/>
              <w:spacing w:after="0"/>
              <w:rPr>
                <w:sz w:val="20"/>
                <w:szCs w:val="20"/>
                <w:color w:val="auto"/>
              </w:rPr>
            </w:pPr>
            <w:r>
              <w:rPr>
                <w:rFonts w:ascii="Arial" w:cs="Arial" w:eastAsia="Arial" w:hAnsi="Arial"/>
                <w:sz w:val="18"/>
                <w:szCs w:val="18"/>
                <w:color w:val="auto"/>
              </w:rPr>
              <w:t>The estimated future amortization expense for our definite-lived intangible assets is as follows: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96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24"/>
                <w:szCs w:val="24"/>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b w:val="1"/>
                <w:bCs w:val="1"/>
                <w:color w:val="auto"/>
              </w:rPr>
              <w:t>Amount</w:t>
            </w:r>
          </w:p>
        </w:tc>
      </w:tr>
      <w:tr>
        <w:trPr>
          <w:trHeight w:val="27"/>
        </w:trPr>
        <w:tc>
          <w:tcPr>
            <w:tcW w:w="9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8"/>
        </w:trPr>
        <w:tc>
          <w:tcPr>
            <w:tcW w:w="9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color w:val="auto"/>
              </w:rPr>
              <w:t>(in millions)</w:t>
            </w:r>
          </w:p>
        </w:tc>
      </w:tr>
      <w:tr>
        <w:trPr>
          <w:trHeight w:val="256"/>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44</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243</w:t>
            </w:r>
          </w:p>
        </w:tc>
      </w:tr>
      <w:tr>
        <w:trPr>
          <w:trHeight w:val="27"/>
        </w:trPr>
        <w:tc>
          <w:tcPr>
            <w:tcW w:w="9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Acquisitions during the year ended December 31, 2018 were not material individually or in the aggregate. As a result of certain acquisitions, our Automotive segment allocated $8 million to goodwill during the year ended December 31, 2018. In addition, our Automotive segment allocated $2 million to definite-lived intangible assets. The purchase price allocations for the above acquisitions are not all final and are subject to change.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Prior to 2017, with respect to our reporting units that are allocated goodwill, the first step of the goodwill impairment analysis ("Step 1") involved comparing the fair value of each of our reporting units' assets to their respective carrying values to determine the potential for goodwill impairment. The second step of the goodwill impairment test ("Step 2"), if necessary, involved quantifying the level of goodwill impairment after performing a recoverability analysis of other long-lived assets for impairment first. Beginning with our goodwill impairment analysis in 2017, Step 2 of the goodwill impairment test was eliminated and the determination and quantification of goodwill impairment, if any, was the result of applying Step 1 of the goodwill impairment analysis.</w:t>
      </w:r>
    </w:p>
    <w:p>
      <w:pPr>
        <w:spacing w:after="0" w:line="5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perform the annual goodwill impairment test for our Energy segment as of April 30 of each year, or more frequently if impairment indicators exist.</w:t>
      </w:r>
    </w:p>
    <w:p>
      <w:pPr>
        <w:spacing w:after="0" w:line="14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During the first quarter of 2016, due to worsening sales trends for our Energy segment's petroleum reporting unit, we performed an interim goodwill impairment analysis. Based on this analysis, we recognized a goodwill impairment charge of $574 million for our Energy segment, which represented the full amount of its remaining goodwill.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We perform the annual goodwill impairment test for our Automotive segment as of October 1 of each year, or more frequently if impairment indicators exist.</w:t>
      </w:r>
    </w:p>
    <w:p>
      <w:pPr>
        <w:spacing w:after="0" w:line="62" w:lineRule="exact"/>
        <w:rPr>
          <w:sz w:val="20"/>
          <w:szCs w:val="20"/>
          <w:color w:val="auto"/>
        </w:rPr>
      </w:pPr>
    </w:p>
    <w:p>
      <w:pPr>
        <w:ind w:right="80" w:firstLine="378"/>
        <w:spacing w:after="0" w:line="297" w:lineRule="auto"/>
        <w:rPr>
          <w:sz w:val="20"/>
          <w:szCs w:val="20"/>
          <w:color w:val="auto"/>
        </w:rPr>
      </w:pPr>
      <w:r>
        <w:rPr>
          <w:rFonts w:ascii="Arial" w:cs="Arial" w:eastAsia="Arial" w:hAnsi="Arial"/>
          <w:sz w:val="16"/>
          <w:szCs w:val="16"/>
          <w:color w:val="auto"/>
        </w:rPr>
        <w:t>In the fourth quarter of 2018, coinciding with our annual goodwill impairment analysis, we reorganized our Automotive segment's reporting units. Prior to the reorganization, our Automotive segment had two reporting units, Pep-Boys and AutoPlus, with all of its goodwill allocated to the Pep-Boys reporting unit. A goodwill impairment analysis just prior to the reorganization did not have an impact on the Pep-Boys reporting unit goodwill. Upon reorganization of the reporting units, a portion of the Pep-Boys reporting unit was reallocated to the AutoPlus reporting unit, which resulted in our Automotive segment continuing to have two redefined reporting units, Service and Parts. As a result, a portion of the goodwill was reallocated using a relative fair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337" w:right="2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value allocation approach, which resulted in approximately 27% of the goodwill being reallocated to the Parts reporting unit. Based on our annual goodwill impairment analysis for our Automotive segment, which reflected our reorganized reporting units, we determined that the carrying value of its Parts reporting unit exceeded its fair value and as a result, we recognized a goodwill impairment charge of $87 million in the fourth quarter of 2018, which represented the full amount of the goodwill allocated to the Parts reporting unit. This impairment was the result of our reporting unit reorganization, which resulted in a significant amount of carrying value of net assets being reallocated to the Parts reporting unit, primarily for inventory, with a significantly lesser fair value due to the future projected cash flows of the Parts reporting unit, which resulted in the Parts reporting unit having a carrying value in excess of its fair value. Therefore, the goodwill reallocated to the Parts reporting unit was immediately impaired. We also determined that the fair value of our Automotive segment's Service reporting unit was significantly in excess of its carrying value and therefore, no additional impairment is required. As of December 31, 2018, our Automotive segment had remaining goodwill of $241 million, which is allocated entirely to its Service reporting unit.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Property, plant and equipment, net consists of the following:</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380" w:type="dxa"/>
            <w:vAlign w:val="bottom"/>
          </w:tcPr>
          <w:p>
            <w:pPr>
              <w:spacing w:after="0"/>
              <w:rPr>
                <w:sz w:val="20"/>
                <w:szCs w:val="20"/>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(in years)</w:t>
            </w:r>
          </w:p>
        </w:tc>
        <w:tc>
          <w:tcPr>
            <w:tcW w:w="380" w:type="dxa"/>
            <w:vAlign w:val="bottom"/>
          </w:tcPr>
          <w:p>
            <w:pPr>
              <w:spacing w:after="0"/>
              <w:rPr>
                <w:sz w:val="21"/>
                <w:szCs w:val="21"/>
                <w:color w:val="auto"/>
              </w:rPr>
            </w:pPr>
          </w:p>
        </w:tc>
        <w:tc>
          <w:tcPr>
            <w:tcW w:w="200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3 - 40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1,715</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equipment and furniture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4,326</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Assets leased to others</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5 - 39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7,001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7,138</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r>
      <w:tr>
        <w:trPr>
          <w:trHeight w:val="257"/>
        </w:trPr>
        <w:tc>
          <w:tcPr>
            <w:tcW w:w="20" w:type="dxa"/>
            <w:vAlign w:val="bottom"/>
          </w:tcPr>
          <w:p>
            <w:pPr>
              <w:spacing w:after="0"/>
              <w:rPr>
                <w:sz w:val="22"/>
                <w:szCs w:val="22"/>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5,186</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740" w:firstLine="378"/>
        <w:spacing w:after="0" w:line="342" w:lineRule="auto"/>
        <w:rPr>
          <w:sz w:val="20"/>
          <w:szCs w:val="20"/>
          <w:color w:val="auto"/>
        </w:rPr>
      </w:pPr>
      <w:r>
        <w:rPr>
          <w:rFonts w:ascii="Arial" w:cs="Arial" w:eastAsia="Arial" w:hAnsi="Arial"/>
          <w:sz w:val="16"/>
          <w:szCs w:val="16"/>
          <w:color w:val="auto"/>
        </w:rPr>
        <w:t>Assets leased to others is related to our Real Estate segment. Our Real Estate segment's anticipated future receipts of minimum lease payments receivable under the financing and operating method are $33 million in 2019, $33 million in 2020 and $10 million in 2021 and thereafter.</w:t>
      </w:r>
    </w:p>
    <w:p>
      <w:pPr>
        <w:spacing w:after="0" w:line="16" w:lineRule="exact"/>
        <w:rPr>
          <w:sz w:val="20"/>
          <w:szCs w:val="20"/>
          <w:color w:val="auto"/>
        </w:rPr>
      </w:pPr>
    </w:p>
    <w:p>
      <w:pPr>
        <w:ind w:right="500" w:firstLine="378"/>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for the years ended December 31, 2018, 2017 and 2016 was $398 million, $430 million and $487 million, respectively.</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5, "Fair Value Measurements," for discussion regarding certain impairments to our property, plant and equipment.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337" w:right="2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10. Debt.</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60" w:type="dxa"/>
            <w:vAlign w:val="bottom"/>
          </w:tcPr>
          <w:p>
            <w:pPr>
              <w:spacing w:after="0"/>
              <w:rPr>
                <w:sz w:val="24"/>
                <w:szCs w:val="24"/>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Debt consists of the following:</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6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0"/>
                <w:szCs w:val="20"/>
                <w:color w:val="auto"/>
              </w:rPr>
            </w:pPr>
          </w:p>
        </w:tc>
      </w:tr>
      <w:tr>
        <w:trPr>
          <w:trHeight w:val="255"/>
        </w:trPr>
        <w:tc>
          <w:tcPr>
            <w:tcW w:w="60" w:type="dxa"/>
            <w:vAlign w:val="bottom"/>
          </w:tcPr>
          <w:p>
            <w:pPr>
              <w:spacing w:after="0"/>
              <w:rPr>
                <w:sz w:val="22"/>
                <w:szCs w:val="22"/>
                <w:color w:val="auto"/>
              </w:rPr>
            </w:pPr>
          </w:p>
        </w:tc>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Holding Company:</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1,703</w:t>
            </w: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3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1,342</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w:t>
            </w: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3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498</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r>
      <w:tr>
        <w:trPr>
          <w:trHeight w:val="237"/>
        </w:trPr>
        <w:tc>
          <w:tcPr>
            <w:tcW w:w="6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5,505</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5,507</w:t>
            </w:r>
          </w:p>
        </w:tc>
      </w:tr>
      <w:tr>
        <w:trPr>
          <w:trHeight w:val="27"/>
        </w:trPr>
        <w:tc>
          <w:tcPr>
            <w:tcW w:w="60" w:type="dxa"/>
            <w:vAlign w:val="bottom"/>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Reporting Segments: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1,166</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3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273</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6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Mining</w:t>
            </w:r>
          </w:p>
        </w:tc>
        <w:tc>
          <w:tcPr>
            <w:tcW w:w="3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7"/>
        </w:trPr>
        <w:tc>
          <w:tcPr>
            <w:tcW w:w="60" w:type="dxa"/>
            <w:vAlign w:val="bottom"/>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0" w:type="dxa"/>
            <w:vAlign w:val="bottom"/>
          </w:tcPr>
          <w:p>
            <w:pPr>
              <w:spacing w:after="0"/>
              <w:rPr>
                <w:sz w:val="22"/>
                <w:szCs w:val="22"/>
                <w:color w:val="auto"/>
              </w:rPr>
            </w:pPr>
          </w:p>
        </w:tc>
        <w:tc>
          <w:tcPr>
            <w:tcW w:w="78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1,865</w:t>
            </w:r>
          </w:p>
        </w:tc>
      </w:tr>
      <w:tr>
        <w:trPr>
          <w:trHeight w:val="257"/>
        </w:trPr>
        <w:tc>
          <w:tcPr>
            <w:tcW w:w="60" w:type="dxa"/>
            <w:vAlign w:val="bottom"/>
          </w:tcPr>
          <w:p>
            <w:pPr>
              <w:spacing w:after="0"/>
              <w:rPr>
                <w:sz w:val="22"/>
                <w:szCs w:val="22"/>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7,326</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7,372</w:t>
            </w:r>
          </w:p>
        </w:tc>
      </w:tr>
      <w:tr>
        <w:trPr>
          <w:trHeight w:val="20"/>
        </w:trPr>
        <w:tc>
          <w:tcPr>
            <w:tcW w:w="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12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Holding Company debt consists of various issues of fixed-rate senior unsecured notes issued by Icahn Enterprises and Icahn Enterprises Finance Corp. (the "Issuers") and guaranteed by Icahn Enterprises Holdings (the "Guarantor"). Interest on each of the senior unsecured notes are payable semi-annually.</w:t>
      </w:r>
    </w:p>
    <w:p>
      <w:pPr>
        <w:spacing w:after="0" w:line="73"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On January 18, 2017, the Issuers issued $500 million in aggregate principal amount of 6.750% senior unsecured notes due 2024 and $695 million in aggregate principal amount of 6.250% senior unsecured notes due 2022. The proceeds from these notes were used to redeem all of the prior outstanding senior unsecured notes due 2017 and to pay accrued interest, related fees and expenses.</w:t>
      </w:r>
    </w:p>
    <w:p>
      <w:pPr>
        <w:spacing w:after="0" w:line="73"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On December 6, 2017, the Issuers issued $750 million in aggregate principal amount of 6.375% senior unsecured notes due 2025 and an additional $510 million in aggregate principal amount of its existing 6.250% senior unsecured notes due 2022. The proceeds from these notes, together with cash on hand, were used to redeem all of the prior outstanding senior unsecured notes due 2019 and to pay accrued interest, related fees and expenses.</w:t>
      </w:r>
    </w:p>
    <w:p>
      <w:pPr>
        <w:spacing w:after="0" w:line="39"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Icahn Enterprises recorded a loss on extinguishment of debt of $12 million in the fourth quarter of 2017 in connection with the debt transactions discussed above.</w:t>
      </w:r>
    </w:p>
    <w:p>
      <w:pPr>
        <w:spacing w:after="0" w:line="6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All of our senior unsecured notes and the related guarantees are effectively subordinated to the Issuers’ and the Guarantor’s existing and future secured indebtedness to the extent of the collateral securing such indebtedness. All of our senior unsecured notes and the related guarantees are also effectively subordinated to all indebtedness and other liabilities of the Issuers’ subsidiaries other than the Guarantor.</w:t>
      </w:r>
    </w:p>
    <w:p>
      <w:pPr>
        <w:spacing w:after="0" w:line="6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w:t>
      </w:r>
    </w:p>
    <w:p>
      <w:pPr>
        <w:sectPr>
          <w:pgSz w:w="11900" w:h="16838" w:orient="portrait"/>
          <w:cols w:equalWidth="0" w:num="1">
            <w:col w:w="11400"/>
          </w:cols>
          <w:pgMar w:left="240" w:top="337"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0"/>
          </w:cols>
          <w:pgMar w:left="240" w:top="337" w:right="259"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62"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As of December 31, 2018 and 2017, we were in compliance with all covenants, including maintaining certain minimum financial ratios, as defined in the indentures. Additionally, as of December 31, 2018, based on covenants in the indentures governing our senior unsecured notes, we are permitted to incur approximately $2.0 billion of additional indebtedness.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CVR Energy's debt primarily consists of a $500 million second lien senior unsecured note (issued by CVR Refining) and a $645 million senior secured note (issued by CVR Partners) maturing in 2022 and 2023, respectively, and with interest rates of 6.50% and 9.25%, respectively. Interest for each of these notes are accrued and paid based on contractual terms.</w:t>
      </w:r>
    </w:p>
    <w:p>
      <w:pPr>
        <w:spacing w:after="0" w:line="73"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second lien senior unsecured notes were fully and unconditionally guaranteed by CVR Refining and each of its' finance subsidiaries' existing domestic subsidiaries on a joint and several basis as of December 31, 2018. On January 29, 2019, the second lien senior unsecured notes were amended such that CVR Refining was replaced by CVR Energy as the primary guarantor, on a senior unsecured basis. The senior secured notes are guaranteed on a senior secured basis by all of CVR Partner's existing subsidiaries. CVR Energy is not a guarantor of these notes. The indentures governing these notes contain certain covenants that restrict the ability of the issuers and subsidiary guarantors to issue debt, incur or otherwise cause liens to exist on any of their property or assets, declare or pay dividends, repurchase equity, make payments on subordinated or unsecured debt, make certain investments, sell certain assets, merge, consolidate with or into another entity, or sell all or substantially all of their assets or enter into certain transactions with affiliates.</w:t>
      </w:r>
    </w:p>
    <w:p>
      <w:pPr>
        <w:spacing w:after="0" w:line="5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December 31, 2018 and 2017, total availability under CVR Refining and CVR Partners variable rate asset based revolving credit facilities aggregated $444 million and $382 million, respectively. CVR Refining also had $6 million and $28 million of letters of credit outstanding as of December 31, 2018 and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Icahn Automotive's debt primarily consists of an asset-based revolving credit facility and a first in-last out revolving credit facility, each with variable interest rates. Icahn Automotive debt outstanding under these credit facilities was $370 million and $337 million as of December 31, 2018 and 2017, respectively, with maturity dates ranging from 2018 and 2022. Interest for each of these notes are accrued and paid based on contractual terms. The weighted average interest rate on these notes was 4.37% and 3.58% as of December 31, 2018 and 2017, respectively. Substantially all of Icahn Automotive's assets are pledged as collateral under the above credit facilities.</w:t>
      </w:r>
    </w:p>
    <w:p>
      <w:pPr>
        <w:spacing w:after="0" w:line="80" w:lineRule="exact"/>
        <w:rPr>
          <w:sz w:val="20"/>
          <w:szCs w:val="20"/>
          <w:color w:val="auto"/>
        </w:rPr>
      </w:pPr>
    </w:p>
    <w:p>
      <w:pPr>
        <w:ind w:right="780" w:firstLine="405"/>
        <w:spacing w:after="0" w:line="308" w:lineRule="auto"/>
        <w:rPr>
          <w:sz w:val="20"/>
          <w:szCs w:val="20"/>
          <w:color w:val="auto"/>
        </w:rPr>
      </w:pPr>
      <w:r>
        <w:rPr>
          <w:rFonts w:ascii="Arial" w:cs="Arial" w:eastAsia="Arial" w:hAnsi="Arial"/>
          <w:sz w:val="17"/>
          <w:szCs w:val="17"/>
          <w:color w:val="auto"/>
        </w:rPr>
        <w:t>As of December 31, 2018 and 2017, there was availability under revolving credit facilities of $90 million and $75 million, respectively. Icahn Automotive also had $40 million and $33 million of letters of credit outstanding as of December 31, 2018 and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Viskase's debt primarily consists of a credit agreement providing for a senior secured term loan facility issued in 2014 and maturing in 2021. Interest for this note is accrued and paid based on contractual terms. The interest rate on this note was 6.05% and 4.88% as of December 31, 2018 and 2017,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Charges to Interest Expense</w:t>
      </w:r>
    </w:p>
    <w:p>
      <w:pPr>
        <w:spacing w:after="0" w:line="12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amortization of deferred financing costs and debt discounts and premiums included in interest expense in the consolidated statements of operations were $5 million, $10 million and $14 million for the years ended December 31, 2018, 2017 and 2016,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337" w:right="2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8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68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68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rPr>
              <w:t>NOTES TO CONSOLIDATED FINANCIAL STATEMENTS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67"/>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Consolidated Maturities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The following is a summary of the maturities of our debt:</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96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24"/>
                <w:szCs w:val="24"/>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b w:val="1"/>
                <w:bCs w:val="1"/>
                <w:color w:val="auto"/>
              </w:rPr>
              <w:t>Amount</w:t>
            </w:r>
          </w:p>
        </w:tc>
      </w:tr>
      <w:tr>
        <w:trPr>
          <w:trHeight w:val="27"/>
        </w:trPr>
        <w:tc>
          <w:tcPr>
            <w:tcW w:w="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9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color w:val="auto"/>
              </w:rPr>
              <w:t>(in millions)</w:t>
            </w:r>
          </w:p>
        </w:tc>
      </w:tr>
      <w:tr>
        <w:trPr>
          <w:trHeight w:val="256"/>
        </w:trPr>
        <w:tc>
          <w:tcPr>
            <w:tcW w:w="20" w:type="dxa"/>
            <w:vAlign w:val="bottom"/>
          </w:tcPr>
          <w:p>
            <w:pPr>
              <w:spacing w:after="0"/>
              <w:rPr>
                <w:sz w:val="22"/>
                <w:szCs w:val="22"/>
                <w:color w:val="auto"/>
              </w:rPr>
            </w:pPr>
          </w:p>
        </w:tc>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1,718</w:t>
            </w:r>
          </w:p>
        </w:tc>
      </w:tr>
      <w:tr>
        <w:trPr>
          <w:trHeight w:val="27"/>
        </w:trPr>
        <w:tc>
          <w:tcPr>
            <w:tcW w:w="9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3,059</w:t>
            </w:r>
          </w:p>
        </w:tc>
      </w:tr>
      <w:tr>
        <w:trPr>
          <w:trHeight w:val="27"/>
        </w:trPr>
        <w:tc>
          <w:tcPr>
            <w:tcW w:w="9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w:t>
            </w:r>
          </w:p>
        </w:tc>
      </w:tr>
      <w:tr>
        <w:trPr>
          <w:trHeight w:val="243"/>
        </w:trPr>
        <w:tc>
          <w:tcPr>
            <w:tcW w:w="20" w:type="dxa"/>
            <w:vAlign w:val="bottom"/>
          </w:tcPr>
          <w:p>
            <w:pPr>
              <w:spacing w:after="0"/>
              <w:rPr>
                <w:sz w:val="21"/>
                <w:szCs w:val="21"/>
                <w:color w:val="auto"/>
              </w:rPr>
            </w:pPr>
          </w:p>
        </w:tc>
        <w:tc>
          <w:tcPr>
            <w:tcW w:w="96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1,280</w:t>
            </w:r>
          </w:p>
        </w:tc>
      </w:tr>
      <w:tr>
        <w:trPr>
          <w:trHeight w:val="27"/>
        </w:trPr>
        <w:tc>
          <w:tcPr>
            <w:tcW w:w="20" w:type="dxa"/>
            <w:vAlign w:val="bottom"/>
          </w:tcPr>
          <w:p>
            <w:pPr>
              <w:spacing w:after="0"/>
              <w:rPr>
                <w:sz w:val="2"/>
                <w:szCs w:val="2"/>
                <w:color w:val="auto"/>
              </w:rPr>
            </w:pPr>
          </w:p>
        </w:tc>
        <w:tc>
          <w:tcPr>
            <w:tcW w:w="9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9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7,352</w:t>
            </w:r>
          </w:p>
        </w:tc>
      </w:tr>
      <w:tr>
        <w:trPr>
          <w:trHeight w:val="237"/>
        </w:trPr>
        <w:tc>
          <w:tcPr>
            <w:tcW w:w="20" w:type="dxa"/>
            <w:vAlign w:val="bottom"/>
          </w:tcPr>
          <w:p>
            <w:pPr>
              <w:spacing w:after="0"/>
              <w:rPr>
                <w:sz w:val="20"/>
                <w:szCs w:val="20"/>
                <w:color w:val="auto"/>
              </w:rPr>
            </w:pPr>
          </w:p>
        </w:tc>
        <w:tc>
          <w:tcPr>
            <w:tcW w:w="9680" w:type="dxa"/>
            <w:vAlign w:val="bottom"/>
            <w:gridSpan w:val="2"/>
          </w:tcPr>
          <w:p>
            <w:pPr>
              <w:ind w:left="20"/>
              <w:spacing w:after="0"/>
              <w:rPr>
                <w:sz w:val="20"/>
                <w:szCs w:val="20"/>
                <w:color w:val="auto"/>
              </w:rPr>
            </w:pPr>
            <w:r>
              <w:rPr>
                <w:rFonts w:ascii="Arial" w:cs="Arial" w:eastAsia="Arial" w:hAnsi="Arial"/>
                <w:sz w:val="18"/>
                <w:szCs w:val="18"/>
                <w:color w:val="auto"/>
              </w:rPr>
              <w:t>Unamortized discounts, premiums and deferred financing fees</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Pr>
          <w:p>
            <w:pPr>
              <w:spacing w:after="0"/>
              <w:rPr>
                <w:sz w:val="2"/>
                <w:szCs w:val="2"/>
                <w:color w:val="auto"/>
              </w:rPr>
            </w:pPr>
          </w:p>
        </w:tc>
        <w:tc>
          <w:tcPr>
            <w:tcW w:w="9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7,326</w:t>
            </w: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LP Unit.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components of the computation of basic and diluted income (loss) per LP unit from continuing and discontinued operations of Icahn Enterprises 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as follows:</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60" w:type="dxa"/>
            <w:vAlign w:val="bottom"/>
            <w:gridSpan w:val="7"/>
          </w:tcPr>
          <w:p>
            <w:pPr>
              <w:jc w:val="center"/>
              <w:ind w:left="11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6"/>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40" w:type="dxa"/>
            <w:vAlign w:val="bottom"/>
            <w:gridSpan w:val="6"/>
          </w:tcPr>
          <w:p>
            <w:pPr>
              <w:jc w:val="center"/>
              <w:ind w:right="230"/>
              <w:spacing w:after="0"/>
              <w:rPr>
                <w:sz w:val="20"/>
                <w:szCs w:val="20"/>
                <w:color w:val="auto"/>
              </w:rPr>
            </w:pPr>
            <w:r>
              <w:rPr>
                <w:rFonts w:ascii="Arial" w:cs="Arial" w:eastAsia="Arial" w:hAnsi="Arial"/>
                <w:sz w:val="14"/>
                <w:szCs w:val="14"/>
                <w:color w:val="auto"/>
                <w:w w:val="95"/>
              </w:rPr>
              <w:t>(in millions, except per unit data)</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from continuing operations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Net (loss) income attributable to Icahn Enterprises from continuing operations allocated</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1040" w:type="dxa"/>
            <w:vAlign w:val="bottom"/>
            <w:vMerge w:val="restart"/>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(209)</w:t>
            </w:r>
          </w:p>
        </w:tc>
        <w:tc>
          <w:tcPr>
            <w:tcW w:w="540" w:type="dxa"/>
            <w:vAlign w:val="bottom"/>
            <w:gridSpan w:val="3"/>
            <w:vMerge w:val="restart"/>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7"/>
        </w:trPr>
        <w:tc>
          <w:tcPr>
            <w:tcW w:w="6400" w:type="dxa"/>
            <w:vAlign w:val="bottom"/>
          </w:tcPr>
          <w:p>
            <w:pPr>
              <w:ind w:left="200"/>
              <w:spacing w:after="0"/>
              <w:rPr>
                <w:sz w:val="20"/>
                <w:szCs w:val="20"/>
                <w:color w:val="auto"/>
              </w:rPr>
            </w:pPr>
            <w:r>
              <w:rPr>
                <w:rFonts w:ascii="Arial" w:cs="Arial" w:eastAsia="Arial" w:hAnsi="Arial"/>
                <w:sz w:val="18"/>
                <w:szCs w:val="18"/>
                <w:color w:val="auto"/>
              </w:rPr>
              <w:t>to limited partners (98.01% allocation)</w:t>
            </w:r>
          </w:p>
        </w:tc>
        <w:tc>
          <w:tcPr>
            <w:tcW w:w="104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540" w:type="dxa"/>
            <w:vAlign w:val="bottom"/>
            <w:gridSpan w:val="3"/>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0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 Icahn Enterprises from discontinued operations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1,720</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Less: net loss attributable to Icahn Enterprises from discontinued operations allocated</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100% to general partner</w:t>
            </w:r>
          </w:p>
        </w:tc>
        <w:tc>
          <w:tcPr>
            <w:tcW w:w="10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40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 Icahn Enterprises from discontinued operations</w:t>
            </w:r>
          </w:p>
        </w:tc>
        <w:tc>
          <w:tcPr>
            <w:tcW w:w="1040" w:type="dxa"/>
            <w:vAlign w:val="bottom"/>
            <w:tcBorders>
              <w:top w:val="single" w:sz="8" w:color="auto"/>
            </w:tcBorders>
            <w:vMerge w:val="restart"/>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2,318</w:t>
            </w:r>
          </w:p>
        </w:tc>
        <w:tc>
          <w:tcPr>
            <w:tcW w:w="60" w:type="dxa"/>
            <w:vAlign w:val="bottom"/>
            <w:tcBorders>
              <w:top w:val="single" w:sz="8" w:color="auto"/>
            </w:tcBorders>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allocable to limited partners</w:t>
            </w:r>
          </w:p>
        </w:tc>
        <w:tc>
          <w:tcPr>
            <w:tcW w:w="1040" w:type="dxa"/>
            <w:vAlign w:val="bottom"/>
            <w:tcBorders>
              <w:bottom w:val="single" w:sz="8" w:color="auto"/>
            </w:tcBorders>
            <w:vMerge w:val="continue"/>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9"/>
              </w:rPr>
              <w:t>Net income (loss) attributable to Icahn Enterprises from discontinued operations</w:t>
            </w:r>
          </w:p>
        </w:tc>
        <w:tc>
          <w:tcPr>
            <w:tcW w:w="104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2,272</w:t>
            </w:r>
          </w:p>
        </w:tc>
        <w:tc>
          <w:tcPr>
            <w:tcW w:w="540" w:type="dxa"/>
            <w:vAlign w:val="bottom"/>
            <w:gridSpan w:val="3"/>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allocated to limited partners (98.01% allocation)</w:t>
            </w:r>
          </w:p>
        </w:tc>
        <w:tc>
          <w:tcPr>
            <w:tcW w:w="1040" w:type="dxa"/>
            <w:vAlign w:val="bottom"/>
            <w:vMerge w:val="continue"/>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540" w:type="dxa"/>
            <w:vAlign w:val="bottom"/>
            <w:gridSpan w:val="3"/>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income (loss) per LP unit: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12.62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11.46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LP units outstanding</w:t>
            </w:r>
          </w:p>
        </w:tc>
        <w:tc>
          <w:tcPr>
            <w:tcW w:w="10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GP Allocation</w:t>
      </w:r>
    </w:p>
    <w:p>
      <w:pPr>
        <w:spacing w:after="0" w:line="11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As disclosed in Note 2, "Basis of Presentation and Summary of Significant Accounting Policies - Acquisition, Investments and Disposition of Entities under Common Control," upon the sale of common control entities, such as Federal-Mogul and ARI, a portion of the gain or loss on the sale is first allocated to the general partner in order to restore the general partners' capital account for cumulative charges or credits relating to periods prior to our obtaining a controlling interest in such entities from Mr. Icahn and his affiliates. After such general partner allocation, the remaining gain is allocated among our general partner and limited partners, in accordance with their respective ownership percentages.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337" w:right="239" w:bottom="144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 Distributions</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During each of the years ended December 31, 2018, 2017 and 2016, we declared four quarterly distributions. Depositary unitholders were given the option to make an election to receive the distributions in either cash or additional depositary units. If a holder did not make an election, it was automatically deemed to have elected to receive the distributions in cash. As a result, during each of the years ended December 31, 2018, 2017 and 2016, we distributed an aggregate 17,778,950, 17,644,152 and 12,574,723, respectively, of Icahn Enterprises' depositary units to those depositary unitholders who elected to receive such distributions in additional depositary units.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Incentive Plan</w:t>
      </w:r>
    </w:p>
    <w:p>
      <w:pPr>
        <w:spacing w:after="0" w:line="11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During the years ended December 31, 2018 and 2017, Icahn Enterprises distributed an aggregate of 22,840 and 7,902, respectively, depositary units, net of payroll withholdings, with respect to certain restricted depositary units and deferred unit awards that vested during the period in connection with the Icahn Enterprises L.P. 2017 Long Term Incentive Plan (the "2017 Incentive Plan"). The aggregate impact of the 2017 Incentive Plan is not material with respect to our consolidated financial statements, including the calculation of potentially dilutive units and diluted income per LP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In January 2017, Icahn Enterprises commenced a rights offering entitling holders of the rights to acquire newly issued depositary units of Icahn Enterprises. In connection with this rights offering, we received aggregate proceeds of $600 million in 2017 from depositary unitholders and an additional $12 million from our general partner in order to maintain its aggregate 1.99% interest in us. As a result, we distributed an aggregate of 11,171,104 newly issued depositary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Reporting.</w:t>
      </w:r>
    </w:p>
    <w:p>
      <w:pPr>
        <w:spacing w:after="0" w:line="12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37"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w:t>
      </w:r>
    </w:p>
    <w:p>
      <w:pPr>
        <w:spacing w:after="0" w:line="121" w:lineRule="exact"/>
        <w:rPr>
          <w:sz w:val="20"/>
          <w:szCs w:val="20"/>
          <w:color w:val="auto"/>
        </w:rPr>
      </w:pPr>
    </w:p>
    <w:p>
      <w:pPr>
        <w:ind w:right="220" w:firstLine="378"/>
        <w:spacing w:after="0" w:line="308" w:lineRule="auto"/>
        <w:rPr>
          <w:sz w:val="20"/>
          <w:szCs w:val="20"/>
          <w:color w:val="auto"/>
        </w:rPr>
      </w:pPr>
      <w:r>
        <w:rPr>
          <w:rFonts w:ascii="Arial" w:cs="Arial" w:eastAsia="Arial" w:hAnsi="Arial"/>
          <w:sz w:val="17"/>
          <w:szCs w:val="17"/>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9"/>
          </w:tcPr>
          <w:p>
            <w:pPr>
              <w:spacing w:after="0"/>
              <w:rPr>
                <w:sz w:val="20"/>
                <w:szCs w:val="20"/>
                <w:color w:val="auto"/>
              </w:rPr>
            </w:pPr>
            <w:r>
              <w:rPr>
                <w:rFonts w:ascii="Arial" w:cs="Arial" w:eastAsia="Arial" w:hAnsi="Arial"/>
                <w:sz w:val="11"/>
                <w:szCs w:val="11"/>
                <w:b w:val="1"/>
                <w:bCs w:val="1"/>
                <w:color w:val="auto"/>
              </w:rPr>
              <w:t>Year Ended December 31, 2018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rPr>
              <w:t>Real</w:t>
            </w:r>
          </w:p>
        </w:tc>
        <w:tc>
          <w:tcPr>
            <w:tcW w:w="120" w:type="dxa"/>
            <w:vAlign w:val="bottom"/>
          </w:tcPr>
          <w:p>
            <w:pPr>
              <w:spacing w:after="0"/>
              <w:rPr>
                <w:sz w:val="11"/>
                <w:szCs w:val="11"/>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40" w:type="dxa"/>
            <w:vAlign w:val="bottom"/>
          </w:tcPr>
          <w:p>
            <w:pPr>
              <w:spacing w:after="0"/>
              <w:rPr>
                <w:sz w:val="12"/>
                <w:szCs w:val="12"/>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Food Packaging</w:t>
            </w:r>
          </w:p>
        </w:tc>
        <w:tc>
          <w:tcPr>
            <w:tcW w:w="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Metals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rPr>
              <w:t>Estate</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2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Railcar</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47"/>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5"/>
          </w:tcPr>
          <w:p>
            <w:pPr>
              <w:jc w:val="right"/>
              <w:ind w:right="180"/>
              <w:spacing w:after="0"/>
              <w:rPr>
                <w:sz w:val="20"/>
                <w:szCs w:val="20"/>
                <w:color w:val="auto"/>
              </w:rPr>
            </w:pPr>
            <w:r>
              <w:rPr>
                <w:rFonts w:ascii="Arial" w:cs="Arial" w:eastAsia="Arial" w:hAnsi="Arial"/>
                <w:sz w:val="11"/>
                <w:szCs w:val="11"/>
                <w:color w:val="auto"/>
                <w:w w:val="97"/>
              </w:rPr>
              <w:t>(in millions)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351"/>
        </w:trPr>
        <w:tc>
          <w:tcPr>
            <w:tcW w:w="252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466</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10,576</w:t>
            </w:r>
          </w:p>
        </w:tc>
      </w:tr>
      <w:tr>
        <w:trPr>
          <w:trHeight w:val="248"/>
        </w:trPr>
        <w:tc>
          <w:tcPr>
            <w:tcW w:w="2520" w:type="dxa"/>
            <w:vAlign w:val="bottom"/>
          </w:tcPr>
          <w:p>
            <w:pPr>
              <w:ind w:left="20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647</w:t>
            </w:r>
          </w:p>
        </w:tc>
      </w:tr>
      <w:tr>
        <w:trPr>
          <w:trHeight w:val="22"/>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322</w:t>
            </w:r>
          </w:p>
        </w:tc>
      </w:tr>
      <w:tr>
        <w:trPr>
          <w:trHeight w:val="248"/>
        </w:trPr>
        <w:tc>
          <w:tcPr>
            <w:tcW w:w="2520" w:type="dxa"/>
            <w:vAlign w:val="bottom"/>
          </w:tcPr>
          <w:p>
            <w:pPr>
              <w:ind w:left="20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1"/>
                <w:szCs w:val="21"/>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148</w:t>
            </w:r>
          </w:p>
        </w:tc>
      </w:tr>
      <w:tr>
        <w:trPr>
          <w:trHeight w:val="22"/>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(Loss) 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w:t>
            </w:r>
          </w:p>
        </w:tc>
      </w:tr>
      <w:tr>
        <w:trPr>
          <w:trHeight w:val="248"/>
        </w:trPr>
        <w:tc>
          <w:tcPr>
            <w:tcW w:w="2520" w:type="dxa"/>
            <w:vAlign w:val="bottom"/>
          </w:tcPr>
          <w:p>
            <w:pPr>
              <w:ind w:left="20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11,777</w:t>
            </w:r>
          </w:p>
        </w:tc>
      </w:tr>
      <w:tr>
        <w:trPr>
          <w:trHeight w:val="242"/>
        </w:trPr>
        <w:tc>
          <w:tcPr>
            <w:tcW w:w="2520" w:type="dxa"/>
            <w:vAlign w:val="bottom"/>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8,947</w:t>
            </w:r>
          </w:p>
        </w:tc>
      </w:tr>
      <w:tr>
        <w:trPr>
          <w:trHeight w:val="248"/>
        </w:trPr>
        <w:tc>
          <w:tcPr>
            <w:tcW w:w="2520" w:type="dxa"/>
            <w:vAlign w:val="bottom"/>
          </w:tcPr>
          <w:p>
            <w:pPr>
              <w:ind w:left="20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529</w:t>
            </w:r>
          </w:p>
        </w:tc>
      </w:tr>
      <w:tr>
        <w:trPr>
          <w:trHeight w:val="22"/>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1,386</w:t>
            </w:r>
          </w:p>
        </w:tc>
      </w:tr>
      <w:tr>
        <w:trPr>
          <w:trHeight w:val="248"/>
        </w:trPr>
        <w:tc>
          <w:tcPr>
            <w:tcW w:w="2520" w:type="dxa"/>
            <w:vAlign w:val="bottom"/>
          </w:tcPr>
          <w:p>
            <w:pPr>
              <w:ind w:left="20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w:t>
            </w:r>
          </w:p>
        </w:tc>
      </w:tr>
      <w:tr>
        <w:trPr>
          <w:trHeight w:val="22"/>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92</w:t>
            </w:r>
          </w:p>
        </w:tc>
      </w:tr>
      <w:tr>
        <w:trPr>
          <w:trHeight w:val="248"/>
        </w:trPr>
        <w:tc>
          <w:tcPr>
            <w:tcW w:w="2520" w:type="dxa"/>
            <w:vAlign w:val="bottom"/>
          </w:tcPr>
          <w:p>
            <w:pPr>
              <w:ind w:left="20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524</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11,499</w:t>
            </w:r>
          </w:p>
        </w:tc>
      </w:tr>
      <w:tr>
        <w:trPr>
          <w:trHeight w:val="132"/>
        </w:trPr>
        <w:tc>
          <w:tcPr>
            <w:tcW w:w="2520" w:type="dxa"/>
            <w:vAlign w:val="bottom"/>
          </w:tcPr>
          <w:p>
            <w:pPr>
              <w:ind w:left="40"/>
              <w:spacing w:after="0"/>
              <w:rPr>
                <w:sz w:val="20"/>
                <w:szCs w:val="20"/>
                <w:color w:val="auto"/>
              </w:rPr>
            </w:pPr>
            <w:r>
              <w:rPr>
                <w:rFonts w:ascii="Arial" w:cs="Arial" w:eastAsia="Arial" w:hAnsi="Arial"/>
                <w:sz w:val="11"/>
                <w:szCs w:val="11"/>
                <w:color w:val="auto"/>
                <w:w w:val="90"/>
              </w:rPr>
              <w:t>Income (loss) from continuing operations before income</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36"/>
        </w:trPr>
        <w:tc>
          <w:tcPr>
            <w:tcW w:w="2520" w:type="dxa"/>
            <w:vAlign w:val="bottom"/>
          </w:tcPr>
          <w:p>
            <w:pPr>
              <w:ind w:left="200"/>
              <w:spacing w:after="0"/>
              <w:rPr>
                <w:sz w:val="20"/>
                <w:szCs w:val="20"/>
                <w:color w:val="auto"/>
              </w:rPr>
            </w:pPr>
            <w:r>
              <w:rPr>
                <w:rFonts w:ascii="Arial" w:cs="Arial" w:eastAsia="Arial" w:hAnsi="Arial"/>
                <w:sz w:val="11"/>
                <w:szCs w:val="11"/>
                <w:color w:val="auto"/>
              </w:rPr>
              <w:t>tax (expense) benefit</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679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435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(282)</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(653)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278</w:t>
            </w:r>
          </w:p>
        </w:tc>
      </w:tr>
      <w:tr>
        <w:trPr>
          <w:trHeight w:val="22"/>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r>
      <w:tr>
        <w:trPr>
          <w:trHeight w:val="228"/>
        </w:trPr>
        <w:tc>
          <w:tcPr>
            <w:tcW w:w="2520" w:type="dxa"/>
            <w:vAlign w:val="bottom"/>
          </w:tcPr>
          <w:p>
            <w:pPr>
              <w:ind w:left="40"/>
              <w:spacing w:after="0"/>
              <w:rPr>
                <w:sz w:val="20"/>
                <w:szCs w:val="20"/>
                <w:color w:val="auto"/>
              </w:rPr>
            </w:pPr>
            <w:r>
              <w:rPr>
                <w:rFonts w:ascii="Arial" w:cs="Arial" w:eastAsia="Arial" w:hAnsi="Arial"/>
                <w:sz w:val="11"/>
                <w:szCs w:val="11"/>
                <w:color w:val="auto"/>
              </w:rPr>
              <w:t>Net income (loss) from continuing operations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679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(639)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282</w:t>
            </w:r>
          </w:p>
        </w:tc>
      </w:tr>
      <w:tr>
        <w:trPr>
          <w:trHeight w:val="22"/>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520" w:type="dxa"/>
            <w:vAlign w:val="bottom"/>
            <w:shd w:val="clear" w:color="auto" w:fill="CCEEFF"/>
          </w:tcPr>
          <w:p>
            <w:pPr>
              <w:ind w:left="40"/>
              <w:spacing w:after="0"/>
              <w:rPr>
                <w:sz w:val="20"/>
                <w:szCs w:val="20"/>
                <w:color w:val="auto"/>
              </w:rPr>
            </w:pPr>
            <w:r>
              <w:rPr>
                <w:rFonts w:ascii="Arial" w:cs="Arial" w:eastAsia="Arial" w:hAnsi="Arial"/>
                <w:sz w:val="11"/>
                <w:szCs w:val="11"/>
                <w:color w:val="auto"/>
              </w:rPr>
              <w:t>Less: net income (loss) from continuing operations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attributable to 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360</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495</w:t>
            </w:r>
          </w:p>
        </w:tc>
      </w:tr>
      <w:tr>
        <w:trPr>
          <w:trHeight w:val="132"/>
        </w:trPr>
        <w:tc>
          <w:tcPr>
            <w:tcW w:w="2520" w:type="dxa"/>
            <w:vAlign w:val="bottom"/>
          </w:tcPr>
          <w:p>
            <w:pPr>
              <w:ind w:left="40"/>
              <w:spacing w:after="0"/>
              <w:rPr>
                <w:sz w:val="20"/>
                <w:szCs w:val="20"/>
                <w:color w:val="auto"/>
              </w:rPr>
            </w:pPr>
            <w:r>
              <w:rPr>
                <w:rFonts w:ascii="Arial" w:cs="Arial" w:eastAsia="Arial" w:hAnsi="Arial"/>
                <w:sz w:val="11"/>
                <w:szCs w:val="11"/>
                <w:color w:val="auto"/>
              </w:rPr>
              <w:t>Net income (loss) from continuing operations</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0"/>
        </w:trPr>
        <w:tc>
          <w:tcPr>
            <w:tcW w:w="2520" w:type="dxa"/>
            <w:vAlign w:val="bottom"/>
          </w:tcPr>
          <w:p>
            <w:pPr>
              <w:ind w:left="200"/>
              <w:spacing w:after="0"/>
              <w:rPr>
                <w:sz w:val="20"/>
                <w:szCs w:val="20"/>
                <w:color w:val="auto"/>
              </w:rPr>
            </w:pPr>
            <w:r>
              <w:rPr>
                <w:rFonts w:ascii="Arial" w:cs="Arial" w:eastAsia="Arial" w:hAnsi="Arial"/>
                <w:sz w:val="11"/>
                <w:szCs w:val="11"/>
                <w:color w:val="auto"/>
              </w:rPr>
              <w:t>attributable to Icahn Enterprises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319</w:t>
            </w:r>
          </w:p>
        </w:tc>
        <w:tc>
          <w:tcPr>
            <w:tcW w:w="12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238</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(230)</w:t>
            </w:r>
          </w:p>
        </w:tc>
        <w:tc>
          <w:tcPr>
            <w:tcW w:w="12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5</w:t>
            </w:r>
          </w:p>
        </w:tc>
        <w:tc>
          <w:tcPr>
            <w:tcW w:w="3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(638)</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(213)</w:t>
            </w:r>
          </w:p>
        </w:tc>
      </w:tr>
      <w:tr>
        <w:trPr>
          <w:trHeight w:val="62"/>
        </w:trPr>
        <w:tc>
          <w:tcPr>
            <w:tcW w:w="25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520" w:type="dxa"/>
            <w:vAlign w:val="bottom"/>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272</w:t>
            </w:r>
          </w:p>
        </w:tc>
      </w:tr>
      <w:tr>
        <w:trPr>
          <w:trHeight w:val="248"/>
        </w:trPr>
        <w:tc>
          <w:tcPr>
            <w:tcW w:w="2520" w:type="dxa"/>
            <w:vAlign w:val="bottom"/>
          </w:tcPr>
          <w:p>
            <w:pPr>
              <w:ind w:left="200"/>
              <w:spacing w:after="0"/>
              <w:rPr>
                <w:sz w:val="20"/>
                <w:szCs w:val="20"/>
                <w:color w:val="auto"/>
              </w:rPr>
            </w:pPr>
            <w:r>
              <w:rPr>
                <w:rFonts w:ascii="Arial" w:cs="Arial" w:eastAsia="Arial" w:hAnsi="Arial"/>
                <w:sz w:val="11"/>
                <w:szCs w:val="11"/>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21"/>
                <w:szCs w:val="21"/>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18</w:t>
            </w:r>
          </w:p>
        </w:tc>
        <w:tc>
          <w:tcPr>
            <w:tcW w:w="3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37"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13"/>
          </w:tcPr>
          <w:p>
            <w:pPr>
              <w:jc w:val="center"/>
              <w:ind w:right="440"/>
              <w:spacing w:after="0"/>
              <w:rPr>
                <w:sz w:val="20"/>
                <w:szCs w:val="20"/>
                <w:color w:val="auto"/>
              </w:rPr>
            </w:pPr>
            <w:r>
              <w:rPr>
                <w:rFonts w:ascii="Arial" w:cs="Arial" w:eastAsia="Arial" w:hAnsi="Arial"/>
                <w:sz w:val="11"/>
                <w:szCs w:val="11"/>
                <w:b w:val="1"/>
                <w:bCs w:val="1"/>
                <w:color w:val="auto"/>
                <w:w w:val="88"/>
              </w:rPr>
              <w:t>Year Ended December 31, 2017</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89"/>
              </w:rPr>
              <w:t>Investment</w:t>
            </w:r>
          </w:p>
        </w:tc>
        <w:tc>
          <w:tcPr>
            <w:tcW w:w="120" w:type="dxa"/>
            <w:vAlign w:val="bottom"/>
          </w:tcPr>
          <w:p>
            <w:pPr>
              <w:spacing w:after="0"/>
              <w:rPr>
                <w:sz w:val="12"/>
                <w:szCs w:val="12"/>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Automotive</w:t>
            </w:r>
          </w:p>
        </w:tc>
        <w:tc>
          <w:tcPr>
            <w:tcW w:w="960" w:type="dxa"/>
            <w:vAlign w:val="bottom"/>
            <w:gridSpan w:val="5"/>
          </w:tcPr>
          <w:p>
            <w:pPr>
              <w:ind w:left="40"/>
              <w:spacing w:after="0"/>
              <w:rPr>
                <w:sz w:val="20"/>
                <w:szCs w:val="20"/>
                <w:color w:val="auto"/>
              </w:rPr>
            </w:pPr>
            <w:r>
              <w:rPr>
                <w:rFonts w:ascii="Arial" w:cs="Arial" w:eastAsia="Arial" w:hAnsi="Arial"/>
                <w:sz w:val="11"/>
                <w:szCs w:val="11"/>
                <w:b w:val="1"/>
                <w:bCs w:val="1"/>
                <w:color w:val="auto"/>
              </w:rPr>
              <w:t>Food Packaging</w:t>
            </w:r>
          </w:p>
        </w:tc>
        <w:tc>
          <w:tcPr>
            <w:tcW w:w="10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Metals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4"/>
              </w:rPr>
              <w:t>Estate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5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5"/>
              </w:rPr>
              <w:t>Mining</w:t>
            </w:r>
          </w:p>
        </w:tc>
        <w:tc>
          <w:tcPr>
            <w:tcW w:w="120" w:type="dxa"/>
            <w:vAlign w:val="bottom"/>
          </w:tcPr>
          <w:p>
            <w:pPr>
              <w:spacing w:after="0"/>
              <w:rPr>
                <w:sz w:val="12"/>
                <w:szCs w:val="12"/>
                <w:color w:val="auto"/>
              </w:rPr>
            </w:pP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Railcar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7"/>
              </w:rPr>
              <w:t>Company</w:t>
            </w:r>
          </w:p>
        </w:tc>
        <w:tc>
          <w:tcPr>
            <w:tcW w:w="120" w:type="dxa"/>
            <w:vAlign w:val="bottom"/>
          </w:tcPr>
          <w:p>
            <w:pPr>
              <w:spacing w:after="0"/>
              <w:rPr>
                <w:sz w:val="12"/>
                <w:szCs w:val="12"/>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b w:val="1"/>
                <w:bCs w:val="1"/>
                <w:color w:val="auto"/>
                <w:w w:val="86"/>
              </w:rPr>
              <w:t>Consolidated</w:t>
            </w:r>
          </w:p>
        </w:tc>
        <w:tc>
          <w:tcPr>
            <w:tcW w:w="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6"/>
          </w:tcPr>
          <w:p>
            <w:pPr>
              <w:jc w:val="center"/>
              <w:ind w:right="140"/>
              <w:spacing w:after="0"/>
              <w:rPr>
                <w:sz w:val="20"/>
                <w:szCs w:val="20"/>
                <w:color w:val="auto"/>
              </w:rPr>
            </w:pPr>
            <w:r>
              <w:rPr>
                <w:rFonts w:ascii="Arial" w:cs="Arial" w:eastAsia="Arial" w:hAnsi="Arial"/>
                <w:sz w:val="11"/>
                <w:szCs w:val="11"/>
                <w:color w:val="auto"/>
                <w:w w:val="97"/>
              </w:rPr>
              <w:t>(in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1"/>
        </w:trPr>
        <w:tc>
          <w:tcPr>
            <w:tcW w:w="2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Arial" w:cs="Arial" w:eastAsia="Arial" w:hAnsi="Arial"/>
                <w:sz w:val="11"/>
                <w:szCs w:val="11"/>
                <w:color w:val="auto"/>
              </w:rPr>
              <w:t>Revenues: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409</w:t>
            </w: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9,306</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200"/>
              <w:spacing w:after="0"/>
              <w:rPr>
                <w:sz w:val="20"/>
                <w:szCs w:val="20"/>
                <w:color w:val="auto"/>
              </w:rPr>
            </w:pPr>
            <w:r>
              <w:rPr>
                <w:rFonts w:ascii="Arial" w:cs="Arial" w:eastAsia="Arial" w:hAnsi="Arial"/>
                <w:sz w:val="11"/>
                <w:szCs w:val="11"/>
                <w:color w:val="auto"/>
              </w:rPr>
              <w:t>Other revenues from operations</w:t>
            </w:r>
          </w:p>
        </w:tc>
        <w:tc>
          <w:tcPr>
            <w:tcW w:w="100" w:type="dxa"/>
            <w:vAlign w:val="bottom"/>
          </w:tcPr>
          <w:p>
            <w:pPr>
              <w:spacing w:after="0"/>
              <w:rPr>
                <w:sz w:val="21"/>
                <w:szCs w:val="21"/>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743</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Net gain from investment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302</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200"/>
              <w:spacing w:after="0"/>
              <w:rPr>
                <w:sz w:val="20"/>
                <w:szCs w:val="20"/>
                <w:color w:val="auto"/>
              </w:rPr>
            </w:pPr>
            <w:r>
              <w:rPr>
                <w:rFonts w:ascii="Arial" w:cs="Arial" w:eastAsia="Arial" w:hAnsi="Arial"/>
                <w:sz w:val="11"/>
                <w:szCs w:val="11"/>
                <w:color w:val="auto"/>
              </w:rPr>
              <w:t>Interest and dividend income</w:t>
            </w:r>
          </w:p>
        </w:tc>
        <w:tc>
          <w:tcPr>
            <w:tcW w:w="10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1"/>
                <w:szCs w:val="21"/>
                <w:color w:val="auto"/>
              </w:rPr>
            </w:pPr>
          </w:p>
        </w:tc>
        <w:tc>
          <w:tcPr>
            <w:tcW w:w="64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127</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(Loss) gain on disposition of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2,163</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200"/>
              <w:spacing w:after="0"/>
              <w:rPr>
                <w:sz w:val="20"/>
                <w:szCs w:val="20"/>
                <w:color w:val="auto"/>
              </w:rPr>
            </w:pPr>
            <w:r>
              <w:rPr>
                <w:rFonts w:ascii="Arial" w:cs="Arial" w:eastAsia="Arial" w:hAnsi="Arial"/>
                <w:sz w:val="11"/>
                <w:szCs w:val="11"/>
                <w:color w:val="auto"/>
              </w:rPr>
              <w:t>Other (loss) income, net</w:t>
            </w:r>
          </w:p>
        </w:tc>
        <w:tc>
          <w:tcPr>
            <w:tcW w:w="100" w:type="dxa"/>
            <w:vAlign w:val="bottom"/>
          </w:tcPr>
          <w:p>
            <w:pPr>
              <w:spacing w:after="0"/>
              <w:rPr>
                <w:sz w:val="21"/>
                <w:szCs w:val="2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1"/>
                <w:szCs w:val="21"/>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12,619</w:t>
            </w:r>
          </w:p>
        </w:tc>
        <w:tc>
          <w:tcPr>
            <w:tcW w:w="2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1"/>
                <w:szCs w:val="11"/>
                <w:color w:val="auto"/>
              </w:rPr>
              <w:t>Expenses:</w:t>
            </w: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Cost of goods sold</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8,258</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200"/>
              <w:spacing w:after="0"/>
              <w:rPr>
                <w:sz w:val="20"/>
                <w:szCs w:val="20"/>
                <w:color w:val="auto"/>
              </w:rPr>
            </w:pPr>
            <w:r>
              <w:rPr>
                <w:rFonts w:ascii="Arial" w:cs="Arial" w:eastAsia="Arial" w:hAnsi="Arial"/>
                <w:sz w:val="11"/>
                <w:szCs w:val="11"/>
                <w:color w:val="auto"/>
              </w:rPr>
              <w:t>Other expenses from operations</w:t>
            </w:r>
          </w:p>
        </w:tc>
        <w:tc>
          <w:tcPr>
            <w:tcW w:w="100" w:type="dxa"/>
            <w:vAlign w:val="bottom"/>
          </w:tcPr>
          <w:p>
            <w:pPr>
              <w:spacing w:after="0"/>
              <w:rPr>
                <w:sz w:val="21"/>
                <w:szCs w:val="21"/>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518</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Selling, 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1,269</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200"/>
              <w:spacing w:after="0"/>
              <w:rPr>
                <w:sz w:val="20"/>
                <w:szCs w:val="20"/>
                <w:color w:val="auto"/>
              </w:rPr>
            </w:pPr>
            <w:r>
              <w:rPr>
                <w:rFonts w:ascii="Arial" w:cs="Arial" w:eastAsia="Arial" w:hAnsi="Arial"/>
                <w:sz w:val="11"/>
                <w:szCs w:val="11"/>
                <w:color w:val="auto"/>
              </w:rPr>
              <w:t>Restructuring, net</w:t>
            </w:r>
          </w:p>
        </w:tc>
        <w:tc>
          <w:tcPr>
            <w:tcW w:w="100" w:type="dxa"/>
            <w:vAlign w:val="bottom"/>
          </w:tcPr>
          <w:p>
            <w:pPr>
              <w:spacing w:after="0"/>
              <w:rPr>
                <w:sz w:val="21"/>
                <w:szCs w:val="21"/>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1"/>
                <w:szCs w:val="21"/>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Impairment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200"/>
              <w:spacing w:after="0"/>
              <w:rPr>
                <w:sz w:val="20"/>
                <w:szCs w:val="20"/>
                <w:color w:val="auto"/>
              </w:rPr>
            </w:pPr>
            <w:r>
              <w:rPr>
                <w:rFonts w:ascii="Arial" w:cs="Arial" w:eastAsia="Arial" w:hAnsi="Arial"/>
                <w:sz w:val="11"/>
                <w:szCs w:val="11"/>
                <w:color w:val="auto"/>
              </w:rPr>
              <w:t>Interest expense</w:t>
            </w:r>
          </w:p>
        </w:tc>
        <w:tc>
          <w:tcPr>
            <w:tcW w:w="10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655</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10,791</w:t>
            </w:r>
          </w:p>
        </w:tc>
        <w:tc>
          <w:tcPr>
            <w:tcW w:w="20" w:type="dxa"/>
            <w:vAlign w:val="bottom"/>
          </w:tcPr>
          <w:p>
            <w:pPr>
              <w:spacing w:after="0"/>
              <w:rPr>
                <w:sz w:val="21"/>
                <w:szCs w:val="21"/>
                <w:color w:val="auto"/>
              </w:rPr>
            </w:pPr>
          </w:p>
        </w:tc>
      </w:tr>
      <w:tr>
        <w:trPr>
          <w:trHeight w:val="132"/>
        </w:trPr>
        <w:tc>
          <w:tcPr>
            <w:tcW w:w="20" w:type="dxa"/>
            <w:vAlign w:val="bottom"/>
          </w:tcPr>
          <w:p>
            <w:pPr>
              <w:spacing w:after="0"/>
              <w:rPr>
                <w:sz w:val="11"/>
                <w:szCs w:val="11"/>
                <w:color w:val="auto"/>
              </w:rPr>
            </w:pPr>
          </w:p>
        </w:tc>
        <w:tc>
          <w:tcPr>
            <w:tcW w:w="2520" w:type="dxa"/>
            <w:vAlign w:val="bottom"/>
            <w:gridSpan w:val="2"/>
          </w:tcPr>
          <w:p>
            <w:pPr>
              <w:ind w:left="20"/>
              <w:spacing w:after="0"/>
              <w:rPr>
                <w:sz w:val="20"/>
                <w:szCs w:val="20"/>
                <w:color w:val="auto"/>
              </w:rPr>
            </w:pPr>
            <w:r>
              <w:rPr>
                <w:rFonts w:ascii="Arial" w:cs="Arial" w:eastAsia="Arial" w:hAnsi="Arial"/>
                <w:sz w:val="11"/>
                <w:szCs w:val="11"/>
                <w:color w:val="auto"/>
                <w:w w:val="91"/>
              </w:rPr>
              <w:t>Income (loss) from continuing operations before income</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2520" w:type="dxa"/>
            <w:vAlign w:val="bottom"/>
            <w:gridSpan w:val="2"/>
          </w:tcPr>
          <w:p>
            <w:pPr>
              <w:ind w:left="200"/>
              <w:spacing w:after="0"/>
              <w:rPr>
                <w:sz w:val="20"/>
                <w:szCs w:val="20"/>
                <w:color w:val="auto"/>
              </w:rPr>
            </w:pPr>
            <w:r>
              <w:rPr>
                <w:rFonts w:ascii="Arial" w:cs="Arial" w:eastAsia="Arial" w:hAnsi="Arial"/>
                <w:sz w:val="11"/>
                <w:szCs w:val="11"/>
                <w:color w:val="auto"/>
              </w:rPr>
              <w:t>tax benefit (expense)</w:t>
            </w:r>
          </w:p>
        </w:tc>
        <w:tc>
          <w:tcPr>
            <w:tcW w:w="1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118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(197)</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549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1,702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(288)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1,828</w:t>
            </w:r>
          </w:p>
        </w:tc>
        <w:tc>
          <w:tcPr>
            <w:tcW w:w="2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(531)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529</w:t>
            </w:r>
          </w:p>
        </w:tc>
        <w:tc>
          <w:tcPr>
            <w:tcW w:w="20" w:type="dxa"/>
            <w:vAlign w:val="bottom"/>
          </w:tcPr>
          <w:p>
            <w:pPr>
              <w:spacing w:after="0"/>
              <w:rPr>
                <w:sz w:val="23"/>
                <w:szCs w:val="23"/>
                <w:color w:val="auto"/>
              </w:rPr>
            </w:pPr>
          </w:p>
        </w:tc>
      </w:tr>
      <w:tr>
        <w:trPr>
          <w:trHeight w:val="228"/>
        </w:trPr>
        <w:tc>
          <w:tcPr>
            <w:tcW w:w="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118</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549</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1,171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2,357</w:t>
            </w:r>
          </w:p>
        </w:tc>
        <w:tc>
          <w:tcPr>
            <w:tcW w:w="20" w:type="dxa"/>
            <w:vAlign w:val="bottom"/>
          </w:tcPr>
          <w:p>
            <w:pPr>
              <w:spacing w:after="0"/>
              <w:rPr>
                <w:sz w:val="19"/>
                <w:szCs w:val="19"/>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Less: net income (loss) from continuing operations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attributable to non-controlling interests</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w:t>
            </w:r>
          </w:p>
        </w:tc>
        <w:tc>
          <w:tcPr>
            <w:tcW w:w="20" w:type="dxa"/>
            <w:vAlign w:val="bottom"/>
          </w:tcPr>
          <w:p>
            <w:pPr>
              <w:spacing w:after="0"/>
              <w:rPr>
                <w:sz w:val="13"/>
                <w:szCs w:val="13"/>
                <w:color w:val="auto"/>
              </w:rPr>
            </w:pPr>
          </w:p>
        </w:tc>
      </w:tr>
      <w:tr>
        <w:trPr>
          <w:trHeight w:val="132"/>
        </w:trPr>
        <w:tc>
          <w:tcPr>
            <w:tcW w:w="20" w:type="dxa"/>
            <w:vAlign w:val="bottom"/>
          </w:tcPr>
          <w:p>
            <w:pPr>
              <w:spacing w:after="0"/>
              <w:rPr>
                <w:sz w:val="11"/>
                <w:szCs w:val="11"/>
                <w:color w:val="auto"/>
              </w:rPr>
            </w:pPr>
          </w:p>
        </w:tc>
        <w:tc>
          <w:tcPr>
            <w:tcW w:w="2520" w:type="dxa"/>
            <w:vAlign w:val="bottom"/>
            <w:gridSpan w:val="2"/>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2520" w:type="dxa"/>
            <w:vAlign w:val="bottom"/>
            <w:gridSpan w:val="2"/>
          </w:tcPr>
          <w:p>
            <w:pPr>
              <w:ind w:left="200"/>
              <w:spacing w:after="0"/>
              <w:rPr>
                <w:sz w:val="20"/>
                <w:szCs w:val="20"/>
                <w:color w:val="auto"/>
              </w:rPr>
            </w:pPr>
            <w:r>
              <w:rPr>
                <w:rFonts w:ascii="Arial" w:cs="Arial" w:eastAsia="Arial" w:hAnsi="Arial"/>
                <w:sz w:val="11"/>
                <w:szCs w:val="11"/>
                <w:color w:val="auto"/>
              </w:rPr>
              <w:t>attributable to Icahn Enterprises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80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229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3"/>
                <w:szCs w:val="13"/>
                <w:color w:val="auto"/>
              </w:rPr>
            </w:pPr>
          </w:p>
        </w:tc>
        <w:tc>
          <w:tcPr>
            <w:tcW w:w="320" w:type="dxa"/>
            <w:vAlign w:val="bottom"/>
          </w:tcPr>
          <w:p>
            <w:pPr>
              <w:ind w:left="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(44)</w:t>
            </w:r>
          </w:p>
        </w:tc>
        <w:tc>
          <w:tcPr>
            <w:tcW w:w="28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549</w:t>
            </w:r>
          </w:p>
        </w:tc>
        <w:tc>
          <w:tcPr>
            <w:tcW w:w="100" w:type="dxa"/>
            <w:vAlign w:val="bottom"/>
          </w:tcPr>
          <w:p>
            <w:pPr>
              <w:spacing w:after="0"/>
              <w:rPr>
                <w:sz w:val="13"/>
                <w:szCs w:val="13"/>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1,171</w:t>
            </w:r>
          </w:p>
        </w:tc>
        <w:tc>
          <w:tcPr>
            <w:tcW w:w="100" w:type="dxa"/>
            <w:vAlign w:val="bottom"/>
          </w:tcPr>
          <w:p>
            <w:pPr>
              <w:spacing w:after="0"/>
              <w:rPr>
                <w:sz w:val="13"/>
                <w:szCs w:val="13"/>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355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2,273</w:t>
            </w:r>
          </w:p>
        </w:tc>
        <w:tc>
          <w:tcPr>
            <w:tcW w:w="20" w:type="dxa"/>
            <w:vAlign w:val="bottom"/>
          </w:tcPr>
          <w:p>
            <w:pPr>
              <w:spacing w:after="0"/>
              <w:rPr>
                <w:sz w:val="13"/>
                <w:szCs w:val="13"/>
                <w:color w:val="auto"/>
              </w:rPr>
            </w:pPr>
          </w:p>
        </w:tc>
      </w:tr>
      <w:tr>
        <w:trPr>
          <w:trHeight w:val="62"/>
        </w:trPr>
        <w:tc>
          <w:tcPr>
            <w:tcW w:w="20" w:type="dxa"/>
            <w:vAlign w:val="bottom"/>
          </w:tcPr>
          <w:p>
            <w:pPr>
              <w:spacing w:after="0"/>
              <w:rPr>
                <w:sz w:val="5"/>
                <w:szCs w:val="5"/>
                <w:color w:val="auto"/>
              </w:rPr>
            </w:pPr>
          </w:p>
        </w:tc>
        <w:tc>
          <w:tcPr>
            <w:tcW w:w="25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02"/>
        </w:trPr>
        <w:tc>
          <w:tcPr>
            <w:tcW w:w="20" w:type="dxa"/>
            <w:vAlign w:val="bottom"/>
          </w:tcPr>
          <w:p>
            <w:pPr>
              <w:spacing w:after="0"/>
              <w:rPr>
                <w:sz w:val="8"/>
                <w:szCs w:val="8"/>
                <w:color w:val="auto"/>
              </w:rPr>
            </w:pPr>
          </w:p>
        </w:tc>
        <w:tc>
          <w:tcPr>
            <w:tcW w:w="2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1"/>
                <w:szCs w:val="11"/>
                <w:color w:val="auto"/>
              </w:rPr>
              <w:t>Supplemental information:</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316</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200"/>
              <w:spacing w:after="0"/>
              <w:rPr>
                <w:sz w:val="20"/>
                <w:szCs w:val="20"/>
                <w:color w:val="auto"/>
              </w:rPr>
            </w:pPr>
            <w:r>
              <w:rPr>
                <w:rFonts w:ascii="Arial" w:cs="Arial" w:eastAsia="Arial" w:hAnsi="Arial"/>
                <w:sz w:val="11"/>
                <w:szCs w:val="11"/>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20</w:t>
            </w:r>
          </w:p>
        </w:tc>
        <w:tc>
          <w:tcPr>
            <w:tcW w:w="28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474</w:t>
            </w:r>
          </w:p>
        </w:tc>
        <w:tc>
          <w:tcPr>
            <w:tcW w:w="20" w:type="dxa"/>
            <w:vAlign w:val="bottom"/>
          </w:tcPr>
          <w:p>
            <w:pPr>
              <w:spacing w:after="0"/>
              <w:rPr>
                <w:sz w:val="21"/>
                <w:szCs w:val="21"/>
                <w:color w:val="auto"/>
              </w:rPr>
            </w:pPr>
          </w:p>
        </w:tc>
      </w:tr>
      <w:tr>
        <w:trPr>
          <w:trHeight w:val="405"/>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13"/>
          </w:tcPr>
          <w:p>
            <w:pPr>
              <w:jc w:val="center"/>
              <w:ind w:right="440"/>
              <w:spacing w:after="0"/>
              <w:rPr>
                <w:sz w:val="20"/>
                <w:szCs w:val="20"/>
                <w:color w:val="auto"/>
              </w:rPr>
            </w:pPr>
            <w:r>
              <w:rPr>
                <w:rFonts w:ascii="Arial" w:cs="Arial" w:eastAsia="Arial" w:hAnsi="Arial"/>
                <w:sz w:val="11"/>
                <w:szCs w:val="11"/>
                <w:b w:val="1"/>
                <w:bCs w:val="1"/>
                <w:color w:val="auto"/>
                <w:w w:val="88"/>
              </w:rPr>
              <w:t>Year Ended December 31, 2016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ind w:left="20"/>
              <w:spacing w:after="0"/>
              <w:rPr>
                <w:sz w:val="20"/>
                <w:szCs w:val="20"/>
                <w:color w:val="auto"/>
              </w:rPr>
            </w:pPr>
            <w:r>
              <w:rPr>
                <w:rFonts w:ascii="Arial" w:cs="Arial" w:eastAsia="Arial" w:hAnsi="Arial"/>
                <w:sz w:val="11"/>
                <w:szCs w:val="11"/>
                <w:b w:val="1"/>
                <w:bCs w:val="1"/>
                <w:color w:val="auto"/>
              </w:rPr>
              <w:t>Real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Holding</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89"/>
              </w:rPr>
              <w:t>Investment</w:t>
            </w:r>
          </w:p>
        </w:tc>
        <w:tc>
          <w:tcPr>
            <w:tcW w:w="120" w:type="dxa"/>
            <w:vAlign w:val="bottom"/>
          </w:tcPr>
          <w:p>
            <w:pPr>
              <w:spacing w:after="0"/>
              <w:rPr>
                <w:sz w:val="12"/>
                <w:szCs w:val="12"/>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Automotive</w:t>
            </w:r>
          </w:p>
        </w:tc>
        <w:tc>
          <w:tcPr>
            <w:tcW w:w="960" w:type="dxa"/>
            <w:vAlign w:val="bottom"/>
            <w:gridSpan w:val="5"/>
          </w:tcPr>
          <w:p>
            <w:pPr>
              <w:ind w:left="40"/>
              <w:spacing w:after="0"/>
              <w:rPr>
                <w:sz w:val="20"/>
                <w:szCs w:val="20"/>
                <w:color w:val="auto"/>
              </w:rPr>
            </w:pPr>
            <w:r>
              <w:rPr>
                <w:rFonts w:ascii="Arial" w:cs="Arial" w:eastAsia="Arial" w:hAnsi="Arial"/>
                <w:sz w:val="11"/>
                <w:szCs w:val="11"/>
                <w:b w:val="1"/>
                <w:bCs w:val="1"/>
                <w:color w:val="auto"/>
              </w:rPr>
              <w:t>Food Packaging</w:t>
            </w:r>
          </w:p>
        </w:tc>
        <w:tc>
          <w:tcPr>
            <w:tcW w:w="10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Metals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Estate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5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5"/>
              </w:rPr>
              <w:t>Mining</w:t>
            </w:r>
          </w:p>
        </w:tc>
        <w:tc>
          <w:tcPr>
            <w:tcW w:w="120" w:type="dxa"/>
            <w:vAlign w:val="bottom"/>
          </w:tcPr>
          <w:p>
            <w:pPr>
              <w:spacing w:after="0"/>
              <w:rPr>
                <w:sz w:val="12"/>
                <w:szCs w:val="12"/>
                <w:color w:val="auto"/>
              </w:rPr>
            </w:pP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Railcar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b w:val="1"/>
                <w:bCs w:val="1"/>
                <w:color w:val="auto"/>
                <w:w w:val="88"/>
              </w:rPr>
              <w:t>Consolidated</w:t>
            </w:r>
          </w:p>
        </w:tc>
        <w:tc>
          <w:tcPr>
            <w:tcW w:w="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6"/>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6"/>
          </w:tcPr>
          <w:p>
            <w:pPr>
              <w:jc w:val="center"/>
              <w:ind w:right="140"/>
              <w:spacing w:after="0"/>
              <w:rPr>
                <w:sz w:val="20"/>
                <w:szCs w:val="20"/>
                <w:color w:val="auto"/>
              </w:rPr>
            </w:pPr>
            <w:r>
              <w:rPr>
                <w:rFonts w:ascii="Arial" w:cs="Arial" w:eastAsia="Arial" w:hAnsi="Arial"/>
                <w:sz w:val="11"/>
                <w:szCs w:val="11"/>
                <w:color w:val="auto"/>
                <w:w w:val="97"/>
              </w:rPr>
              <w:t>(in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1"/>
        </w:trPr>
        <w:tc>
          <w:tcPr>
            <w:tcW w:w="2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Arial" w:cs="Arial" w:eastAsia="Arial" w:hAnsi="Arial"/>
                <w:sz w:val="11"/>
                <w:szCs w:val="11"/>
                <w:color w:val="auto"/>
              </w:rPr>
              <w:t>Revenues: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7,740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180"/>
              <w:spacing w:after="0"/>
              <w:rPr>
                <w:sz w:val="20"/>
                <w:szCs w:val="20"/>
                <w:color w:val="auto"/>
              </w:rPr>
            </w:pPr>
            <w:r>
              <w:rPr>
                <w:rFonts w:ascii="Arial" w:cs="Arial" w:eastAsia="Arial" w:hAnsi="Arial"/>
                <w:sz w:val="11"/>
                <w:szCs w:val="11"/>
                <w:color w:val="auto"/>
              </w:rPr>
              <w:t>Other revenues from operations</w:t>
            </w:r>
          </w:p>
        </w:tc>
        <w:tc>
          <w:tcPr>
            <w:tcW w:w="100" w:type="dxa"/>
            <w:vAlign w:val="bottom"/>
          </w:tcPr>
          <w:p>
            <w:pPr>
              <w:spacing w:after="0"/>
              <w:rPr>
                <w:sz w:val="21"/>
                <w:szCs w:val="21"/>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347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840</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Net (loss) gain from investment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(1,373)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180"/>
              <w:spacing w:after="0"/>
              <w:rPr>
                <w:sz w:val="20"/>
                <w:szCs w:val="20"/>
                <w:color w:val="auto"/>
              </w:rPr>
            </w:pPr>
            <w:r>
              <w:rPr>
                <w:rFonts w:ascii="Arial" w:cs="Arial" w:eastAsia="Arial" w:hAnsi="Arial"/>
                <w:sz w:val="11"/>
                <w:szCs w:val="11"/>
                <w:color w:val="auto"/>
              </w:rPr>
              <w:t>Interest and dividend income</w:t>
            </w: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1"/>
                <w:szCs w:val="21"/>
                <w:color w:val="auto"/>
              </w:rPr>
            </w:pPr>
          </w:p>
        </w:tc>
        <w:tc>
          <w:tcPr>
            <w:tcW w:w="64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124</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Gain on disposition of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180"/>
              <w:spacing w:after="0"/>
              <w:rPr>
                <w:sz w:val="20"/>
                <w:szCs w:val="20"/>
                <w:color w:val="auto"/>
              </w:rPr>
            </w:pPr>
            <w:r>
              <w:rPr>
                <w:rFonts w:ascii="Arial" w:cs="Arial" w:eastAsia="Arial" w:hAnsi="Arial"/>
                <w:sz w:val="11"/>
                <w:szCs w:val="11"/>
                <w:color w:val="auto"/>
              </w:rPr>
              <w:t>Other income (loss), net</w:t>
            </w: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42</w:t>
            </w:r>
          </w:p>
        </w:tc>
        <w:tc>
          <w:tcPr>
            <w:tcW w:w="20" w:type="dxa"/>
            <w:vAlign w:val="bottom"/>
          </w:tcPr>
          <w:p>
            <w:pPr>
              <w:spacing w:after="0"/>
              <w:rPr>
                <w:sz w:val="21"/>
                <w:szCs w:val="2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7,379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1"/>
                <w:szCs w:val="11"/>
                <w:color w:val="auto"/>
              </w:rPr>
              <w:t>Expenses:</w:t>
            </w: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Cost of goods sold</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6,837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180"/>
              <w:spacing w:after="0"/>
              <w:rPr>
                <w:sz w:val="20"/>
                <w:szCs w:val="20"/>
                <w:color w:val="auto"/>
              </w:rPr>
            </w:pPr>
            <w:r>
              <w:rPr>
                <w:rFonts w:ascii="Arial" w:cs="Arial" w:eastAsia="Arial" w:hAnsi="Arial"/>
                <w:sz w:val="11"/>
                <w:szCs w:val="11"/>
                <w:color w:val="auto"/>
              </w:rPr>
              <w:t>Other expenses from operations</w:t>
            </w:r>
          </w:p>
        </w:tc>
        <w:tc>
          <w:tcPr>
            <w:tcW w:w="100" w:type="dxa"/>
            <w:vAlign w:val="bottom"/>
          </w:tcPr>
          <w:p>
            <w:pPr>
              <w:spacing w:after="0"/>
              <w:rPr>
                <w:sz w:val="21"/>
                <w:szCs w:val="21"/>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631</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Selling, 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1,001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180"/>
              <w:spacing w:after="0"/>
              <w:rPr>
                <w:sz w:val="20"/>
                <w:szCs w:val="20"/>
                <w:color w:val="auto"/>
              </w:rPr>
            </w:pPr>
            <w:r>
              <w:rPr>
                <w:rFonts w:ascii="Arial" w:cs="Arial" w:eastAsia="Arial" w:hAnsi="Arial"/>
                <w:sz w:val="11"/>
                <w:szCs w:val="11"/>
                <w:color w:val="auto"/>
              </w:rPr>
              <w:t>Restructuring</w:t>
            </w:r>
          </w:p>
        </w:tc>
        <w:tc>
          <w:tcPr>
            <w:tcW w:w="100" w:type="dxa"/>
            <w:vAlign w:val="bottom"/>
          </w:tcPr>
          <w:p>
            <w:pPr>
              <w:spacing w:after="0"/>
              <w:rPr>
                <w:sz w:val="21"/>
                <w:szCs w:val="21"/>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21"/>
                <w:szCs w:val="2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Impairment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2520" w:type="dxa"/>
            <w:vAlign w:val="bottom"/>
            <w:gridSpan w:val="2"/>
          </w:tcPr>
          <w:p>
            <w:pPr>
              <w:ind w:left="180"/>
              <w:spacing w:after="0"/>
              <w:rPr>
                <w:sz w:val="20"/>
                <w:szCs w:val="20"/>
                <w:color w:val="auto"/>
              </w:rPr>
            </w:pPr>
            <w:r>
              <w:rPr>
                <w:rFonts w:ascii="Arial" w:cs="Arial" w:eastAsia="Arial" w:hAnsi="Arial"/>
                <w:sz w:val="11"/>
                <w:szCs w:val="11"/>
                <w:color w:val="auto"/>
              </w:rPr>
              <w:t>Interest expense</w:t>
            </w:r>
          </w:p>
        </w:tc>
        <w:tc>
          <w:tcPr>
            <w:tcW w:w="1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289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692</w:t>
            </w:r>
          </w:p>
        </w:tc>
        <w:tc>
          <w:tcPr>
            <w:tcW w:w="20" w:type="dxa"/>
            <w:vAlign w:val="bottom"/>
          </w:tcPr>
          <w:p>
            <w:pPr>
              <w:spacing w:after="0"/>
              <w:rPr>
                <w:sz w:val="21"/>
                <w:szCs w:val="2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9,752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32"/>
        </w:trPr>
        <w:tc>
          <w:tcPr>
            <w:tcW w:w="20" w:type="dxa"/>
            <w:vAlign w:val="bottom"/>
          </w:tcPr>
          <w:p>
            <w:pPr>
              <w:spacing w:after="0"/>
              <w:rPr>
                <w:sz w:val="11"/>
                <w:szCs w:val="11"/>
                <w:color w:val="auto"/>
              </w:rPr>
            </w:pPr>
          </w:p>
        </w:tc>
        <w:tc>
          <w:tcPr>
            <w:tcW w:w="2500" w:type="dxa"/>
            <w:vAlign w:val="bottom"/>
          </w:tcPr>
          <w:p>
            <w:pPr>
              <w:ind w:left="20"/>
              <w:spacing w:after="0"/>
              <w:rPr>
                <w:sz w:val="20"/>
                <w:szCs w:val="20"/>
                <w:color w:val="auto"/>
              </w:rPr>
            </w:pPr>
            <w:r>
              <w:rPr>
                <w:rFonts w:ascii="Arial" w:cs="Arial" w:eastAsia="Arial" w:hAnsi="Arial"/>
                <w:sz w:val="11"/>
                <w:szCs w:val="11"/>
                <w:color w:val="auto"/>
              </w:rPr>
              <w:t>(Loss) income from continuing operations before</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2520" w:type="dxa"/>
            <w:vAlign w:val="bottom"/>
            <w:gridSpan w:val="2"/>
          </w:tcPr>
          <w:p>
            <w:pPr>
              <w:ind w:left="180"/>
              <w:spacing w:after="0"/>
              <w:rPr>
                <w:sz w:val="20"/>
                <w:szCs w:val="20"/>
                <w:color w:val="auto"/>
              </w:rPr>
            </w:pPr>
            <w:r>
              <w:rPr>
                <w:rFonts w:ascii="Arial" w:cs="Arial" w:eastAsia="Arial" w:hAnsi="Arial"/>
                <w:sz w:val="11"/>
                <w:szCs w:val="11"/>
                <w:color w:val="auto"/>
              </w:rPr>
              <w:t>income tax benefit (expense)</w:t>
            </w:r>
          </w:p>
        </w:tc>
        <w:tc>
          <w:tcPr>
            <w:tcW w:w="10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(1,487)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(649)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(292)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(2,373)</w:t>
            </w:r>
          </w:p>
        </w:tc>
        <w:tc>
          <w:tcPr>
            <w:tcW w:w="2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28"/>
        </w:trPr>
        <w:tc>
          <w:tcPr>
            <w:tcW w:w="2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1"/>
                <w:szCs w:val="11"/>
                <w:color w:val="auto"/>
              </w:rPr>
              <w:t>Net (loss) income from continuing operations</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(1,487)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(12)</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(24)</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(287)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(2,285)</w:t>
            </w:r>
          </w:p>
        </w:tc>
        <w:tc>
          <w:tcPr>
            <w:tcW w:w="20" w:type="dxa"/>
            <w:vAlign w:val="bottom"/>
            <w:tcBorders>
              <w:top w:val="single" w:sz="8" w:color="auto"/>
            </w:tcBorders>
          </w:tcPr>
          <w:p>
            <w:pPr>
              <w:spacing w:after="0"/>
              <w:rPr>
                <w:sz w:val="19"/>
                <w:szCs w:val="19"/>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Less: net (loss) income from continuing operations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attributable to non-controlling interests</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(883)</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(277)</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(1,158)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32"/>
        </w:trPr>
        <w:tc>
          <w:tcPr>
            <w:tcW w:w="20" w:type="dxa"/>
            <w:vAlign w:val="bottom"/>
          </w:tcPr>
          <w:p>
            <w:pPr>
              <w:spacing w:after="0"/>
              <w:rPr>
                <w:sz w:val="11"/>
                <w:szCs w:val="11"/>
                <w:color w:val="auto"/>
              </w:rPr>
            </w:pPr>
          </w:p>
        </w:tc>
        <w:tc>
          <w:tcPr>
            <w:tcW w:w="2500" w:type="dxa"/>
            <w:vAlign w:val="bottom"/>
          </w:tcPr>
          <w:p>
            <w:pPr>
              <w:ind w:left="20"/>
              <w:spacing w:after="0"/>
              <w:rPr>
                <w:sz w:val="20"/>
                <w:szCs w:val="20"/>
                <w:color w:val="auto"/>
              </w:rPr>
            </w:pPr>
            <w:r>
              <w:rPr>
                <w:rFonts w:ascii="Arial" w:cs="Arial" w:eastAsia="Arial" w:hAnsi="Arial"/>
                <w:sz w:val="11"/>
                <w:szCs w:val="11"/>
                <w:color w:val="auto"/>
              </w:rPr>
              <w:t>Net (loss) income from continuing operations</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2520" w:type="dxa"/>
            <w:vAlign w:val="bottom"/>
            <w:gridSpan w:val="2"/>
          </w:tcPr>
          <w:p>
            <w:pPr>
              <w:ind w:left="180"/>
              <w:spacing w:after="0"/>
              <w:rPr>
                <w:sz w:val="20"/>
                <w:szCs w:val="20"/>
                <w:color w:val="auto"/>
              </w:rPr>
            </w:pPr>
            <w:r>
              <w:rPr>
                <w:rFonts w:ascii="Arial" w:cs="Arial" w:eastAsia="Arial" w:hAnsi="Arial"/>
                <w:sz w:val="11"/>
                <w:szCs w:val="11"/>
                <w:color w:val="auto"/>
              </w:rPr>
              <w:t>attributable to Icahn Enterprises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(604)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(20)</w:t>
            </w:r>
          </w:p>
        </w:tc>
        <w:tc>
          <w:tcPr>
            <w:tcW w:w="28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ind w:left="40"/>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112</w:t>
            </w:r>
          </w:p>
        </w:tc>
        <w:tc>
          <w:tcPr>
            <w:tcW w:w="100" w:type="dxa"/>
            <w:vAlign w:val="bottom"/>
          </w:tcPr>
          <w:p>
            <w:pPr>
              <w:spacing w:after="0"/>
              <w:rPr>
                <w:sz w:val="13"/>
                <w:szCs w:val="13"/>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(287)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(1,127)</w:t>
            </w:r>
          </w:p>
        </w:tc>
        <w:tc>
          <w:tcPr>
            <w:tcW w:w="20" w:type="dxa"/>
            <w:vAlign w:val="bottom"/>
          </w:tcPr>
          <w:p>
            <w:pPr>
              <w:spacing w:after="0"/>
              <w:rPr>
                <w:sz w:val="13"/>
                <w:szCs w:val="13"/>
                <w:color w:val="auto"/>
              </w:rPr>
            </w:pPr>
          </w:p>
        </w:tc>
      </w:tr>
      <w:tr>
        <w:trPr>
          <w:trHeight w:val="62"/>
        </w:trPr>
        <w:tc>
          <w:tcPr>
            <w:tcW w:w="20" w:type="dxa"/>
            <w:vAlign w:val="bottom"/>
            <w:tcBorders>
              <w:bottom w:val="single" w:sz="8" w:color="CCEEFF"/>
            </w:tcBorders>
          </w:tcPr>
          <w:p>
            <w:pPr>
              <w:spacing w:after="0"/>
              <w:rPr>
                <w:sz w:val="5"/>
                <w:szCs w:val="5"/>
                <w:color w:val="auto"/>
              </w:rPr>
            </w:pPr>
          </w:p>
        </w:tc>
        <w:tc>
          <w:tcPr>
            <w:tcW w:w="25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24"/>
        </w:trPr>
        <w:tc>
          <w:tcPr>
            <w:tcW w:w="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-5093335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p>
      <w:pPr>
        <w:spacing w:after="0" w:line="112" w:lineRule="exact"/>
        <w:rPr>
          <w:sz w:val="20"/>
          <w:szCs w:val="20"/>
          <w:color w:val="auto"/>
        </w:rPr>
      </w:pPr>
    </w:p>
    <w:p>
      <w:pPr>
        <w:ind w:left="40"/>
        <w:spacing w:after="0"/>
        <w:rPr>
          <w:sz w:val="20"/>
          <w:szCs w:val="20"/>
          <w:color w:val="auto"/>
        </w:rPr>
      </w:pPr>
      <w:r>
        <w:rPr>
          <w:rFonts w:ascii="Arial" w:cs="Arial" w:eastAsia="Arial" w:hAnsi="Arial"/>
          <w:sz w:val="9"/>
          <w:szCs w:val="9"/>
          <w:color w:val="auto"/>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78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7874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56"/>
        </w:trPr>
        <w:tc>
          <w:tcPr>
            <w:tcW w:w="20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133</w:t>
            </w:r>
          </w:p>
        </w:tc>
        <w:tc>
          <w:tcPr>
            <w:tcW w:w="44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37</w:t>
            </w:r>
          </w:p>
        </w:tc>
        <w:tc>
          <w:tcPr>
            <w:tcW w:w="46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18</w:t>
            </w:r>
          </w:p>
        </w:tc>
        <w:tc>
          <w:tcPr>
            <w:tcW w:w="3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2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3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c>
          <w:tcPr>
            <w:tcW w:w="3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36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4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247</w:t>
            </w:r>
          </w:p>
        </w:tc>
      </w:tr>
      <w:tr>
        <w:trPr>
          <w:trHeight w:val="87"/>
        </w:trPr>
        <w:tc>
          <w:tcPr>
            <w:tcW w:w="20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r>
      <w:tr>
        <w:trPr>
          <w:trHeight w:val="248"/>
        </w:trPr>
        <w:tc>
          <w:tcPr>
            <w:tcW w:w="2020" w:type="dxa"/>
            <w:vAlign w:val="bottom"/>
          </w:tcPr>
          <w:p>
            <w:pPr>
              <w:ind w:left="200"/>
              <w:spacing w:after="0"/>
              <w:rPr>
                <w:sz w:val="20"/>
                <w:szCs w:val="20"/>
                <w:color w:val="auto"/>
              </w:rPr>
            </w:pPr>
            <w:r>
              <w:rPr>
                <w:rFonts w:ascii="Arial" w:cs="Arial" w:eastAsia="Arial" w:hAnsi="Arial"/>
                <w:sz w:val="11"/>
                <w:szCs w:val="11"/>
                <w:color w:val="auto"/>
              </w:rPr>
              <w:t>Depreciation and amortization</w:t>
            </w:r>
          </w:p>
        </w:tc>
        <w:tc>
          <w:tcPr>
            <w:tcW w:w="84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500" w:type="dxa"/>
            <w:vAlign w:val="bottom"/>
          </w:tcPr>
          <w:p>
            <w:pPr>
              <w:ind w:left="260"/>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86"/>
              <w:spacing w:after="0"/>
              <w:rPr>
                <w:sz w:val="20"/>
                <w:szCs w:val="20"/>
                <w:color w:val="auto"/>
              </w:rPr>
            </w:pPr>
            <w:r>
              <w:rPr>
                <w:rFonts w:ascii="Arial" w:cs="Arial" w:eastAsia="Arial" w:hAnsi="Arial"/>
                <w:sz w:val="11"/>
                <w:szCs w:val="11"/>
                <w:color w:val="auto"/>
              </w:rPr>
              <w:t>258</w:t>
            </w:r>
          </w:p>
        </w:tc>
        <w:tc>
          <w:tcPr>
            <w:tcW w:w="4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98</w:t>
            </w:r>
          </w:p>
        </w:tc>
        <w:tc>
          <w:tcPr>
            <w:tcW w:w="46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3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36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66"/>
              <w:spacing w:after="0"/>
              <w:rPr>
                <w:sz w:val="20"/>
                <w:szCs w:val="20"/>
                <w:color w:val="auto"/>
              </w:rPr>
            </w:pPr>
            <w:r>
              <w:rPr>
                <w:rFonts w:ascii="Arial" w:cs="Arial" w:eastAsia="Arial" w:hAnsi="Arial"/>
                <w:sz w:val="11"/>
                <w:szCs w:val="11"/>
                <w:color w:val="auto"/>
              </w:rPr>
              <w:t>92</w:t>
            </w:r>
          </w:p>
        </w:tc>
        <w:tc>
          <w:tcPr>
            <w:tcW w:w="42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480" w:type="dxa"/>
            <w:vAlign w:val="bottom"/>
          </w:tcPr>
          <w:p>
            <w:pPr>
              <w:ind w:left="24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526</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40"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certain reportable segments below. Refer to Note 2, "Basis of Presentation and Summary of Significant Accounting Policies," for certain revenue recognition policies with respect to the following reporting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Energy segment net sales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center"/>
              <w:ind w:right="234"/>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 products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Nitrogen fertilizer products</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57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Automotive segment net sales and other revenues from operations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center"/>
              <w:ind w:right="234"/>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services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Aftermarket parts sales</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1,503</w:t>
            </w:r>
          </w:p>
        </w:tc>
      </w:tr>
      <w:tr>
        <w:trPr>
          <w:trHeight w:val="27"/>
        </w:trPr>
        <w:tc>
          <w:tcPr>
            <w:tcW w:w="57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As discussed in Note 1, "Description of Business," we adopted FASB ASC Topic 606 effective January 1, 2018 which affected the revenue recognized on the of sale of goods on a drop ship basis. Beginning in 2018, revenue from drop ship sales is recorded on a net basis and for prior periods was recorded on a gross basis. Prior periods were not adjusted for the adoption of FASB ASC Topic 606 in our consolidated financial statements. For the year ended December 31, 2018, aftermarket parts sales (which is included in net sales in our consolidated statements of operations) and cost of goods sold would each have been higher by $62 million under prior accounting principles.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37"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121" w:lineRule="exact"/>
        <w:rPr>
          <w:sz w:val="20"/>
          <w:szCs w:val="20"/>
          <w:color w:val="auto"/>
        </w:rPr>
      </w:pPr>
    </w:p>
    <w:p>
      <w:pPr>
        <w:ind w:firstLine="378"/>
        <w:spacing w:after="0" w:line="342" w:lineRule="auto"/>
        <w:rPr>
          <w:sz w:val="20"/>
          <w:szCs w:val="20"/>
          <w:color w:val="auto"/>
        </w:rPr>
      </w:pPr>
      <w:r>
        <w:rPr>
          <w:rFonts w:ascii="Arial" w:cs="Arial" w:eastAsia="Arial" w:hAnsi="Arial"/>
          <w:sz w:val="16"/>
          <w:szCs w:val="16"/>
          <w:color w:val="auto"/>
        </w:rPr>
        <w:t>Icahn Enterprises' condensed balance sheets by reporting segment are presented below. Icahn Enterprises Holdings' condensed balance sheets are substantially the same, with immaterial differences relating to our Holding Company's other assets, debt and equity attributable to Icahn Enterprises Holdings.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6"/>
          </w:tcPr>
          <w:p>
            <w:pPr>
              <w:ind w:left="260"/>
              <w:spacing w:after="0"/>
              <w:rPr>
                <w:sz w:val="20"/>
                <w:szCs w:val="20"/>
                <w:color w:val="auto"/>
              </w:rPr>
            </w:pPr>
            <w:r>
              <w:rPr>
                <w:rFonts w:ascii="Arial" w:cs="Arial" w:eastAsia="Arial" w:hAnsi="Arial"/>
                <w:sz w:val="11"/>
                <w:szCs w:val="11"/>
                <w:b w:val="1"/>
                <w:bCs w:val="1"/>
                <w:color w:val="auto"/>
                <w:w w:val="96"/>
              </w:rPr>
              <w:t>December 31, 2018</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Food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Metals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2"/>
              </w:rPr>
              <w:t>Railcar</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5"/>
          </w:tcPr>
          <w:p>
            <w:pPr>
              <w:jc w:val="right"/>
              <w:ind w:right="28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128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2,656</w:t>
            </w:r>
          </w:p>
        </w:tc>
      </w:tr>
      <w:tr>
        <w:trPr>
          <w:trHeight w:val="248"/>
        </w:trPr>
        <w:tc>
          <w:tcPr>
            <w:tcW w:w="2980" w:type="dxa"/>
            <w:vAlign w:val="bottom"/>
          </w:tcPr>
          <w:p>
            <w:pPr>
              <w:ind w:left="20"/>
              <w:spacing w:after="0"/>
              <w:rPr>
                <w:sz w:val="20"/>
                <w:szCs w:val="20"/>
                <w:color w:val="auto"/>
              </w:rPr>
            </w:pPr>
            <w:r>
              <w:rPr>
                <w:rFonts w:ascii="Arial" w:cs="Arial" w:eastAsia="Arial" w:hAnsi="Arial"/>
                <w:sz w:val="11"/>
                <w:szCs w:val="11"/>
                <w:color w:val="auto"/>
                <w:w w:val="89"/>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2,648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2,682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8,337</w:t>
            </w:r>
          </w:p>
        </w:tc>
      </w:tr>
      <w:tr>
        <w:trPr>
          <w:trHeight w:val="248"/>
        </w:trPr>
        <w:tc>
          <w:tcPr>
            <w:tcW w:w="2980" w:type="dxa"/>
            <w:vAlign w:val="bottom"/>
          </w:tcPr>
          <w:p>
            <w:pPr>
              <w:ind w:left="2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474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1,779</w:t>
            </w:r>
          </w:p>
        </w:tc>
      </w:tr>
      <w:tr>
        <w:trPr>
          <w:trHeight w:val="248"/>
        </w:trPr>
        <w:tc>
          <w:tcPr>
            <w:tcW w:w="298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3,042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367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4,703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748</w:t>
            </w:r>
          </w:p>
        </w:tc>
      </w:tr>
      <w:tr>
        <w:trPr>
          <w:trHeight w:val="248"/>
        </w:trPr>
        <w:tc>
          <w:tcPr>
            <w:tcW w:w="2980" w:type="dxa"/>
            <w:vAlign w:val="bottom"/>
          </w:tcPr>
          <w:p>
            <w:pPr>
              <w:ind w:left="20"/>
              <w:spacing w:after="0"/>
              <w:rPr>
                <w:sz w:val="20"/>
                <w:szCs w:val="20"/>
                <w:color w:val="auto"/>
              </w:rPr>
            </w:pPr>
            <w:r>
              <w:rPr>
                <w:rFonts w:ascii="Arial" w:cs="Arial" w:eastAsia="Arial" w:hAnsi="Arial"/>
                <w:sz w:val="11"/>
                <w:szCs w:val="11"/>
                <w:color w:val="auto"/>
              </w:rPr>
              <w:t>Assets held for sale</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1,684</w:t>
            </w:r>
          </w:p>
        </w:tc>
      </w:tr>
      <w:tr>
        <w:trPr>
          <w:trHeight w:val="272"/>
        </w:trPr>
        <w:tc>
          <w:tcPr>
            <w:tcW w:w="29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10,750</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4,738</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3,024</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511</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233</w:t>
            </w:r>
          </w:p>
        </w:tc>
        <w:tc>
          <w:tcPr>
            <w:tcW w:w="8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508</w:t>
            </w:r>
          </w:p>
        </w:tc>
        <w:tc>
          <w:tcPr>
            <w:tcW w:w="10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172</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3,161</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23,396</w:t>
            </w:r>
          </w:p>
        </w:tc>
      </w:tr>
      <w:tr>
        <w:trPr>
          <w:trHeight w:val="235"/>
        </w:trPr>
        <w:tc>
          <w:tcPr>
            <w:tcW w:w="2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8"/>
        </w:trPr>
        <w:tc>
          <w:tcPr>
            <w:tcW w:w="2980" w:type="dxa"/>
            <w:vAlign w:val="bottom"/>
          </w:tcPr>
          <w:p>
            <w:pPr>
              <w:ind w:left="2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1,025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905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164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56</w:t>
            </w:r>
          </w:p>
        </w:tc>
        <w:tc>
          <w:tcPr>
            <w:tcW w:w="2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178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2,444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468</w:t>
            </w:r>
          </w:p>
        </w:tc>
      </w:tr>
      <w:tr>
        <w:trPr>
          <w:trHeight w:val="248"/>
        </w:trPr>
        <w:tc>
          <w:tcPr>
            <w:tcW w:w="2980" w:type="dxa"/>
            <w:vAlign w:val="bottom"/>
          </w:tcPr>
          <w:p>
            <w:pPr>
              <w:ind w:left="20"/>
              <w:spacing w:after="0"/>
              <w:rPr>
                <w:sz w:val="20"/>
                <w:szCs w:val="20"/>
                <w:color w:val="auto"/>
              </w:rPr>
            </w:pPr>
            <w:r>
              <w:rPr>
                <w:rFonts w:ascii="Arial" w:cs="Arial" w:eastAsia="Arial" w:hAnsi="Arial"/>
                <w:sz w:val="11"/>
                <w:szCs w:val="11"/>
                <w:color w:val="auto"/>
              </w:rPr>
              <w:t>Due to brokers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Liabilities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w:t>
            </w:r>
          </w:p>
        </w:tc>
      </w:tr>
      <w:tr>
        <w:trPr>
          <w:trHeight w:val="248"/>
        </w:trPr>
        <w:tc>
          <w:tcPr>
            <w:tcW w:w="2980" w:type="dxa"/>
            <w:vAlign w:val="bottom"/>
          </w:tcPr>
          <w:p>
            <w:pPr>
              <w:ind w:left="20"/>
              <w:spacing w:after="0"/>
              <w:rPr>
                <w:sz w:val="20"/>
                <w:szCs w:val="20"/>
                <w:color w:val="auto"/>
              </w:rPr>
            </w:pPr>
            <w:r>
              <w:rPr>
                <w:rFonts w:ascii="Arial" w:cs="Arial" w:eastAsia="Arial" w:hAnsi="Arial"/>
                <w:sz w:val="11"/>
                <w:szCs w:val="11"/>
                <w:color w:val="auto"/>
              </w:rPr>
              <w:t>Debt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5,505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7,326</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10,491</w:t>
            </w:r>
          </w:p>
        </w:tc>
      </w:tr>
      <w:tr>
        <w:trPr>
          <w:trHeight w:val="223"/>
        </w:trPr>
        <w:tc>
          <w:tcPr>
            <w:tcW w:w="2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6,529</w:t>
            </w:r>
          </w:p>
        </w:tc>
      </w:tr>
      <w:tr>
        <w:trPr>
          <w:trHeight w:val="248"/>
        </w:trPr>
        <w:tc>
          <w:tcPr>
            <w:tcW w:w="2980" w:type="dxa"/>
            <w:vAlign w:val="bottom"/>
          </w:tcPr>
          <w:p>
            <w:pPr>
              <w:ind w:left="2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5,035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6,376</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equity</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12,905</w:t>
            </w:r>
          </w:p>
        </w:tc>
      </w:tr>
      <w:tr>
        <w:trPr>
          <w:trHeight w:val="232"/>
        </w:trPr>
        <w:tc>
          <w:tcPr>
            <w:tcW w:w="2980" w:type="dxa"/>
            <w:vAlign w:val="bottom"/>
          </w:tcPr>
          <w:p>
            <w:pPr>
              <w:ind w:left="10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10,750</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4,738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3,024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511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233</w:t>
            </w: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508</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172</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3,161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23,396</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337"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8"/>
              </w:rPr>
              <w:t>December 31, 2017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Holding</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Discontinued</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2"/>
              </w:rPr>
              <w:t>Railcar</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Operations</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1"/>
                <w:szCs w:val="11"/>
                <w:color w:val="auto"/>
                <w:w w:val="93"/>
              </w:rPr>
              <w:t>(in millions)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1820" w:type="dxa"/>
            <w:vAlign w:val="bottom"/>
          </w:tcPr>
          <w:p>
            <w:pPr>
              <w:ind w:left="72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1,164</w:t>
            </w:r>
          </w:p>
        </w:tc>
      </w:tr>
      <w:tr>
        <w:trPr>
          <w:trHeight w:val="139"/>
        </w:trPr>
        <w:tc>
          <w:tcPr>
            <w:tcW w:w="1820" w:type="dxa"/>
            <w:vAlign w:val="bottom"/>
          </w:tcPr>
          <w:p>
            <w:pPr>
              <w:ind w:left="20"/>
              <w:spacing w:after="0"/>
              <w:rPr>
                <w:sz w:val="20"/>
                <w:szCs w:val="20"/>
                <w:color w:val="auto"/>
              </w:rPr>
            </w:pPr>
            <w:r>
              <w:rPr>
                <w:rFonts w:ascii="Arial" w:cs="Arial" w:eastAsia="Arial" w:hAnsi="Arial"/>
                <w:sz w:val="11"/>
                <w:szCs w:val="11"/>
                <w:color w:val="auto"/>
              </w:rPr>
              <w:t>Cash held at consolidated affiliated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1820" w:type="dxa"/>
            <w:vAlign w:val="bottom"/>
          </w:tcPr>
          <w:p>
            <w:pPr>
              <w:ind w:left="200"/>
              <w:spacing w:after="0"/>
              <w:rPr>
                <w:sz w:val="20"/>
                <w:szCs w:val="20"/>
                <w:color w:val="auto"/>
              </w:rPr>
            </w:pPr>
            <w:r>
              <w:rPr>
                <w:rFonts w:ascii="Arial" w:cs="Arial" w:eastAsia="Arial" w:hAnsi="Arial"/>
                <w:sz w:val="11"/>
                <w:szCs w:val="11"/>
                <w:color w:val="auto"/>
              </w:rPr>
              <w:t>partnerships and restricted cash</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734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747</w:t>
            </w:r>
          </w:p>
        </w:tc>
      </w:tr>
      <w:tr>
        <w:trPr>
          <w:trHeight w:val="22"/>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9,532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10,015</w:t>
            </w:r>
          </w:p>
        </w:tc>
      </w:tr>
      <w:tr>
        <w:trPr>
          <w:trHeight w:val="248"/>
        </w:trPr>
        <w:tc>
          <w:tcPr>
            <w:tcW w:w="1820" w:type="dxa"/>
            <w:vAlign w:val="bottom"/>
          </w:tcPr>
          <w:p>
            <w:pPr>
              <w:ind w:left="2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473</w:t>
            </w:r>
          </w:p>
        </w:tc>
      </w:tr>
      <w:tr>
        <w:trPr>
          <w:trHeight w:val="22"/>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1,145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1,730</w:t>
            </w:r>
          </w:p>
        </w:tc>
      </w:tr>
      <w:tr>
        <w:trPr>
          <w:trHeight w:val="248"/>
        </w:trPr>
        <w:tc>
          <w:tcPr>
            <w:tcW w:w="182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958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454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5,186</w:t>
            </w:r>
          </w:p>
        </w:tc>
      </w:tr>
      <w:tr>
        <w:trPr>
          <w:trHeight w:val="22"/>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871</w:t>
            </w:r>
          </w:p>
        </w:tc>
      </w:tr>
      <w:tr>
        <w:trPr>
          <w:trHeight w:val="248"/>
        </w:trPr>
        <w:tc>
          <w:tcPr>
            <w:tcW w:w="1820" w:type="dxa"/>
            <w:vAlign w:val="bottom"/>
          </w:tcPr>
          <w:p>
            <w:pPr>
              <w:ind w:left="20"/>
              <w:spacing w:after="0"/>
              <w:rPr>
                <w:sz w:val="20"/>
                <w:szCs w:val="20"/>
                <w:color w:val="auto"/>
              </w:rPr>
            </w:pPr>
            <w:r>
              <w:rPr>
                <w:rFonts w:ascii="Arial" w:cs="Arial" w:eastAsia="Arial" w:hAnsi="Arial"/>
                <w:sz w:val="11"/>
                <w:szCs w:val="11"/>
                <w:color w:val="auto"/>
              </w:rPr>
              <w:t>Assets held for sale</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10,247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10,263</w:t>
            </w:r>
          </w:p>
        </w:tc>
      </w:tr>
      <w:tr>
        <w:trPr>
          <w:trHeight w:val="22"/>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516</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1,352</w:t>
            </w:r>
          </w:p>
        </w:tc>
      </w:tr>
      <w:tr>
        <w:trPr>
          <w:trHeight w:val="272"/>
        </w:trPr>
        <w:tc>
          <w:tcPr>
            <w:tcW w:w="18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10,799</w:t>
            </w:r>
          </w:p>
        </w:tc>
        <w:tc>
          <w:tcPr>
            <w:tcW w:w="14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4,700</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3,011</w:t>
            </w:r>
          </w:p>
        </w:tc>
        <w:tc>
          <w:tcPr>
            <w:tcW w:w="14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487</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226</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931</w:t>
            </w:r>
          </w:p>
        </w:tc>
        <w:tc>
          <w:tcPr>
            <w:tcW w:w="10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265</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938</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10,247</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31,801</w:t>
            </w:r>
          </w:p>
        </w:tc>
      </w:tr>
      <w:tr>
        <w:trPr>
          <w:trHeight w:val="235"/>
        </w:trPr>
        <w:tc>
          <w:tcPr>
            <w:tcW w:w="1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139"/>
        </w:trPr>
        <w:tc>
          <w:tcPr>
            <w:tcW w:w="1820" w:type="dxa"/>
            <w:vAlign w:val="bottom"/>
          </w:tcPr>
          <w:p>
            <w:pPr>
              <w:ind w:left="20"/>
              <w:spacing w:after="0"/>
              <w:rPr>
                <w:sz w:val="20"/>
                <w:szCs w:val="20"/>
                <w:color w:val="auto"/>
              </w:rPr>
            </w:pPr>
            <w:r>
              <w:rPr>
                <w:rFonts w:ascii="Arial" w:cs="Arial" w:eastAsia="Arial" w:hAnsi="Arial"/>
                <w:sz w:val="11"/>
                <w:szCs w:val="11"/>
                <w:color w:val="auto"/>
                <w:w w:val="87"/>
              </w:rPr>
              <w:t>Accounts payable, accrued expenses and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1820" w:type="dxa"/>
            <w:vAlign w:val="bottom"/>
          </w:tcPr>
          <w:p>
            <w:pPr>
              <w:ind w:left="200"/>
              <w:spacing w:after="0"/>
              <w:rPr>
                <w:sz w:val="20"/>
                <w:szCs w:val="20"/>
                <w:color w:val="auto"/>
              </w:rPr>
            </w:pPr>
            <w:r>
              <w:rPr>
                <w:rFonts w:ascii="Arial" w:cs="Arial" w:eastAsia="Arial" w:hAnsi="Arial"/>
                <w:sz w:val="11"/>
                <w:szCs w:val="11"/>
                <w:color w:val="auto"/>
              </w:rPr>
              <w:t>other liabilities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1,302</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1,125</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944</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172</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243</w:t>
            </w:r>
          </w:p>
        </w:tc>
        <w:tc>
          <w:tcPr>
            <w:tcW w:w="12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3,971</w:t>
            </w:r>
          </w:p>
        </w:tc>
      </w:tr>
      <w:tr>
        <w:trPr>
          <w:trHeight w:val="22"/>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w w:val="89"/>
              </w:rPr>
              <w:t>Securities sold, not yet purchased, at fair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38"/>
        </w:trPr>
        <w:tc>
          <w:tcPr>
            <w:tcW w:w="1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value</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1,023</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1,023</w:t>
            </w:r>
          </w:p>
        </w:tc>
      </w:tr>
      <w:tr>
        <w:trPr>
          <w:trHeight w:val="248"/>
        </w:trPr>
        <w:tc>
          <w:tcPr>
            <w:tcW w:w="1820" w:type="dxa"/>
            <w:vAlign w:val="bottom"/>
          </w:tcPr>
          <w:p>
            <w:pPr>
              <w:ind w:left="20"/>
              <w:spacing w:after="0"/>
              <w:rPr>
                <w:sz w:val="20"/>
                <w:szCs w:val="20"/>
                <w:color w:val="auto"/>
              </w:rPr>
            </w:pPr>
            <w:r>
              <w:rPr>
                <w:rFonts w:ascii="Arial" w:cs="Arial" w:eastAsia="Arial" w:hAnsi="Arial"/>
                <w:sz w:val="11"/>
                <w:szCs w:val="11"/>
                <w:color w:val="auto"/>
              </w:rPr>
              <w:t>Due to brokers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1,057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1,057</w:t>
            </w:r>
          </w:p>
        </w:tc>
      </w:tr>
      <w:tr>
        <w:trPr>
          <w:trHeight w:val="22"/>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Liabilities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7,010</w:t>
            </w:r>
          </w:p>
        </w:tc>
      </w:tr>
      <w:tr>
        <w:trPr>
          <w:trHeight w:val="248"/>
        </w:trPr>
        <w:tc>
          <w:tcPr>
            <w:tcW w:w="1820" w:type="dxa"/>
            <w:vAlign w:val="bottom"/>
          </w:tcPr>
          <w:p>
            <w:pPr>
              <w:ind w:left="20"/>
              <w:spacing w:after="0"/>
              <w:rPr>
                <w:sz w:val="20"/>
                <w:szCs w:val="20"/>
                <w:color w:val="auto"/>
              </w:rPr>
            </w:pPr>
            <w:r>
              <w:rPr>
                <w:rFonts w:ascii="Arial" w:cs="Arial" w:eastAsia="Arial" w:hAnsi="Arial"/>
                <w:sz w:val="11"/>
                <w:szCs w:val="11"/>
                <w:color w:val="auto"/>
              </w:rPr>
              <w:t>Debt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5,507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7,372</w:t>
            </w:r>
          </w:p>
        </w:tc>
      </w:tr>
      <w:tr>
        <w:trPr>
          <w:trHeight w:val="22"/>
        </w:trPr>
        <w:tc>
          <w:tcPr>
            <w:tcW w:w="1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3,382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1,284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20,433</w:t>
            </w:r>
          </w:p>
        </w:tc>
      </w:tr>
      <w:tr>
        <w:trPr>
          <w:trHeight w:val="223"/>
        </w:trPr>
        <w:tc>
          <w:tcPr>
            <w:tcW w:w="1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4"/>
              </w:rPr>
              <w:t>Equity attributable to Icahn Enterprises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3,052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5,106</w:t>
            </w:r>
          </w:p>
        </w:tc>
      </w:tr>
      <w:tr>
        <w:trPr>
          <w:trHeight w:val="139"/>
        </w:trPr>
        <w:tc>
          <w:tcPr>
            <w:tcW w:w="1820" w:type="dxa"/>
            <w:vAlign w:val="bottom"/>
          </w:tcPr>
          <w:p>
            <w:pPr>
              <w:ind w:left="20"/>
              <w:spacing w:after="0"/>
              <w:rPr>
                <w:sz w:val="20"/>
                <w:szCs w:val="20"/>
                <w:color w:val="auto"/>
              </w:rPr>
            </w:pPr>
            <w:r>
              <w:rPr>
                <w:rFonts w:ascii="Arial" w:cs="Arial" w:eastAsia="Arial" w:hAnsi="Arial"/>
                <w:sz w:val="11"/>
                <w:szCs w:val="11"/>
                <w:color w:val="auto"/>
              </w:rPr>
              <w:t>Equity attributable to non-controlling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1820" w:type="dxa"/>
            <w:vAlign w:val="bottom"/>
          </w:tcPr>
          <w:p>
            <w:pPr>
              <w:ind w:left="200"/>
              <w:spacing w:after="0"/>
              <w:rPr>
                <w:sz w:val="20"/>
                <w:szCs w:val="20"/>
                <w:color w:val="auto"/>
              </w:rPr>
            </w:pPr>
            <w:r>
              <w:rPr>
                <w:rFonts w:ascii="Arial" w:cs="Arial" w:eastAsia="Arial" w:hAnsi="Arial"/>
                <w:sz w:val="11"/>
                <w:szCs w:val="11"/>
                <w:color w:val="auto"/>
              </w:rPr>
              <w:t>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4,365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1,311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539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6,262</w:t>
            </w:r>
          </w:p>
        </w:tc>
      </w:tr>
      <w:tr>
        <w:trPr>
          <w:trHeight w:val="22"/>
        </w:trPr>
        <w:tc>
          <w:tcPr>
            <w:tcW w:w="1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equity</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7,417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11,368</w:t>
            </w:r>
          </w:p>
        </w:tc>
      </w:tr>
      <w:tr>
        <w:trPr>
          <w:trHeight w:val="232"/>
        </w:trPr>
        <w:tc>
          <w:tcPr>
            <w:tcW w:w="1820" w:type="dxa"/>
            <w:vAlign w:val="bottom"/>
          </w:tcPr>
          <w:p>
            <w:pPr>
              <w:ind w:left="10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10,799</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4,700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3,011</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487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226</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931</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183</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265</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938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10,247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31,801</w:t>
            </w:r>
          </w:p>
        </w:tc>
      </w:tr>
      <w:tr>
        <w:trPr>
          <w:trHeight w:val="20"/>
        </w:trPr>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The following table presents our consolidated geographic net sales from external customers, other revenues from operations and property, plant and equipment, net for the periods indicated:</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Property, Plant and</w:t>
            </w:r>
          </w:p>
        </w:tc>
      </w:tr>
      <w:tr>
        <w:trPr>
          <w:trHeight w:val="234"/>
        </w:trPr>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Net Sales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6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0"/>
              </w:rPr>
              <w:t>Other Revenues From Operations</w:t>
            </w: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Equipment, Net</w:t>
            </w:r>
          </w:p>
        </w:tc>
      </w:tr>
      <w:tr>
        <w:trPr>
          <w:trHeight w:val="27"/>
        </w:trPr>
        <w:tc>
          <w:tcPr>
            <w:tcW w:w="1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center"/>
              <w:ind w:left="453"/>
              <w:spacing w:after="0"/>
              <w:rPr>
                <w:sz w:val="20"/>
                <w:szCs w:val="20"/>
                <w:color w:val="auto"/>
              </w:rPr>
            </w:pPr>
            <w:r>
              <w:rPr>
                <w:rFonts w:ascii="Arial" w:cs="Arial" w:eastAsia="Arial" w:hAnsi="Arial"/>
                <w:sz w:val="18"/>
                <w:szCs w:val="18"/>
                <w:b w:val="1"/>
                <w:bCs w:val="1"/>
                <w:color w:val="auto"/>
                <w:w w:val="90"/>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
        </w:trPr>
        <w:tc>
          <w:tcPr>
            <w:tcW w:w="1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1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4,776</w:t>
            </w:r>
          </w:p>
        </w:tc>
      </w:tr>
      <w:tr>
        <w:trPr>
          <w:trHeight w:val="243"/>
        </w:trPr>
        <w:tc>
          <w:tcPr>
            <w:tcW w:w="14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1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4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5,186</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Geographic locations for net sales and other revenues from operations are based on locations of the customers and geographic locations for property, plant, and equipment are based on the locations of the assets.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337" w:right="2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Discontinued Operations.</w:t>
      </w:r>
    </w:p>
    <w:p>
      <w:pPr>
        <w:spacing w:after="0" w:line="12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discussed in Note 1, "Description of Business," we operated discontinued operations previously included in our Automotive and Railcar segments and our former Gaming segment.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from discontinued operations is summarized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gridSpan w:val="6"/>
          </w:tcPr>
          <w:p>
            <w:pPr>
              <w:jc w:val="right"/>
              <w:spacing w:after="0"/>
              <w:rPr>
                <w:sz w:val="20"/>
                <w:szCs w:val="20"/>
                <w:color w:val="auto"/>
              </w:rPr>
            </w:pPr>
            <w:r>
              <w:rPr>
                <w:rFonts w:ascii="Arial" w:cs="Arial" w:eastAsia="Arial" w:hAnsi="Arial"/>
                <w:sz w:val="11"/>
                <w:szCs w:val="11"/>
                <w:b w:val="1"/>
                <w:bCs w:val="1"/>
                <w:color w:val="auto"/>
                <w:w w:val="84"/>
              </w:rPr>
              <w:t>Year Ended December 31, 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7"/>
          </w:tcPr>
          <w:p>
            <w:pPr>
              <w:jc w:val="right"/>
              <w:spacing w:after="0"/>
              <w:rPr>
                <w:sz w:val="20"/>
                <w:szCs w:val="20"/>
                <w:color w:val="auto"/>
              </w:rPr>
            </w:pPr>
            <w:r>
              <w:rPr>
                <w:rFonts w:ascii="Arial" w:cs="Arial" w:eastAsia="Arial" w:hAnsi="Arial"/>
                <w:sz w:val="11"/>
                <w:szCs w:val="11"/>
                <w:b w:val="1"/>
                <w:bCs w:val="1"/>
                <w:color w:val="auto"/>
              </w:rPr>
              <w:t>Year Ended December 31, 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8"/>
          </w:tcPr>
          <w:p>
            <w:pPr>
              <w:spacing w:after="0"/>
              <w:rPr>
                <w:sz w:val="20"/>
                <w:szCs w:val="20"/>
                <w:color w:val="auto"/>
              </w:rPr>
            </w:pPr>
            <w:r>
              <w:rPr>
                <w:rFonts w:ascii="Arial" w:cs="Arial" w:eastAsia="Arial" w:hAnsi="Arial"/>
                <w:sz w:val="11"/>
                <w:szCs w:val="11"/>
                <w:b w:val="1"/>
                <w:bCs w:val="1"/>
                <w:color w:val="auto"/>
                <w:w w:val="93"/>
              </w:rPr>
              <w:t>Year Ended December 31, 2016</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b w:val="1"/>
                <w:bCs w:val="1"/>
                <w:color w:val="auto"/>
                <w:w w:val="89"/>
              </w:rPr>
              <w:t>Automotive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b w:val="1"/>
                <w:bCs w:val="1"/>
                <w:color w:val="auto"/>
                <w:w w:val="92"/>
              </w:rPr>
              <w:t>Gaming</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Railcar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Total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b w:val="1"/>
                <w:bCs w:val="1"/>
                <w:color w:val="auto"/>
                <w:w w:val="92"/>
              </w:rPr>
              <w:t>Automotive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b w:val="1"/>
                <w:bCs w:val="1"/>
                <w:color w:val="auto"/>
                <w:w w:val="92"/>
              </w:rPr>
              <w:t>Railcar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w w:val="89"/>
              </w:rPr>
              <w:t>Automotive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w w:val="87"/>
              </w:rPr>
              <w:t>Gaming</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20" w:type="dxa"/>
            <w:vAlign w:val="bottom"/>
          </w:tcPr>
          <w:p>
            <w:pPr>
              <w:spacing w:after="0"/>
              <w:rPr>
                <w:sz w:val="21"/>
                <w:szCs w:val="21"/>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64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color w:val="auto"/>
                <w:w w:val="93"/>
              </w:rPr>
              <w:t>(in millions)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right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5,993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7,720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7,985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7,341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7,771</w:t>
            </w:r>
          </w:p>
        </w:tc>
        <w:tc>
          <w:tcPr>
            <w:tcW w:w="0" w:type="dxa"/>
            <w:vAlign w:val="bottom"/>
          </w:tcPr>
          <w:p>
            <w:pPr>
              <w:spacing w:after="0"/>
              <w:rPr>
                <w:sz w:val="1"/>
                <w:szCs w:val="1"/>
                <w:color w:val="auto"/>
              </w:rPr>
            </w:pPr>
          </w:p>
        </w:tc>
      </w:tr>
      <w:tr>
        <w:trPr>
          <w:trHeight w:val="248"/>
        </w:trPr>
        <w:tc>
          <w:tcPr>
            <w:tcW w:w="2640" w:type="dxa"/>
            <w:vAlign w:val="bottom"/>
          </w:tcPr>
          <w:p>
            <w:pPr>
              <w:ind w:left="20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898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1,095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1,118</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gain on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2640" w:type="dxa"/>
            <w:vAlign w:val="bottom"/>
          </w:tcPr>
          <w:p>
            <w:pPr>
              <w:ind w:left="20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Gain (loss)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48"/>
        </w:trPr>
        <w:tc>
          <w:tcPr>
            <w:tcW w:w="2640" w:type="dxa"/>
            <w:vAlign w:val="bottom"/>
          </w:tcPr>
          <w:p>
            <w:pPr>
              <w:ind w:left="200"/>
              <w:spacing w:after="0"/>
              <w:rPr>
                <w:sz w:val="20"/>
                <w:szCs w:val="20"/>
                <w:color w:val="auto"/>
              </w:rPr>
            </w:pPr>
            <w:r>
              <w:rPr>
                <w:rFonts w:ascii="Arial" w:cs="Arial" w:eastAsia="Arial" w:hAnsi="Arial"/>
                <w:sz w:val="11"/>
                <w:szCs w:val="11"/>
                <w:color w:val="auto"/>
              </w:rPr>
              <w:t>Other income, net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8,943</w:t>
            </w:r>
          </w:p>
        </w:tc>
        <w:tc>
          <w:tcPr>
            <w:tcW w:w="0" w:type="dxa"/>
            <w:vAlign w:val="bottom"/>
          </w:tcPr>
          <w:p>
            <w:pPr>
              <w:spacing w:after="0"/>
              <w:rPr>
                <w:sz w:val="1"/>
                <w:szCs w:val="1"/>
                <w:color w:val="auto"/>
              </w:rPr>
            </w:pPr>
          </w:p>
        </w:tc>
      </w:tr>
      <w:tr>
        <w:trPr>
          <w:trHeight w:val="242"/>
        </w:trPr>
        <w:tc>
          <w:tcPr>
            <w:tcW w:w="2640" w:type="dxa"/>
            <w:vAlign w:val="bottom"/>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6,581</w:t>
            </w:r>
          </w:p>
        </w:tc>
        <w:tc>
          <w:tcPr>
            <w:tcW w:w="0" w:type="dxa"/>
            <w:vAlign w:val="bottom"/>
          </w:tcPr>
          <w:p>
            <w:pPr>
              <w:spacing w:after="0"/>
              <w:rPr>
                <w:sz w:val="1"/>
                <w:szCs w:val="1"/>
                <w:color w:val="auto"/>
              </w:rPr>
            </w:pPr>
          </w:p>
        </w:tc>
      </w:tr>
      <w:tr>
        <w:trPr>
          <w:trHeight w:val="248"/>
        </w:trPr>
        <w:tc>
          <w:tcPr>
            <w:tcW w:w="2640" w:type="dxa"/>
            <w:vAlign w:val="bottom"/>
          </w:tcPr>
          <w:p>
            <w:pPr>
              <w:ind w:left="20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528</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1,309</w:t>
            </w:r>
          </w:p>
        </w:tc>
        <w:tc>
          <w:tcPr>
            <w:tcW w:w="0" w:type="dxa"/>
            <w:vAlign w:val="bottom"/>
          </w:tcPr>
          <w:p>
            <w:pPr>
              <w:spacing w:after="0"/>
              <w:rPr>
                <w:sz w:val="1"/>
                <w:szCs w:val="1"/>
                <w:color w:val="auto"/>
              </w:rPr>
            </w:pPr>
          </w:p>
        </w:tc>
      </w:tr>
      <w:tr>
        <w:trPr>
          <w:trHeight w:val="248"/>
        </w:trPr>
        <w:tc>
          <w:tcPr>
            <w:tcW w:w="2640" w:type="dxa"/>
            <w:vAlign w:val="bottom"/>
          </w:tcPr>
          <w:p>
            <w:pPr>
              <w:ind w:left="20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248"/>
        </w:trPr>
        <w:tc>
          <w:tcPr>
            <w:tcW w:w="2640" w:type="dxa"/>
            <w:vAlign w:val="bottom"/>
          </w:tcPr>
          <w:p>
            <w:pPr>
              <w:ind w:left="20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186</w:t>
            </w:r>
          </w:p>
        </w:tc>
        <w:tc>
          <w:tcPr>
            <w:tcW w:w="0" w:type="dxa"/>
            <w:vAlign w:val="bottom"/>
          </w:tcPr>
          <w:p>
            <w:pPr>
              <w:spacing w:after="0"/>
              <w:rPr>
                <w:sz w:val="1"/>
                <w:szCs w:val="1"/>
                <w:color w:val="auto"/>
              </w:rPr>
            </w:pP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8,754</w:t>
            </w:r>
          </w:p>
        </w:tc>
        <w:tc>
          <w:tcPr>
            <w:tcW w:w="0" w:type="dxa"/>
            <w:vAlign w:val="bottom"/>
          </w:tcPr>
          <w:p>
            <w:pPr>
              <w:spacing w:after="0"/>
              <w:rPr>
                <w:sz w:val="1"/>
                <w:szCs w:val="1"/>
                <w:color w:val="auto"/>
              </w:rPr>
            </w:pPr>
          </w:p>
        </w:tc>
      </w:tr>
      <w:tr>
        <w:trPr>
          <w:trHeight w:val="119"/>
        </w:trPr>
        <w:tc>
          <w:tcPr>
            <w:tcW w:w="2640" w:type="dxa"/>
            <w:vAlign w:val="bottom"/>
          </w:tcPr>
          <w:p>
            <w:pPr>
              <w:ind w:left="40"/>
              <w:spacing w:after="0" w:line="119" w:lineRule="exact"/>
              <w:rPr>
                <w:sz w:val="20"/>
                <w:szCs w:val="20"/>
                <w:color w:val="auto"/>
              </w:rPr>
            </w:pPr>
            <w:r>
              <w:rPr>
                <w:rFonts w:ascii="Arial" w:cs="Arial" w:eastAsia="Arial" w:hAnsi="Arial"/>
                <w:sz w:val="11"/>
                <w:szCs w:val="11"/>
                <w:color w:val="auto"/>
                <w:w w:val="96"/>
              </w:rPr>
              <w:t>Income (loss) from discontinued operations before gain</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640" w:type="dxa"/>
            <w:vAlign w:val="bottom"/>
          </w:tcPr>
          <w:p>
            <w:pPr>
              <w:ind w:left="200"/>
              <w:spacing w:after="0"/>
              <w:rPr>
                <w:sz w:val="20"/>
                <w:szCs w:val="20"/>
                <w:color w:val="auto"/>
              </w:rPr>
            </w:pPr>
            <w:r>
              <w:rPr>
                <w:rFonts w:ascii="Arial" w:cs="Arial" w:eastAsia="Arial" w:hAnsi="Arial"/>
                <w:sz w:val="11"/>
                <w:szCs w:val="11"/>
                <w:color w:val="auto"/>
              </w:rPr>
              <w:t>(loss) on sale and income tax (expense) benefit</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313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505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Gain (loss) on sale of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9"/>
        </w:trPr>
        <w:tc>
          <w:tcPr>
            <w:tcW w:w="2640" w:type="dxa"/>
            <w:vAlign w:val="bottom"/>
          </w:tcPr>
          <w:p>
            <w:pPr>
              <w:ind w:left="40"/>
              <w:spacing w:after="0" w:line="119" w:lineRule="exact"/>
              <w:rPr>
                <w:sz w:val="20"/>
                <w:szCs w:val="20"/>
                <w:color w:val="auto"/>
              </w:rPr>
            </w:pPr>
            <w:r>
              <w:rPr>
                <w:rFonts w:ascii="Arial" w:cs="Arial" w:eastAsia="Arial" w:hAnsi="Arial"/>
                <w:sz w:val="11"/>
                <w:szCs w:val="11"/>
                <w:color w:val="auto"/>
                <w:w w:val="91"/>
              </w:rPr>
              <w:t>Income (loss) from discontinued operations before income</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640" w:type="dxa"/>
            <w:vAlign w:val="bottom"/>
          </w:tcPr>
          <w:p>
            <w:pPr>
              <w:ind w:left="200"/>
              <w:spacing w:after="0"/>
              <w:rPr>
                <w:sz w:val="20"/>
                <w:szCs w:val="20"/>
                <w:color w:val="auto"/>
              </w:rPr>
            </w:pPr>
            <w:r>
              <w:rPr>
                <w:rFonts w:ascii="Arial" w:cs="Arial" w:eastAsia="Arial" w:hAnsi="Arial"/>
                <w:sz w:val="11"/>
                <w:szCs w:val="11"/>
                <w:color w:val="auto"/>
              </w:rPr>
              <w:t>tax (expense) benefit</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564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907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464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1,935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228"/>
        </w:trPr>
        <w:tc>
          <w:tcPr>
            <w:tcW w:w="2640" w:type="dxa"/>
            <w:vAlign w:val="bottom"/>
          </w:tcPr>
          <w:p>
            <w:pPr>
              <w:ind w:left="40"/>
              <w:spacing w:after="0"/>
              <w:rPr>
                <w:sz w:val="20"/>
                <w:szCs w:val="20"/>
                <w:color w:val="auto"/>
              </w:rPr>
            </w:pPr>
            <w:r>
              <w:rPr>
                <w:rFonts w:ascii="Arial" w:cs="Arial" w:eastAsia="Arial" w:hAnsi="Arial"/>
                <w:sz w:val="11"/>
                <w:szCs w:val="11"/>
                <w:color w:val="auto"/>
              </w:rPr>
              <w:t>Income (loss) from discontinued operations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818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451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1,764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87</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640" w:type="dxa"/>
            <w:vAlign w:val="bottom"/>
            <w:shd w:val="clear" w:color="auto" w:fill="CCEEFF"/>
          </w:tcPr>
          <w:p>
            <w:pPr>
              <w:ind w:left="40"/>
              <w:spacing w:after="0"/>
              <w:rPr>
                <w:sz w:val="20"/>
                <w:szCs w:val="20"/>
                <w:color w:val="auto"/>
              </w:rPr>
            </w:pPr>
            <w:r>
              <w:rPr>
                <w:rFonts w:ascii="Arial" w:cs="Arial" w:eastAsia="Arial" w:hAnsi="Arial"/>
                <w:sz w:val="11"/>
                <w:szCs w:val="11"/>
                <w:color w:val="auto"/>
                <w:w w:val="92"/>
              </w:rPr>
              <w:t>Less: income from discontinued operations attributable to</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right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19"/>
        </w:trPr>
        <w:tc>
          <w:tcPr>
            <w:tcW w:w="2640" w:type="dxa"/>
            <w:vAlign w:val="bottom"/>
          </w:tcPr>
          <w:p>
            <w:pPr>
              <w:ind w:left="40"/>
              <w:spacing w:after="0" w:line="119" w:lineRule="exact"/>
              <w:rPr>
                <w:sz w:val="20"/>
                <w:szCs w:val="20"/>
                <w:color w:val="auto"/>
              </w:rPr>
            </w:pPr>
            <w:r>
              <w:rPr>
                <w:rFonts w:ascii="Arial" w:cs="Arial" w:eastAsia="Arial" w:hAnsi="Arial"/>
                <w:sz w:val="11"/>
                <w:szCs w:val="11"/>
                <w:color w:val="auto"/>
                <w:w w:val="92"/>
              </w:rPr>
              <w:t>Income (loss) from discontinued operations attributable to</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488</w:t>
            </w:r>
          </w:p>
        </w:tc>
        <w:tc>
          <w:tcPr>
            <w:tcW w:w="120" w:type="dxa"/>
            <w:vAlign w:val="bottom"/>
            <w:vMerge w:val="restart"/>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801</w:t>
            </w:r>
          </w:p>
        </w:tc>
        <w:tc>
          <w:tcPr>
            <w:tcW w:w="120" w:type="dxa"/>
            <w:vAlign w:val="bottom"/>
            <w:vMerge w:val="restart"/>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431</w:t>
            </w:r>
          </w:p>
        </w:tc>
        <w:tc>
          <w:tcPr>
            <w:tcW w:w="120" w:type="dxa"/>
            <w:vAlign w:val="bottom"/>
            <w:vMerge w:val="restart"/>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1,720</w:t>
            </w:r>
          </w:p>
        </w:tc>
        <w:tc>
          <w:tcPr>
            <w:tcW w:w="120" w:type="dxa"/>
            <w:vAlign w:val="bottom"/>
            <w:vMerge w:val="restart"/>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105</w:t>
            </w:r>
          </w:p>
        </w:tc>
        <w:tc>
          <w:tcPr>
            <w:tcW w:w="100" w:type="dxa"/>
            <w:vAlign w:val="bottom"/>
            <w:vMerge w:val="restart"/>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43</w:t>
            </w:r>
          </w:p>
        </w:tc>
        <w:tc>
          <w:tcPr>
            <w:tcW w:w="100" w:type="dxa"/>
            <w:vAlign w:val="bottom"/>
            <w:vMerge w:val="restart"/>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157</w:t>
            </w:r>
          </w:p>
        </w:tc>
        <w:tc>
          <w:tcPr>
            <w:tcW w:w="120" w:type="dxa"/>
            <w:vAlign w:val="bottom"/>
            <w:vMerge w:val="restart"/>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63</w:t>
            </w:r>
          </w:p>
        </w:tc>
        <w:tc>
          <w:tcPr>
            <w:tcW w:w="120" w:type="dxa"/>
            <w:vAlign w:val="bottom"/>
            <w:tcBorders>
              <w:top w:val="single" w:sz="8" w:color="auto"/>
            </w:tcBorders>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(102)</w:t>
            </w:r>
          </w:p>
        </w:tc>
        <w:tc>
          <w:tcPr>
            <w:tcW w:w="100" w:type="dxa"/>
            <w:vAlign w:val="bottom"/>
            <w:vMerge w:val="restart"/>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1"/>
        </w:trPr>
        <w:tc>
          <w:tcPr>
            <w:tcW w:w="264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Icahn Enterprises</w:t>
            </w:r>
          </w:p>
        </w:tc>
        <w:tc>
          <w:tcPr>
            <w:tcW w:w="1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40" w:type="dxa"/>
            <w:vAlign w:val="bottom"/>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right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579</w:t>
            </w:r>
          </w:p>
        </w:tc>
        <w:tc>
          <w:tcPr>
            <w:tcW w:w="0" w:type="dxa"/>
            <w:vAlign w:val="bottom"/>
          </w:tcPr>
          <w:p>
            <w:pPr>
              <w:spacing w:after="0"/>
              <w:rPr>
                <w:sz w:val="1"/>
                <w:szCs w:val="1"/>
                <w:color w:val="auto"/>
              </w:rPr>
            </w:pPr>
          </w:p>
        </w:tc>
      </w:tr>
      <w:tr>
        <w:trPr>
          <w:trHeight w:val="248"/>
        </w:trPr>
        <w:tc>
          <w:tcPr>
            <w:tcW w:w="2640" w:type="dxa"/>
            <w:vAlign w:val="bottom"/>
          </w:tcPr>
          <w:p>
            <w:pPr>
              <w:ind w:left="200"/>
              <w:spacing w:after="0"/>
              <w:rPr>
                <w:sz w:val="20"/>
                <w:szCs w:val="20"/>
                <w:color w:val="auto"/>
              </w:rPr>
            </w:pPr>
            <w:r>
              <w:rPr>
                <w:rFonts w:ascii="Arial" w:cs="Arial" w:eastAsia="Arial" w:hAnsi="Arial"/>
                <w:sz w:val="11"/>
                <w:szCs w:val="11"/>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100</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47</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166</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397</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58</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528</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375</w:t>
            </w:r>
          </w:p>
        </w:tc>
        <w:tc>
          <w:tcPr>
            <w:tcW w:w="3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488</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37"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December 31, 2018, assets and liabilities held for sale primarily consists of property, plant and equipment, net for operations not classified as discontinued operations. As of December 31, 2017, assets and liabilities held for sale were primarily related to discontinued operations, all of which were sold during 2018. Assets and liabilities held for sale as of December 31, 2017 consists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5"/>
          </w:tcPr>
          <w:p>
            <w:pPr>
              <w:ind w:left="620"/>
              <w:spacing w:after="0"/>
              <w:rPr>
                <w:sz w:val="20"/>
                <w:szCs w:val="20"/>
                <w:color w:val="auto"/>
              </w:rPr>
            </w:pPr>
            <w:r>
              <w:rPr>
                <w:rFonts w:ascii="Arial" w:cs="Arial" w:eastAsia="Arial" w:hAnsi="Arial"/>
                <w:sz w:val="18"/>
                <w:szCs w:val="18"/>
                <w:b w:val="1"/>
                <w:bCs w:val="1"/>
                <w:color w:val="auto"/>
              </w:rPr>
              <w:t>December 31, 2017</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Automotive</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Gaming</w:t>
            </w:r>
          </w:p>
        </w:tc>
        <w:tc>
          <w:tcPr>
            <w:tcW w:w="42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Railcar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1560"/>
              <w:spacing w:after="0"/>
              <w:rPr>
                <w:sz w:val="20"/>
                <w:szCs w:val="20"/>
                <w:color w:val="auto"/>
              </w:rPr>
            </w:pPr>
            <w:r>
              <w:rPr>
                <w:rFonts w:ascii="Arial" w:cs="Arial" w:eastAsia="Arial" w:hAnsi="Arial"/>
                <w:sz w:val="18"/>
                <w:szCs w:val="18"/>
                <w:b w:val="1"/>
                <w:bCs w:val="1"/>
                <w:color w:val="auto"/>
              </w:rPr>
              <w:t>Assets Held For Sale</w:t>
            </w: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Assets held for sale (discontinued operations)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7,678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10,247</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held for sale</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 held for sale</w:t>
            </w:r>
          </w:p>
        </w:tc>
        <w:tc>
          <w:tcPr>
            <w:tcW w:w="24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10,263</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b w:val="1"/>
                <w:bCs w:val="1"/>
                <w:color w:val="auto"/>
              </w:rPr>
              <w:t>Liabilities Held For Sale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Post-retirement benefit liability</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Liabilities held for sale (discontinued operations)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5,923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Other assets held for sale in the table above primarily consists of property, plant and equipment, net for other operations not classified as discontinued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difference between the book basis and the tax basis of our net assets, not directly subject to income taxes, is as follows:</w:t>
      </w:r>
    </w:p>
    <w:p>
      <w:pPr>
        <w:sectPr>
          <w:pgSz w:w="11900" w:h="16838" w:orient="portrait"/>
          <w:cols w:equalWidth="0" w:num="1">
            <w:col w:w="11420"/>
          </w:cols>
          <w:pgMar w:left="240" w:top="337" w:right="239" w:bottom="1440" w:gutter="0" w:footer="0" w:header="0"/>
        </w:sectPr>
      </w:pPr>
    </w:p>
    <w:p>
      <w:pPr>
        <w:spacing w:after="0" w:line="167" w:lineRule="exact"/>
        <w:rPr>
          <w:sz w:val="20"/>
          <w:szCs w:val="20"/>
          <w:color w:val="auto"/>
        </w:rPr>
      </w:pPr>
    </w:p>
    <w:p>
      <w:pPr>
        <w:jc w:val="center"/>
        <w:ind w:left="4220"/>
        <w:spacing w:after="0"/>
        <w:rPr>
          <w:sz w:val="20"/>
          <w:szCs w:val="20"/>
          <w:color w:val="auto"/>
        </w:rPr>
      </w:pPr>
      <w:r>
        <w:rPr>
          <w:rFonts w:ascii="Arial" w:cs="Arial" w:eastAsia="Arial" w:hAnsi="Arial"/>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55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57" w:lineRule="exact"/>
        <w:rPr>
          <w:sz w:val="20"/>
          <w:szCs w:val="20"/>
          <w:color w:val="auto"/>
        </w:rPr>
      </w:pPr>
    </w:p>
    <w:p>
      <w:pPr>
        <w:jc w:val="center"/>
        <w:ind w:left="42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55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57"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22555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33"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48895</wp:posOffset>
            </wp:positionV>
            <wp:extent cx="2229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34290</wp:posOffset>
            </wp:positionV>
            <wp:extent cx="2229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spacing w:after="0"/>
        <w:tabs>
          <w:tab w:leader="none" w:pos="180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48895</wp:posOffset>
            </wp:positionV>
            <wp:extent cx="2229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(in millions)</w:t>
      </w:r>
    </w:p>
    <w:p>
      <w:pPr>
        <w:spacing w:after="0" w:line="41" w:lineRule="exact"/>
        <w:rPr>
          <w:sz w:val="20"/>
          <w:szCs w:val="20"/>
          <w:color w:val="auto"/>
        </w:rPr>
      </w:pPr>
    </w:p>
    <w:p>
      <w:pPr>
        <w:sectPr>
          <w:pgSz w:w="11900" w:h="16838" w:orient="portrait"/>
          <w:cols w:equalWidth="0" w:num="2">
            <w:col w:w="7840" w:space="720"/>
            <w:col w:w="2860"/>
          </w:cols>
          <w:pgMar w:left="240" w:top="337" w:right="239" w:bottom="1440" w:gutter="0" w:footer="0" w:header="0"/>
          <w:type w:val="continuous"/>
        </w:sectPr>
      </w:pPr>
    </w:p>
    <w:tbl>
      <w:tblPr>
        <w:tblLayout w:type="fixed"/>
        <w:tblInd w:w="20" w:type="dxa"/>
        <w:tblCellMar>
          <w:top w:w="0" w:type="dxa"/>
          <w:left w:w="0" w:type="dxa"/>
          <w:bottom w:w="0" w:type="dxa"/>
          <w:right w:w="0" w:type="dxa"/>
        </w:tblCellMar>
      </w:tblPr>
      <w:tr>
        <w:trPr>
          <w:trHeight w:val="262"/>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basis of net assets</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6,529</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5,106</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6,557</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Book/tax basis difference</w:t>
            </w: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4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basis of net assets</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4,589</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4,656</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4,683</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49"/>
        </w:trPr>
        <w:tc>
          <w:tcPr>
            <w:tcW w:w="4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-462280</wp:posOffset>
            </wp:positionV>
            <wp:extent cx="2675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-642620</wp:posOffset>
            </wp:positionV>
            <wp:extent cx="2675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(loss) from continuing operations before income tax expense (benefit) is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4"/>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60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 benefit (expense) attributable to continuing operations is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60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6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5"/>
        </w:trPr>
        <w:tc>
          <w:tcPr>
            <w:tcW w:w="6040" w:type="dxa"/>
            <w:vAlign w:val="bottom"/>
          </w:tcPr>
          <w:p>
            <w:pPr>
              <w:ind w:left="20"/>
              <w:spacing w:after="0"/>
              <w:rPr>
                <w:sz w:val="20"/>
                <w:szCs w:val="20"/>
                <w:color w:val="auto"/>
              </w:rPr>
            </w:pPr>
            <w:r>
              <w:rPr>
                <w:rFonts w:ascii="Arial" w:cs="Arial" w:eastAsia="Arial" w:hAnsi="Arial"/>
                <w:sz w:val="18"/>
                <w:szCs w:val="18"/>
                <w:color w:val="auto"/>
              </w:rPr>
              <w:t>Current:</w:t>
            </w: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
        </w:trPr>
        <w:tc>
          <w:tcPr>
            <w:tcW w:w="6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0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Deferred:</w:t>
            </w: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0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37"/>
        </w:trPr>
        <w:tc>
          <w:tcPr>
            <w:tcW w:w="6040" w:type="dxa"/>
            <w:vAlign w:val="bottom"/>
          </w:tcPr>
          <w:p>
            <w:pPr>
              <w:spacing w:after="0"/>
              <w:rPr>
                <w:sz w:val="20"/>
                <w:szCs w:val="20"/>
                <w:color w:val="auto"/>
              </w:rPr>
            </w:pP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0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6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A reconciliation of the income tax benefit (expense) calculated at the federal statutory rate to income tax benefit (expense) on continuing operations as shown in the consolidated statements of operations is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22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 at U.S. statutory rate</w:t>
            </w:r>
          </w:p>
        </w:tc>
        <w:tc>
          <w:tcPr>
            <w:tcW w:w="2200" w:type="dxa"/>
            <w:vAlign w:val="bottom"/>
            <w:tcBorders>
              <w:bottom w:val="single" w:sz="8" w:color="CCEEFF"/>
            </w:tcBorders>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Tax effect from:</w:t>
            </w: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9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06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Goodwill impairment</w:t>
            </w:r>
          </w:p>
        </w:tc>
        <w:tc>
          <w:tcPr>
            <w:tcW w:w="9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5060" w:type="dxa"/>
            <w:vAlign w:val="bottom"/>
          </w:tcPr>
          <w:p>
            <w:pPr>
              <w:ind w:left="200"/>
              <w:spacing w:after="0"/>
              <w:rPr>
                <w:sz w:val="20"/>
                <w:szCs w:val="20"/>
                <w:color w:val="auto"/>
              </w:rPr>
            </w:pPr>
            <w:r>
              <w:rPr>
                <w:rFonts w:ascii="Arial" w:cs="Arial" w:eastAsia="Arial" w:hAnsi="Arial"/>
                <w:sz w:val="18"/>
                <w:szCs w:val="18"/>
                <w:color w:val="auto"/>
              </w:rPr>
              <w:t>Stock dispositions</w:t>
            </w: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not subject to taxation</w:t>
            </w:r>
          </w:p>
        </w:tc>
        <w:tc>
          <w:tcPr>
            <w:tcW w:w="9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5060" w:type="dxa"/>
            <w:vAlign w:val="bottom"/>
          </w:tcPr>
          <w:p>
            <w:pPr>
              <w:ind w:left="200"/>
              <w:spacing w:after="0"/>
              <w:rPr>
                <w:sz w:val="20"/>
                <w:szCs w:val="20"/>
                <w:color w:val="auto"/>
              </w:rPr>
            </w:pPr>
            <w:r>
              <w:rPr>
                <w:rFonts w:ascii="Arial" w:cs="Arial" w:eastAsia="Arial" w:hAnsi="Arial"/>
                <w:sz w:val="18"/>
                <w:szCs w:val="18"/>
                <w:color w:val="auto"/>
              </w:rPr>
              <w:t>Enactment of U.S. tax legislation, net of valuation allowance</w:t>
            </w: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980" w:type="dxa"/>
            <w:vAlign w:val="bottom"/>
          </w:tcPr>
          <w:p>
            <w:pPr>
              <w:spacing w:after="0"/>
              <w:rPr>
                <w:sz w:val="20"/>
                <w:szCs w:val="20"/>
                <w:color w:val="auto"/>
              </w:rPr>
            </w:pP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100</w:t>
            </w: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0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The tax effect of significant differences representing deferred tax assets (liabilities) (the difference between financial statement carrying value and the tax basis of assets and liabilities) is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7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0"/>
                <w:szCs w:val="20"/>
                <w:color w:val="auto"/>
              </w:rPr>
            </w:pPr>
          </w:p>
        </w:tc>
      </w:tr>
      <w:tr>
        <w:trPr>
          <w:trHeight w:val="255"/>
        </w:trPr>
        <w:tc>
          <w:tcPr>
            <w:tcW w:w="78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Net operating loss</w:t>
            </w:r>
          </w:p>
        </w:tc>
        <w:tc>
          <w:tcPr>
            <w:tcW w:w="11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711</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 credits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Capital loss</w:t>
            </w:r>
          </w:p>
        </w:tc>
        <w:tc>
          <w:tcPr>
            <w:tcW w:w="11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Post-retirement benefits, including pensions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Property, plant and equipment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Investment in partnerships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U.S. subsidiaries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(1,107)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r>
      <w:tr>
        <w:trPr>
          <w:trHeight w:val="237"/>
        </w:trPr>
        <w:tc>
          <w:tcPr>
            <w:tcW w:w="786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7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-393700</wp:posOffset>
            </wp:positionV>
            <wp:extent cx="4991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110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-1645920</wp:posOffset>
            </wp:positionV>
            <wp:extent cx="61487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4870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-1826260</wp:posOffset>
            </wp:positionV>
            <wp:extent cx="61487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4870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-2177415</wp:posOffset>
            </wp:positionV>
            <wp:extent cx="61487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290" w:lineRule="exact"/>
        <w:rPr>
          <w:sz w:val="20"/>
          <w:szCs w:val="20"/>
          <w:color w:val="auto"/>
        </w:rPr>
      </w:pPr>
    </w:p>
    <w:p>
      <w:pPr>
        <w:ind w:right="120" w:firstLine="378"/>
        <w:spacing w:after="0" w:line="308" w:lineRule="auto"/>
        <w:rPr>
          <w:sz w:val="20"/>
          <w:szCs w:val="20"/>
          <w:color w:val="auto"/>
        </w:rPr>
      </w:pPr>
      <w:r>
        <w:rPr>
          <w:rFonts w:ascii="Arial" w:cs="Arial" w:eastAsia="Arial" w:hAnsi="Arial"/>
          <w:sz w:val="17"/>
          <w:szCs w:val="17"/>
          <w:color w:val="auto"/>
        </w:rPr>
        <w:t>We recorded deferred tax assets and deferred tax liabilities of $37 million and $676 million, respectively, as of December 31, 2018 and $75 million and $732 million, respectively, as of December 31, 2017. Deferred tax assets are included in other assets in our consolidated balance sheets.</w:t>
      </w:r>
    </w:p>
    <w:p>
      <w:pPr>
        <w:spacing w:after="0" w:line="38" w:lineRule="exact"/>
        <w:rPr>
          <w:sz w:val="20"/>
          <w:szCs w:val="20"/>
          <w:color w:val="auto"/>
        </w:rPr>
      </w:pPr>
    </w:p>
    <w:p>
      <w:pPr>
        <w:ind w:right="40" w:firstLine="378"/>
        <w:spacing w:after="0" w:line="293" w:lineRule="auto"/>
        <w:rPr>
          <w:sz w:val="20"/>
          <w:szCs w:val="20"/>
          <w:color w:val="auto"/>
        </w:rPr>
      </w:pPr>
      <w:r>
        <w:rPr>
          <w:rFonts w:ascii="Arial" w:cs="Arial" w:eastAsia="Arial" w:hAnsi="Arial"/>
          <w:sz w:val="16"/>
          <w:szCs w:val="16"/>
          <w:color w:val="auto"/>
        </w:rPr>
        <w:t>We analyze all positive and negative evidence to consider whether it is more likely than not that all of the deferred tax assets will be realized. Projected future income, tax planning strategies and the expected reversal of deferred tax liabilities are considered in making this assessment. As of December 31, 2018 we had a valuation allowance of approximately $518 million primarily related to tax loss and credit carryforwards and other deferred tax assets. The current and future provisions for income taxes may be significantly impacted by changes to valuation allowances. These allowances will be maintained until it is more likely than not that the deferred tax assets will be realized. For the year ended December 31, 2018, the valuation allowance on deferred tax assets increased by $35 million. The increase was primarily attributable to capital loss and state net operating loss carryforwards.</w:t>
      </w:r>
    </w:p>
    <w:p>
      <w:pPr>
        <w:spacing w:after="0" w:line="57" w:lineRule="exact"/>
        <w:rPr>
          <w:sz w:val="20"/>
          <w:szCs w:val="20"/>
          <w:color w:val="auto"/>
        </w:rPr>
      </w:pPr>
    </w:p>
    <w:p>
      <w:pPr>
        <w:jc w:val="both"/>
        <w:ind w:right="420" w:firstLine="378"/>
        <w:spacing w:after="0" w:line="264" w:lineRule="auto"/>
        <w:rPr>
          <w:sz w:val="20"/>
          <w:szCs w:val="20"/>
          <w:color w:val="auto"/>
        </w:rPr>
      </w:pPr>
      <w:r>
        <w:rPr>
          <w:rFonts w:ascii="Arial" w:cs="Arial" w:eastAsia="Arial" w:hAnsi="Arial"/>
          <w:sz w:val="18"/>
          <w:szCs w:val="18"/>
          <w:color w:val="auto"/>
        </w:rPr>
        <w:t>At December 31, 2018, American Entertainment Properties Corp. ("AEPC"), a wholly-owned corporate subsidiary of Icahn Enterprises and Icahn Enterprises Holdings, which includes all or parts of our Automotive, Metals, Home Fashion and Real Estate segments had U.S federal net operating loss carryforwards of approximately $2.0 billion with expiration dates from 2029 through 2037.</w:t>
      </w:r>
    </w:p>
    <w:p>
      <w:pPr>
        <w:spacing w:after="0" w:line="73"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At December 31, 2018, CVR Energy had state income tax credits of $35 million, which are available to reduce future state income taxes. These credits, if not used, will expire beginning in 2033.</w:t>
      </w:r>
    </w:p>
    <w:p>
      <w:pPr>
        <w:spacing w:after="0" w:line="62" w:lineRule="exact"/>
        <w:rPr>
          <w:sz w:val="20"/>
          <w:szCs w:val="20"/>
          <w:color w:val="auto"/>
        </w:rPr>
      </w:pPr>
    </w:p>
    <w:p>
      <w:pPr>
        <w:ind w:firstLine="378"/>
        <w:spacing w:after="0" w:line="342" w:lineRule="auto"/>
        <w:rPr>
          <w:sz w:val="20"/>
          <w:szCs w:val="20"/>
          <w:color w:val="auto"/>
        </w:rPr>
      </w:pPr>
      <w:r>
        <w:rPr>
          <w:rFonts w:ascii="Arial" w:cs="Arial" w:eastAsia="Arial" w:hAnsi="Arial"/>
          <w:sz w:val="16"/>
          <w:szCs w:val="16"/>
          <w:color w:val="auto"/>
        </w:rPr>
        <w:t>At December 31, 2018, Viskase had U.S. federal net operating loss carryforwards of $68 million which will begin expiring in the year 2024 and forward, and foreign net operating loss carryforwards of $19 million with unlimited carryforward period and $5 million with a five-year carryforward period.</w:t>
      </w:r>
    </w:p>
    <w:p>
      <w:pPr>
        <w:spacing w:after="0" w:line="16"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On August 1, 2018, CVR Energy completed an exchange offer whereby CVR Refining's public unitholders tendered a total of 21,625,106 common units of CVR Refining in exchange for 13,699,549 shares of CVR Energy common stock. As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337" w:right="25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result of the exchange offer, AEPC owned less than 80% of the common stock of CVR Energy and CVR Energy deconsolidated from the AEPC consolidated federal income tax group. Beginning with the tax period after the exchange, CVR Energy became the parent of a new consolidated group for U.S. federal income tax purposes and will file and pay its federal income tax obligations directly to the Internal Revenue Service.</w:t>
      </w:r>
    </w:p>
    <w:p>
      <w:pPr>
        <w:spacing w:after="0" w:line="57" w:lineRule="exact"/>
        <w:rPr>
          <w:sz w:val="20"/>
          <w:szCs w:val="20"/>
          <w:color w:val="auto"/>
        </w:rPr>
      </w:pPr>
    </w:p>
    <w:p>
      <w:pPr>
        <w:jc w:val="both"/>
        <w:ind w:right="80" w:firstLine="378"/>
        <w:spacing w:after="0" w:line="264" w:lineRule="auto"/>
        <w:rPr>
          <w:sz w:val="20"/>
          <w:szCs w:val="20"/>
          <w:color w:val="auto"/>
        </w:rPr>
      </w:pPr>
      <w:r>
        <w:rPr>
          <w:rFonts w:ascii="Arial" w:cs="Arial" w:eastAsia="Arial" w:hAnsi="Arial"/>
          <w:sz w:val="18"/>
          <w:szCs w:val="18"/>
          <w:color w:val="auto"/>
        </w:rPr>
        <w:t>As of December 31, 2018, we have not provided taxes on approximately $54 million of undistributed earnings in foreign subsidiaries which are deemed to be indefinitely reinvested. If at some future date these earnings cease to be permanently reinvested, we may be subject to foreign income and withholding taxes upon repatriation of such amounts.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Enactment of U.S. Tax Legislation</w:t>
      </w:r>
    </w:p>
    <w:p>
      <w:pPr>
        <w:spacing w:after="0" w:line="117" w:lineRule="exact"/>
        <w:rPr>
          <w:sz w:val="20"/>
          <w:szCs w:val="20"/>
          <w:color w:val="auto"/>
        </w:rPr>
      </w:pPr>
    </w:p>
    <w:p>
      <w:pPr>
        <w:ind w:firstLine="378"/>
        <w:spacing w:after="0" w:line="253" w:lineRule="auto"/>
        <w:rPr>
          <w:sz w:val="20"/>
          <w:szCs w:val="20"/>
          <w:color w:val="auto"/>
        </w:rPr>
      </w:pPr>
      <w:r>
        <w:rPr>
          <w:rFonts w:ascii="Arial" w:cs="Arial" w:eastAsia="Arial" w:hAnsi="Arial"/>
          <w:sz w:val="18"/>
          <w:szCs w:val="18"/>
          <w:color w:val="auto"/>
        </w:rPr>
        <w:t>On December 22, 2017, The Tax Cuts and Jobs Act (the "Tax Legislation") was enacted in the United States, significantly revising certain U.S. corporate income tax provisions; including, among other items, a reduction of the U.S. corporate rate from 35% to 21%, effective for tax year beginning after December 31, 2017; the transition of U.S. international taxation from a worldwide tax system to a territorial system; and a one-time transition tax on the mandatory deemed repatriation of cumulative foreign earnings as of December 31, 2017, (or, if greater, November 2, 2017) of a “specified foreign corporation” which includes controlled foreign corporations and other foreign corporations which have at least one U.S. corporate shareholder that owns 10% or more of the value or voting power of such foreign corporation. We estimated the impact of the Tax Legislation on our income tax provision for the year ended December 31, 2017 in accordance with our understanding of the Tax Legislation and guidance available at the date of this filing and as a result have recorded adjustments to the various tax balances, current, long-term and deferred tax assets and liabilities, all during the fourth quarter of 2017, the period in which the Tax Legislation was enacted. The actual amounts recorded in 2017 were not significantly different from the provisional amounts estimated in the prior year tax provision.</w:t>
      </w:r>
    </w:p>
    <w:p>
      <w:pPr>
        <w:spacing w:after="0" w:line="87" w:lineRule="exact"/>
        <w:rPr>
          <w:sz w:val="20"/>
          <w:szCs w:val="20"/>
          <w:color w:val="auto"/>
        </w:rPr>
      </w:pPr>
    </w:p>
    <w:p>
      <w:pPr>
        <w:jc w:val="both"/>
        <w:ind w:right="420" w:firstLine="378"/>
        <w:spacing w:after="0" w:line="264"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Tax Legislation. The GILTI provisions impose a tax on foreign income in excess of a deemed return on tangible assets of foreign corporations. We currently estimate no additional tax due in 2018 from the GILTI inclusion.</w:t>
      </w:r>
    </w:p>
    <w:p>
      <w:pPr>
        <w:spacing w:after="0" w:line="73"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Under the Tax Legislation, an entity must pay a Base Erosion Anti-Abuse Tax ("BEAT") if the BEAT is greater than its regular tax liability. We currently estimate no additional tax due in 2018 pursuant to the BEAT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summary of the changes in the gross amounts of unrecognized tax benefits for the years ended December 31, 2018, 2017 and 2016 are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60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Addition based on tax positions related to the current year</w:t>
            </w:r>
          </w:p>
        </w:tc>
        <w:tc>
          <w:tcPr>
            <w:tcW w:w="1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 for tax positions of prior years</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Decrease for tax positions of prior years</w:t>
            </w:r>
          </w:p>
        </w:tc>
        <w:tc>
          <w:tcPr>
            <w:tcW w:w="1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Decrease for statute of limitation expiration</w:t>
            </w:r>
          </w:p>
        </w:tc>
        <w:tc>
          <w:tcPr>
            <w:tcW w:w="1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124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60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6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At December 31, 2018, 2017 and 2016, we had unrecognized tax benefits of $34 million, $34 million and $52 million, respectively. Of these totals, $30 million, $28 million and $37 million represent the amount of unrecognized tax benefits that if recognized, would affect the annual effective tax rate in the respective periods. The total unrecognized tax benefits differ from the amount which would affect the effective tax rate primarily due to the impact of valuation allowances.</w:t>
      </w:r>
    </w:p>
    <w:p>
      <w:pPr>
        <w:spacing w:after="0" w:line="79"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During the next 12 months, CVR Energy believes that it is reasonably possible that unrecognized tax benefits of CVR Energy may decrease by approximately $3 million due to statute expirations. We do not anticipate any significant changes to the amount of our unrecognized tax benefits in our other business segments during the next 12 months.</w:t>
      </w:r>
    </w:p>
    <w:p>
      <w:pPr>
        <w:spacing w:after="0" w:line="73" w:lineRule="exact"/>
        <w:rPr>
          <w:sz w:val="20"/>
          <w:szCs w:val="20"/>
          <w:color w:val="auto"/>
        </w:rPr>
      </w:pPr>
    </w:p>
    <w:p>
      <w:pPr>
        <w:ind w:right="380" w:firstLine="378"/>
        <w:spacing w:after="0" w:line="264" w:lineRule="auto"/>
        <w:rPr>
          <w:sz w:val="20"/>
          <w:szCs w:val="20"/>
          <w:color w:val="auto"/>
        </w:rPr>
      </w:pPr>
      <w:r>
        <w:rPr>
          <w:rFonts w:ascii="Arial" w:cs="Arial" w:eastAsia="Arial" w:hAnsi="Arial"/>
          <w:sz w:val="18"/>
          <w:szCs w:val="18"/>
          <w:color w:val="auto"/>
        </w:rPr>
        <w:t>We recognize interest and penalties accrued related to unrecognized tax benefits as a component of income tax expense. We recorded $1 million, $2 million and $9 million as of December 31, 2018, 2017 and 2016, respectively, in liabilities for tax related net interest and penalties in our consolidated balance sheets. Income tax (benefit) expense related to interest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37"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penalties were $(1) million, $(7) million and $1 million for the years December 31, 2018, 2017 and 2016, respectively. We or certain of our subsidiaries file income tax returns in the U.S. federal jurisdiction, various state jurisdictions and various non-U.S. jurisdictions. We and our subsidiaries are no longer subject to U.S. federal tax examinations for years before 2015 or state and local examinations for years before 2013, with limited exceptions.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Translation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Post-Retirement</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Hedge Instruments,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Adjustments and</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Benefits, Net of Tax</w:t>
            </w:r>
          </w:p>
        </w:tc>
        <w:tc>
          <w:tcPr>
            <w:tcW w:w="28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Net of Tax</w:t>
            </w:r>
          </w:p>
        </w:tc>
        <w:tc>
          <w:tcPr>
            <w:tcW w:w="16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Other, Net of Tax</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4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40" w:type="dxa"/>
            <w:vAlign w:val="bottom"/>
            <w:gridSpan w:val="5"/>
          </w:tcPr>
          <w:p>
            <w:pPr>
              <w:ind w:left="110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6"/>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220" w:type="dxa"/>
            <w:vAlign w:val="bottom"/>
          </w:tcPr>
          <w:p>
            <w:pPr>
              <w:ind w:left="120"/>
              <w:spacing w:after="0"/>
              <w:rPr>
                <w:sz w:val="20"/>
                <w:szCs w:val="20"/>
                <w:color w:val="auto"/>
              </w:rPr>
            </w:pPr>
            <w:r>
              <w:rPr>
                <w:rFonts w:ascii="Arial" w:cs="Arial" w:eastAsia="Arial" w:hAnsi="Arial"/>
                <w:sz w:val="18"/>
                <w:szCs w:val="18"/>
                <w:color w:val="auto"/>
              </w:rPr>
              <w:t>reclassifications, net of tax</w:t>
            </w:r>
          </w:p>
        </w:tc>
        <w:tc>
          <w:tcPr>
            <w:tcW w:w="12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Reclassifications from accumulated other comprehensive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to earnings</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Dispositions of consolidated subsidiaries</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1,368</w:t>
            </w: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20" w:firstLine="378"/>
        <w:spacing w:after="0" w:line="277" w:lineRule="auto"/>
        <w:rPr>
          <w:sz w:val="20"/>
          <w:szCs w:val="20"/>
          <w:color w:val="auto"/>
        </w:rPr>
      </w:pPr>
      <w:r>
        <w:rPr>
          <w:rFonts w:ascii="Arial" w:cs="Arial" w:eastAsia="Arial" w:hAnsi="Arial"/>
          <w:sz w:val="18"/>
          <w:szCs w:val="18"/>
          <w:color w:val="auto"/>
        </w:rPr>
        <w:t>Dispositions of consolidated subsidiaries in the table above is included in changes in subsidiary equity and other in the consolidated statement of changes in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16. Other Income, Net.</w:t>
            </w: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Other income, net consists of the following:</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derivative (loss) income</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Dividend expense</w:t>
            </w:r>
          </w:p>
        </w:tc>
        <w:tc>
          <w:tcPr>
            <w:tcW w:w="1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Equity earnings from non-consolidated affiliates</w:t>
            </w:r>
          </w:p>
        </w:tc>
        <w:tc>
          <w:tcPr>
            <w:tcW w:w="1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 income</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Tax settlement gain</w:t>
            </w:r>
          </w:p>
        </w:tc>
        <w:tc>
          <w:tcPr>
            <w:tcW w:w="1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Non-service pension and other post-retirement benefits expense</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$37 million and $34 million as of December 31, 2018 and December 31, 2017, respectively, primarily within our Energy and Metals segments and which are included in accrued expenses and other liabilities in our consolidated balance sheets. In addition to the above, Federal-Mogul had environmental liabilities of $16 million as of December 31, 2017, which is included in liabilities held for sale in our consolidated balance sheets. We do not</w:t>
      </w:r>
    </w:p>
    <w:p>
      <w:pPr>
        <w:sectPr>
          <w:pgSz w:w="11900" w:h="16838" w:orient="portrait"/>
          <w:cols w:equalWidth="0" w:num="1">
            <w:col w:w="11420"/>
          </w:cols>
          <w:pgMar w:left="240" w:top="337"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337" w:right="239" w:bottom="1440" w:gutter="0" w:footer="0" w:header="0"/>
          <w:type w:val="continuous"/>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right="1600"/>
        <w:spacing w:after="0" w:line="360" w:lineRule="auto"/>
        <w:rPr>
          <w:sz w:val="20"/>
          <w:szCs w:val="20"/>
          <w:color w:val="auto"/>
        </w:rPr>
      </w:pPr>
      <w:r>
        <w:rPr>
          <w:rFonts w:ascii="Arial" w:cs="Arial" w:eastAsia="Arial" w:hAnsi="Arial"/>
          <w:sz w:val="18"/>
          <w:szCs w:val="18"/>
          <w:color w:val="auto"/>
        </w:rPr>
        <w:t xml:space="preserve">believe that environmental matters will have a material adverse impact on our consolidated results of operations and financial condition. </w:t>
      </w:r>
      <w:r>
        <w:rPr>
          <w:rFonts w:ascii="Arial" w:cs="Arial" w:eastAsia="Arial" w:hAnsi="Arial"/>
          <w:sz w:val="18"/>
          <w:szCs w:val="18"/>
          <w:i w:val="1"/>
          <w:iCs w:val="1"/>
          <w:color w:val="auto"/>
        </w:rPr>
        <w:t>Energy</w:t>
      </w:r>
    </w:p>
    <w:p>
      <w:pPr>
        <w:jc w:val="both"/>
        <w:ind w:firstLine="405"/>
        <w:spacing w:after="0" w:line="255" w:lineRule="auto"/>
        <w:rPr>
          <w:sz w:val="20"/>
          <w:szCs w:val="20"/>
          <w:color w:val="auto"/>
        </w:rPr>
      </w:pPr>
      <w:r>
        <w:rPr>
          <w:rFonts w:ascii="Arial" w:cs="Arial" w:eastAsia="Arial" w:hAnsi="Arial"/>
          <w:sz w:val="18"/>
          <w:szCs w:val="18"/>
          <w:color w:val="auto"/>
        </w:rPr>
        <w:t>On August 21, 2018, CVR Refining received a letter from the United States Department of Justice (the “DOJ”) on behalf of the Environmental Protection Agency (the "EPA") and Kansas Department of Health and Environment (“KDHE”) alleging violations of the Clean Air Act and a 2012 Consent Decree between CVR Refining, the United States (on behalf of the EPA) and KDHE at CVR Energy's Coffeyville refinery. In September 2018, CVR Refining executed a tolling agreement with the DOJ and KDHE extending time for negotiation regarding the agencies’ allegations through March 31, 2019. At this time CVR Energy cannot reasonably estimate the potential penalties, costs, fines or other expenditures that may result from this matter or any subsequent enforcement or litigation relating thereto and, therefore, CVR Energy cannot determine if the ultimate outcome of this matter will have a material impact on its financial position, results of operations or cash flows.</w:t>
      </w:r>
    </w:p>
    <w:p>
      <w:pPr>
        <w:spacing w:after="0" w:line="8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of December 31, 2018 and 2017, our Energy segment had environmental accruals of $8 million and $4 million, respectively, representing estimated costs for future remediation efforts at certain sites.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PSC Metals has been designated as a potentially responsible party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one of PSC Metals' Knoxville, Tennessee locations was the subject of investigations by the State of Tennessee under the federal Superfund law. These investigations were performed by the State of Tennessee pursuant to a contract with the EPA. PSC Metals has entered into Tennessee's Voluntary Clean-Up Oversight and Assistance Program ("VOAP") and expects to enter into a settlement with the Tennessee Department of Environment and Conservation ("TDEC") in the future. Currently, PSC Metals believes that it has adequately reserved for the cost of any potential future remediation associated with its Knoxville location, but cannot fully assess the impact of all costs or liabilities associated with TDEC's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other sites to be immaterial as of both December 31, 2018 and 2017. If it is determined that PSC Metals has liability to remediate those sites and that more expensive remediation approaches are required in the future, PSC Metals could incur additional obligations, which could be material to its operations.</w:t>
      </w:r>
    </w:p>
    <w:p>
      <w:pPr>
        <w:spacing w:after="0" w:line="80"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its management's judgment and prior experience. PSC Metals has estimated the liability to remediate these sites to be $27 million and $28 million at December 31, 2018 and 2017, respectively. PSC Metals believes, based on past experience, that the vast majority of these environmental liabilities and costs will be assessed and paid over an extended period of time. PSC Metals believes that it will be able to fund such costs in the ordinary course of business. 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CVR Refining is subject to the renewable fuel standards ("RFS") of the EPA that require refiners to either blend "renewable fuels" in with their transportation fuels or purchase renewable fuel credits, known as renewable identification numbers (“RINs”), in lieu of blending. CVR Refining is not able to blend the substantial majority of its transportation fuels and has to purchase RINs on the open market, as well as obtain waiver credits for cellulosic biofuels from the EPA, in order to comply with the RFS.</w:t>
      </w:r>
    </w:p>
    <w:p>
      <w:pPr>
        <w:spacing w:after="0" w:line="79"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CVR Refining's expenses for its compliance with RFS were $60 million, $249 million and $206 million for years ended December 31, 2018, 2017 and 2016, respectively, which are included in cost of goods sold in our consolidated financial statements. CVR Refining's costs to comply with RFS include the purchased cost of RINs, the impact of recognizing CVR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37"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Refining’s uncommitted biofuel blending obligation at fair value based on market prices at each reporting date and the valuation change of RINs purchases in excess of CVR Refining’s RFS obligation as of the reporting date. As of December 31, 2018 and 2017, CVR Refining's biofuel blending obligation was $4 million and $28 million, respectively, which is included in accrued expenses and other liabilities in our consolidated balance sheets.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CVR Energy, CVR Refining and its general partner, Icahn Enterprises and certain other affiliates and individuals have each been named in at least one of seven lawsuits filed in the Court of Chancery of the State of Delaware by purported former unitholders of CVR Refining, on behalf of themselves and an alleged class of similarly situated unitholders (the “Call Option Lawsuits”). The Call Option Lawsuits primarily allege breach of contract, tortious interference and breach of the implied covenant of good faith and fair dealing and seek monetary damages and attorneys’ fees, among other remedies, relating to CVR Energy's exercise of the call option under the CVR Refining Amended and Restated Agreement of Limited Partnership assigned to it by CVR Refining’s general partner. The Call Option Lawsuits are in the earliest stages of litigation. CVR Energy believes the Call Option Lawsuits are without merit and intends to vigorously defend against them.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Federal-Mogul</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 xml:space="preserve">On March 3, 2017, certain purported former stockholders of Federal-Mogul Holdings Corporation filed a petition in the Delaware Court of Chancery seeking an appraisal of the value of common stock they claim to have held at the time of the January 23, 2017 merger of IEH FM Holdings, LLC into Federal-Mogul Holdings Corporation. IEH FM Holdings, LLC was a wholly-owned subsidiary of Icahn Enterprises. Federal-Mogul Holdings LLC filed an answer to the petition on March 28, 2017. A second petition for appraisal was filed by purported former stockholders of Federal-Mogul Holdings Corporation on May 1, 2017. The two cases were consolidated on May 10, 2017, captioned </w:t>
      </w:r>
      <w:r>
        <w:rPr>
          <w:rFonts w:ascii="Arial" w:cs="Arial" w:eastAsia="Arial" w:hAnsi="Arial"/>
          <w:sz w:val="17"/>
          <w:szCs w:val="17"/>
          <w:i w:val="1"/>
          <w:iCs w:val="1"/>
          <w:color w:val="auto"/>
        </w:rPr>
        <w:t>In re Appraisal of Federal-Mogul Holdings LLC, C.A. No. 2017-0158-AGB</w:t>
      </w:r>
      <w:r>
        <w:rPr>
          <w:rFonts w:ascii="Arial" w:cs="Arial" w:eastAsia="Arial" w:hAnsi="Arial"/>
          <w:sz w:val="17"/>
          <w:szCs w:val="17"/>
          <w:color w:val="auto"/>
        </w:rPr>
        <w:t>. In connection with this matter, we contributed $56 million to Federal-Mogul in 2018 prior to our sale of Federal-Mogul.</w:t>
      </w:r>
    </w:p>
    <w:p>
      <w:pPr>
        <w:spacing w:after="0" w:line="7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FM Products negotiated a settlement agreement with plaintiff's counsel which was approved by the required number of plaintiffs and, following a fairness hearing, given final approval by the court on July 13, 2018. In connection with this matter, FM Products paid $3 million pursuant to the settlement agreement in 2018 prior to our sale of Federal-Mogul.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Obligations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91.7% of Icahn Enterprises' outstanding depositary units as of December 31, 2018.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70"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ACF. All the minimum funding requirements of the Internal Revenue Code, as amended, and the Employee Retirement Income Security Act of 1974, as amended, for the ACF plans have been met as of December 31, 2018. If the plans were voluntarily terminated, they would be underfunded by approximately $80 million as of December 31, 2018. These results are based on the most recent information provided by the plans’ actuary. These liabilities could increase or decrease, depending on a number of factors, including future changes in benefits, investment returns, and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37"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63"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current underfunded status of the ACF pension plans requires them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President. We are cooperating with the request and provided information in response to the subpoena. The U.S. Attorney’s office has not made any claims or allegations against us or Mr. Icahn. We maintain a strong compliance program and, while no assurances can be made, we do not believe this inquiry will have a material impact on our business, financial condition,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jc w:val="both"/>
        <w:ind w:right="40" w:firstLine="378"/>
        <w:spacing w:after="0" w:line="312" w:lineRule="auto"/>
        <w:rPr>
          <w:sz w:val="20"/>
          <w:szCs w:val="20"/>
          <w:color w:val="auto"/>
        </w:rPr>
      </w:pPr>
      <w:r>
        <w:rPr>
          <w:rFonts w:ascii="Arial" w:cs="Arial" w:eastAsia="Arial" w:hAnsi="Arial"/>
          <w:sz w:val="16"/>
          <w:szCs w:val="16"/>
          <w:color w:val="auto"/>
        </w:rPr>
        <w:t>Unconditional purchase obligations are primarily within our Energy segment relating to commitments for petroleum products storage and transportation, electricity supply agreements, product supply agreements, commitments related to CVR Energy's biofuel blending obligation and various agreements for gas and gas transportation. The minimum required payments for our Energy segment's unconditional purchase obligations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20"/>
                <w:szCs w:val="20"/>
                <w:color w:val="auto"/>
              </w:rPr>
            </w:pPr>
          </w:p>
        </w:tc>
        <w:tc>
          <w:tcPr>
            <w:tcW w:w="1400" w:type="dxa"/>
            <w:vAlign w:val="bottom"/>
          </w:tcPr>
          <w:p>
            <w:pPr>
              <w:jc w:val="right"/>
              <w:ind w:right="452"/>
              <w:spacing w:after="0"/>
              <w:rPr>
                <w:sz w:val="20"/>
                <w:szCs w:val="20"/>
                <w:color w:val="auto"/>
              </w:rPr>
            </w:pPr>
            <w:r>
              <w:rPr>
                <w:rFonts w:ascii="Arial" w:cs="Arial" w:eastAsia="Arial" w:hAnsi="Arial"/>
                <w:sz w:val="18"/>
                <w:szCs w:val="18"/>
                <w:b w:val="1"/>
                <w:bCs w:val="1"/>
                <w:color w:val="auto"/>
              </w:rPr>
              <w:t>Amount</w:t>
            </w:r>
          </w:p>
        </w:tc>
      </w:tr>
      <w:tr>
        <w:trPr>
          <w:trHeight w:val="27"/>
        </w:trPr>
        <w:tc>
          <w:tcPr>
            <w:tcW w:w="9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8"/>
        </w:trPr>
        <w:tc>
          <w:tcPr>
            <w:tcW w:w="9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412"/>
              <w:spacing w:after="0"/>
              <w:rPr>
                <w:sz w:val="20"/>
                <w:szCs w:val="20"/>
                <w:color w:val="auto"/>
              </w:rPr>
            </w:pPr>
            <w:r>
              <w:rPr>
                <w:rFonts w:ascii="Arial" w:cs="Arial" w:eastAsia="Arial" w:hAnsi="Arial"/>
                <w:sz w:val="14"/>
                <w:szCs w:val="14"/>
                <w:color w:val="auto"/>
              </w:rPr>
              <w:t>(in millions)</w:t>
            </w: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89</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76</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444</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500" w:firstLine="378"/>
        <w:spacing w:after="0" w:line="264" w:lineRule="auto"/>
        <w:rPr>
          <w:sz w:val="20"/>
          <w:szCs w:val="20"/>
          <w:color w:val="auto"/>
        </w:rPr>
      </w:pPr>
      <w:r>
        <w:rPr>
          <w:rFonts w:ascii="Arial" w:cs="Arial" w:eastAsia="Arial" w:hAnsi="Arial"/>
          <w:sz w:val="18"/>
          <w:szCs w:val="18"/>
          <w:color w:val="auto"/>
        </w:rPr>
        <w:t>CVR Energy is a party to various supply agreements which commit it to purchase minimum volumes of crude oil, hydrogen, oxygen, nitrogen, petroleum coke and natural gas to run its facilities’ operations. For the years ended December 31, 2018, 2017 and 2016. amounts purchased under these supply agreements totaled approximately $214 million, $209 million and $151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37"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Leases</w:t>
      </w:r>
    </w:p>
    <w:p>
      <w:pPr>
        <w:spacing w:after="0" w:line="117"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Consolidated future minimum lease payments under operating leases with initial terms of one or more years consist of the following at December 31, 2018:</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20"/>
                <w:szCs w:val="20"/>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b w:val="1"/>
                <w:bCs w:val="1"/>
                <w:color w:val="auto"/>
              </w:rPr>
              <w:t>Amount</w:t>
            </w:r>
          </w:p>
        </w:tc>
      </w:tr>
      <w:tr>
        <w:trPr>
          <w:trHeight w:val="27"/>
        </w:trPr>
        <w:tc>
          <w:tcPr>
            <w:tcW w:w="9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8"/>
        </w:trPr>
        <w:tc>
          <w:tcPr>
            <w:tcW w:w="9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color w:val="auto"/>
              </w:rPr>
              <w:t>(in millions)</w:t>
            </w:r>
          </w:p>
        </w:tc>
      </w:tr>
      <w:tr>
        <w:trPr>
          <w:trHeight w:val="256"/>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175</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134</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235</w:t>
            </w:r>
          </w:p>
        </w:tc>
      </w:tr>
      <w:tr>
        <w:trPr>
          <w:trHeight w:val="27"/>
        </w:trPr>
        <w:tc>
          <w:tcPr>
            <w:tcW w:w="9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977</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740" w:firstLine="378"/>
        <w:spacing w:after="0" w:line="277" w:lineRule="auto"/>
        <w:rPr>
          <w:sz w:val="20"/>
          <w:szCs w:val="20"/>
          <w:color w:val="auto"/>
        </w:rPr>
      </w:pPr>
      <w:r>
        <w:rPr>
          <w:rFonts w:ascii="Arial" w:cs="Arial" w:eastAsia="Arial" w:hAnsi="Arial"/>
          <w:sz w:val="18"/>
          <w:szCs w:val="18"/>
          <w:color w:val="auto"/>
        </w:rPr>
        <w:t>Rent expense under operating leases for the years ended December 31, 2018, 2017 and 2016 was $168 million, $155 million and $136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Pension and Other Post-Retirement Benefit Plans.</w:t>
      </w:r>
    </w:p>
    <w:p>
      <w:pPr>
        <w:spacing w:after="0" w:line="121"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Pension and other post-retirement benefit plan costs and obligations are primarily within our Food Packaging segment. Pension plans and other post-retirement benefit plans for other segments are not material and are not included in our disclosures below.</w:t>
      </w:r>
    </w:p>
    <w:p>
      <w:pPr>
        <w:spacing w:after="0" w:line="62"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Viskase sponsors several defined benefit pension plans, including defined contribution plans, varying by country and subsidiary. Additionally, Viskase sponsors health care and life insurance benefits for certain employees and retirees around the world. The pension benefits are funded based on the funding requirements of federal and international laws and regulations, as applicable, in advance of benefit payments and the other benefits are funded as benefits are provided to participating employees.</w:t>
      </w:r>
    </w:p>
    <w:p>
      <w:pPr>
        <w:sectPr>
          <w:pgSz w:w="11900" w:h="16838" w:orient="portrait"/>
          <w:cols w:equalWidth="0" w:num="1">
            <w:col w:w="11420"/>
          </w:cols>
          <w:pgMar w:left="240" w:top="337" w:right="239" w:bottom="1440" w:gutter="0" w:footer="0" w:header="0"/>
        </w:sectPr>
      </w:pP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Components of net periodic benefit cost (credit)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return on plan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actuarial losses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Settlement loss recognized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and Non-U.S.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592"/>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5"/>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40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40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40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-1062990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-719455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-376555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337"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337" w:right="2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The following table provides disclosures for Viskase's benefit obligations, plan assets, funded status, and recognition in the consolidated balance sheets. As pension costs for Viskase are not material to our consolidated financial position and results of operations, we do not provide information regarding their inputs and valuation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120" w:type="dxa"/>
            <w:vAlign w:val="bottom"/>
            <w:gridSpan w:val="4"/>
          </w:tcPr>
          <w:p>
            <w:pPr>
              <w:jc w:val="right"/>
              <w:spacing w:after="0"/>
              <w:rPr>
                <w:sz w:val="20"/>
                <w:szCs w:val="20"/>
                <w:color w:val="auto"/>
              </w:rPr>
            </w:pPr>
            <w:r>
              <w:rPr>
                <w:rFonts w:ascii="Arial" w:cs="Arial" w:eastAsia="Arial" w:hAnsi="Arial"/>
                <w:sz w:val="18"/>
                <w:szCs w:val="18"/>
                <w:b w:val="1"/>
                <w:bCs w:val="1"/>
                <w:color w:val="auto"/>
              </w:rPr>
              <w:t>U.S and Non-U.S. Pension Benefits</w:t>
            </w:r>
          </w:p>
        </w:tc>
        <w:tc>
          <w:tcPr>
            <w:tcW w:w="4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8"/>
        </w:trPr>
        <w:tc>
          <w:tcPr>
            <w:tcW w:w="7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4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r>
      <w:tr>
        <w:trPr>
          <w:trHeight w:val="255"/>
        </w:trPr>
        <w:tc>
          <w:tcPr>
            <w:tcW w:w="7900" w:type="dxa"/>
            <w:vAlign w:val="bottom"/>
          </w:tcPr>
          <w:p>
            <w:pPr>
              <w:ind w:left="40"/>
              <w:spacing w:after="0"/>
              <w:rPr>
                <w:sz w:val="20"/>
                <w:szCs w:val="20"/>
                <w:color w:val="auto"/>
              </w:rPr>
            </w:pPr>
            <w:r>
              <w:rPr>
                <w:rFonts w:ascii="Arial" w:cs="Arial" w:eastAsia="Arial" w:hAnsi="Arial"/>
                <w:sz w:val="18"/>
                <w:szCs w:val="18"/>
                <w:color w:val="auto"/>
              </w:rPr>
              <w:t>Change in benefit obligation:</w:t>
            </w: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 obligation, beginning of year</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164</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18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Actuarial (gain) loss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Plan settlements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 due to acquisitions</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Currency translation</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Change in plan assets: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Fair value of plan assets, beginning of year</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110</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Actual return on plan assets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Employer contributions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Plan settlements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Fair value of plan assets, end of year</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115</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of the plan and amounts recognized in the consolidated balance sheets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Amounts recognized in accumulated other comprehensive loss, inclusive of tax impacts</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7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 Measured at Fair Value on a Recurring Basis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Viskase's defined benefit plan assets measured at fair value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2018</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2017</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 2</w:t>
            </w:r>
          </w:p>
        </w:tc>
        <w:tc>
          <w:tcPr>
            <w:tcW w:w="26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Level 2</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8"/>
        </w:trPr>
        <w:tc>
          <w:tcPr>
            <w:tcW w:w="3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5"/>
        </w:trPr>
        <w:tc>
          <w:tcPr>
            <w:tcW w:w="3340" w:type="dxa"/>
            <w:vAlign w:val="bottom"/>
          </w:tcPr>
          <w:p>
            <w:pPr>
              <w:ind w:left="40"/>
              <w:spacing w:after="0"/>
              <w:rPr>
                <w:sz w:val="20"/>
                <w:szCs w:val="20"/>
                <w:color w:val="auto"/>
              </w:rPr>
            </w:pPr>
            <w:r>
              <w:rPr>
                <w:rFonts w:ascii="Arial" w:cs="Arial" w:eastAsia="Arial" w:hAnsi="Arial"/>
                <w:sz w:val="18"/>
                <w:szCs w:val="18"/>
                <w:color w:val="auto"/>
              </w:rPr>
              <w:t>U.S. and Non-U.S. Plans:</w:t>
            </w: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
        </w:trPr>
        <w:tc>
          <w:tcPr>
            <w:tcW w:w="3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Government debt securities</w:t>
            </w:r>
          </w:p>
        </w:tc>
        <w:tc>
          <w:tcPr>
            <w:tcW w:w="9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3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Exchange traded funds</w:t>
            </w: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9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3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9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3340" w:type="dxa"/>
            <w:vAlign w:val="bottom"/>
          </w:tcPr>
          <w:p>
            <w:pPr>
              <w:spacing w:after="0"/>
              <w:rPr>
                <w:sz w:val="20"/>
                <w:szCs w:val="20"/>
                <w:color w:val="auto"/>
              </w:rPr>
            </w:pP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r>
      <w:tr>
        <w:trPr>
          <w:trHeight w:val="67"/>
        </w:trPr>
        <w:tc>
          <w:tcPr>
            <w:tcW w:w="33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51"/>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Investments measured at net asset value</w:t>
            </w: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Plan assets measured at fair value</w:t>
            </w: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r>
      <w:tr>
        <w:trPr>
          <w:trHeight w:val="20"/>
        </w:trPr>
        <w:tc>
          <w:tcPr>
            <w:tcW w:w="3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337"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19. Supplemental Cash Flow Information.</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6400" w:type="dxa"/>
            <w:vAlign w:val="bottom"/>
          </w:tcPr>
          <w:p>
            <w:pPr>
              <w:ind w:left="420"/>
              <w:spacing w:after="0"/>
              <w:rPr>
                <w:sz w:val="20"/>
                <w:szCs w:val="20"/>
                <w:color w:val="auto"/>
              </w:rPr>
            </w:pPr>
            <w:r>
              <w:rPr>
                <w:rFonts w:ascii="Arial" w:cs="Arial" w:eastAsia="Arial" w:hAnsi="Arial"/>
                <w:sz w:val="18"/>
                <w:szCs w:val="18"/>
                <w:color w:val="auto"/>
              </w:rPr>
              <w:t>Supplemental cash flow information consists of the following:</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2017</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8"/>
        </w:trPr>
        <w:tc>
          <w:tcPr>
            <w:tcW w:w="6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jc w:val="center"/>
              <w:ind w:right="192"/>
              <w:spacing w:after="0"/>
              <w:rPr>
                <w:sz w:val="20"/>
                <w:szCs w:val="20"/>
                <w:color w:val="auto"/>
              </w:rPr>
            </w:pPr>
            <w:r>
              <w:rPr>
                <w:rFonts w:ascii="Arial" w:cs="Arial" w:eastAsia="Arial" w:hAnsi="Arial"/>
                <w:sz w:val="14"/>
                <w:szCs w:val="14"/>
                <w:color w:val="auto"/>
                <w:w w:val="98"/>
              </w:rPr>
              <w:t>(in millions)</w:t>
            </w: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5"/>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Continuing Operations:</w:t>
            </w: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interest, net of amounts capitalized</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cash (receipts) payments for income taxes, net of refunds</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Capital expenditures included in accounts payable, accrued expenses and other</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Equity investment consideration received from sale of business</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1,241</w:t>
            </w:r>
          </w:p>
        </w:tc>
        <w:tc>
          <w:tcPr>
            <w:tcW w:w="4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Acquisition of subsidiary common stock included in accrued expenses and other</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Seller financing secured mortgages resulting from disposition of assets</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375</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 prior to acquiring a controlling interest</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Discontinued Operations:</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Capital expenditures included in accounts payable, accrued expenses and other</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6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On February 26, 2019, the Board of Directors of the general partner of Icahn Enterprises declared a quarterly distribution in the amount of $2.00 per depositary unit, which will be paid on or about April 17, 2019 to depositary unitholders of record at the close of business on March 11, 2019. Depositary unitholders will have until April 8, 2019 to make an election to receive either cash or additional depositary units; if a holder does not make an election, it will automatically be deemed to have elected to receive the dividend in cash. Depositary unitholders who elect to receive additional depositary units will receive units valued at the volume weighted average trading price of the units on NASDAQ during the 5 consecutive trading days ending April 15, 2019.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37"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Financial Data (Unaudited).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Unaudited quarterly financial data for Icahn Enterprises is presented below:</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80" w:type="dxa"/>
            <w:vAlign w:val="bottom"/>
            <w:gridSpan w:val="7"/>
          </w:tcPr>
          <w:p>
            <w:pPr>
              <w:jc w:val="center"/>
              <w:spacing w:after="0"/>
              <w:rPr>
                <w:sz w:val="20"/>
                <w:szCs w:val="20"/>
                <w:color w:val="auto"/>
              </w:rPr>
            </w:pPr>
            <w:r>
              <w:rPr>
                <w:rFonts w:ascii="Arial" w:cs="Arial" w:eastAsia="Arial" w:hAnsi="Arial"/>
                <w:sz w:val="18"/>
                <w:szCs w:val="18"/>
                <w:b w:val="1"/>
                <w:bCs w:val="1"/>
                <w:color w:val="auto"/>
                <w:w w:val="92"/>
              </w:rPr>
              <w:t>For the Three Months Ended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5"/>
          </w:tcPr>
          <w:p>
            <w:pPr>
              <w:ind w:left="48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0"/>
                <w:szCs w:val="20"/>
                <w:color w:val="auto"/>
              </w:rPr>
            </w:pPr>
          </w:p>
        </w:tc>
        <w:tc>
          <w:tcPr>
            <w:tcW w:w="2040" w:type="dxa"/>
            <w:vAlign w:val="bottom"/>
            <w:gridSpan w:val="5"/>
          </w:tcPr>
          <w:p>
            <w:pPr>
              <w:ind w:left="54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0"/>
                <w:szCs w:val="20"/>
                <w:color w:val="auto"/>
              </w:rPr>
            </w:pPr>
          </w:p>
        </w:tc>
        <w:tc>
          <w:tcPr>
            <w:tcW w:w="2040" w:type="dxa"/>
            <w:vAlign w:val="bottom"/>
            <w:gridSpan w:val="5"/>
          </w:tcPr>
          <w:p>
            <w:pPr>
              <w:ind w:lef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9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5"/>
          </w:tcPr>
          <w:p>
            <w:pPr>
              <w:jc w:val="center"/>
              <w:ind w:right="220"/>
              <w:spacing w:after="0"/>
              <w:rPr>
                <w:sz w:val="20"/>
                <w:szCs w:val="20"/>
                <w:color w:val="auto"/>
              </w:rPr>
            </w:pPr>
            <w:r>
              <w:rPr>
                <w:rFonts w:ascii="Arial" w:cs="Arial" w:eastAsia="Arial" w:hAnsi="Arial"/>
                <w:sz w:val="14"/>
                <w:szCs w:val="14"/>
                <w:color w:val="auto"/>
                <w:w w:val="94"/>
              </w:rPr>
              <w:t>(in millions, except per unit data)</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Gross margin on net sales</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w w:val="99"/>
              </w:rPr>
              <w:t>Income (loss) from continuing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0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2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loss (income) attributable to</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8"/>
                <w:szCs w:val="18"/>
                <w:color w:val="auto"/>
                <w:w w:val="92"/>
              </w:rPr>
              <w:t>Net income (loss) attributable to</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vMerge w:val="restart"/>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7"/>
        </w:trPr>
        <w:tc>
          <w:tcPr>
            <w:tcW w:w="2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Icahn Enterprises</w:t>
            </w:r>
          </w:p>
        </w:tc>
        <w:tc>
          <w:tcPr>
            <w:tcW w:w="2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w w:val="93"/>
              </w:rPr>
              <w:t>Basic income (loss) per LP unit:</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24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income (loss) per LP</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00"/>
              <w:spacing w:after="0"/>
              <w:rPr>
                <w:sz w:val="20"/>
                <w:szCs w:val="20"/>
                <w:color w:val="auto"/>
              </w:rPr>
            </w:pPr>
            <w:r>
              <w:rPr>
                <w:rFonts w:ascii="Arial" w:cs="Arial" w:eastAsia="Arial" w:hAnsi="Arial"/>
                <w:sz w:val="18"/>
                <w:szCs w:val="18"/>
                <w:color w:val="auto"/>
              </w:rPr>
              <w:t>unit: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24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The comparability of our unaudited quarterly financial data is affected by, among other things, (i) the performance of the Investment Funds, (ii) the results of our Energy segment's operations, impacted by the relationship of its refined product prices and prices for crude oil and other feedstocks, (iii) impairment charges, primarily in our Automotive segment in the fourth quarter of 2018, (iv) gains on dispositions of assets, primarily in our Railcar and Real Estate segments in the second and third quarters of 2017, respectively, and (v) the enactment of tax legislation in the United States in 2017. In addition, in connection with our sales of Federal-Mogul, Tropicana and ARI, we recorded aggregate pre-tax gains on the sales of discontinued operations of approximately $1.4 billion in the fourth quarter of 2018.</w:t>
      </w:r>
    </w:p>
    <w:p>
      <w:pPr>
        <w:spacing w:after="0" w:line="85"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Our unaudited quarterly financial data presented above differs from the results of operations reported in each of our quarterly reports on Form 10-Q filed with the SEC during 2018 due to the recasting of the results of Federal-Mogul and Tropicana to discontinued operations for all periods presented beginning in the second quarter of 2018 and the recasting of the results of ARI to discontinued operations for all periods presented beginning in the fourth quarter of 2018. Certain other reclassifications were made that did not significantly impact our historical reported results.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337"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As of December 31, 2018,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Securities Exchange Act of 1934, as amended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60" w:firstLine="405"/>
        <w:spacing w:after="0" w:line="30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and for an assessment of the effectiveness of internal control over financial reporting; as such items are defined in Rule 13a-15f under the Exchange Act.</w:t>
      </w:r>
    </w:p>
    <w:p>
      <w:pPr>
        <w:spacing w:after="0" w:line="38"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Our internal control over financial reporting is designed to provide reasonable assurance that our financial reporting and preparation of financial statements is reliable and in accordance with generally accepted accounting principles. Our policies and procedures are designed to provide reasonable assurance that transactions are recorded and records are maintained in reasonable detail as necessary to accurately and fairly reflect transactions and that all transactions are properly authorized by management in order to prevent or timely detect unauthorized transactions or misappropriation of assets that could have a material effect on our financial statements.</w:t>
      </w:r>
    </w:p>
    <w:p>
      <w:pPr>
        <w:spacing w:after="0" w:line="80" w:lineRule="exact"/>
        <w:rPr>
          <w:sz w:val="20"/>
          <w:szCs w:val="20"/>
          <w:color w:val="auto"/>
        </w:rPr>
      </w:pPr>
    </w:p>
    <w:p>
      <w:pPr>
        <w:jc w:val="both"/>
        <w:ind w:right="360" w:firstLine="405"/>
        <w:spacing w:after="0" w:line="286" w:lineRule="auto"/>
        <w:rPr>
          <w:sz w:val="20"/>
          <w:szCs w:val="20"/>
          <w:color w:val="auto"/>
        </w:rPr>
      </w:pPr>
      <w:r>
        <w:rPr>
          <w:rFonts w:ascii="Arial" w:cs="Arial" w:eastAsia="Arial" w:hAnsi="Arial"/>
          <w:sz w:val="17"/>
          <w:szCs w:val="17"/>
          <w:color w:val="auto"/>
        </w:rPr>
        <w:t xml:space="preserve">Management is required to base its assessment on the effectiveness of our internal control over financial reporting on a suitable, recognized control framework. Management has utilized the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to evaluate the effectiveness of internal control over financial reporting.</w:t>
      </w:r>
    </w:p>
    <w:p>
      <w:pPr>
        <w:spacing w:after="0" w:line="5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management has performed an assessment according to the guidelines established by COSO. Based on the assessment, management has concluded that our system of internal control over financial reporting, as of December 31, 2018, is effective.</w:t>
      </w:r>
    </w:p>
    <w:p>
      <w:pPr>
        <w:spacing w:after="0" w:line="6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Grant Thornton LLP, our independent registered public accounting firm, has audited and issued their reports on Icahn Enterprises' internal control over financial reporting, which appears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2018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364" w:right="27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L.P.</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Opinion on internal control over financial reporting</w:t>
      </w:r>
    </w:p>
    <w:p>
      <w:pPr>
        <w:spacing w:after="0" w:line="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We have audited the internal control over financial reporting of Icahn Enterprises L.P. (a Delaware limited partnership) and subsidiaries (the “Partnership”) as of December 31, 2018,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Partnership maintained, in all material respects, effective internal control over financial reporting as of December 31, 2018,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Partnership as of and for the year ended December 31, 2018, and our report dated March 1, 2019 expressed an unqualified opinion on those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Basis for opinion</w:t>
      </w:r>
    </w:p>
    <w:p>
      <w:pPr>
        <w:spacing w:after="0" w:line="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Definition and limitations of internal control over financial reporting</w:t>
      </w:r>
    </w:p>
    <w:p>
      <w:pPr>
        <w:spacing w:after="0" w:line="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580"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219"/>
          </w:cols>
          <w:pgMar w:left="240" w:top="364"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200" w:firstLine="378"/>
        <w:spacing w:after="0" w:line="264" w:lineRule="auto"/>
        <w:rPr>
          <w:sz w:val="20"/>
          <w:szCs w:val="20"/>
          <w:color w:val="auto"/>
        </w:rPr>
      </w:pPr>
      <w:r>
        <w:rPr>
          <w:rFonts w:ascii="Arial" w:cs="Arial" w:eastAsia="Arial" w:hAnsi="Arial"/>
          <w:sz w:val="18"/>
          <w:szCs w:val="18"/>
          <w:color w:val="auto"/>
        </w:rPr>
        <w:t>The names, offices held and ages of the directors and executive officers of Icahn Enterprises G.P., Inc. ("Icahn Enterprises GP"), the general partner of each of Icahn Enterprises L.P. ("Icahn Enterprises") and Icahn Enterprises Holdings L.P. ("Icahn Enterprises Holdings") as of February 28, 2019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Carl C. Icahn</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83</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Keith Cozza</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SungHwan Cho</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 and Director</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Peter Reck</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Nevin</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Managing Director of Icahn Enterprises and Director</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William A. Leidesdorf</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L. Nelson (1)</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Jack G. Wasserman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82</w:t>
            </w:r>
          </w:p>
        </w:tc>
        <w:tc>
          <w:tcPr>
            <w:tcW w:w="10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21" w:lineRule="exact"/>
        <w:rPr>
          <w:sz w:val="20"/>
          <w:szCs w:val="20"/>
          <w:color w:val="auto"/>
        </w:rPr>
      </w:pPr>
    </w:p>
    <w:p>
      <w:pPr>
        <w:ind w:left="260" w:hanging="252"/>
        <w:spacing w:after="0" w:line="257" w:lineRule="auto"/>
        <w:tabs>
          <w:tab w:leader="none" w:pos="2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March 1, 2019, in connection with his appointment to the board of directors of Caesars Entertainment Corporation as a designee of Icahn Capital LP, James L. Nelson, a member of the Board of Directors of Icahn Enterprises GP and a member of its audit committee, notified Icahn Enterprises of his intention to resign from the Board of Directors, effective March 8, 2019. Mr. Nelson’s resignation was not the result of any dispute or disagreement with Icahn Enterprises GP or us on any matter relating to our operations, policies or practices. The Board of Directors has initiated a search process to identify a successor.</w:t>
      </w:r>
    </w:p>
    <w:p>
      <w:pPr>
        <w:spacing w:after="0" w:line="296" w:lineRule="exact"/>
        <w:rPr>
          <w:sz w:val="20"/>
          <w:szCs w:val="20"/>
          <w:color w:val="auto"/>
        </w:rPr>
      </w:pPr>
    </w:p>
    <w:p>
      <w:pPr>
        <w:ind w:right="180" w:firstLine="378"/>
        <w:spacing w:after="0" w:line="259" w:lineRule="auto"/>
        <w:rPr>
          <w:sz w:val="20"/>
          <w:szCs w:val="20"/>
          <w:color w:val="auto"/>
        </w:rPr>
      </w:pPr>
      <w:r>
        <w:rPr>
          <w:rFonts w:ascii="Arial" w:cs="Arial" w:eastAsia="Arial" w:hAnsi="Arial"/>
          <w:sz w:val="18"/>
          <w:szCs w:val="18"/>
          <w:color w:val="auto"/>
        </w:rPr>
        <w:t>Our directors are selected by Carl C. Icahn, as the controlling stockholder of Icahn Enterprises GP, and are not elected by our limited partners. Individuals who possess characteristics that include integrity, business experience, financial acumen and leadership abilities are qualified to serve on our board of directors. Listed below are our directors and executive officers with their biographies. In addition, we have summarized for each director why such director has been chosen to serve on our board of directors.</w:t>
      </w:r>
    </w:p>
    <w:p>
      <w:pPr>
        <w:spacing w:after="0" w:line="79" w:lineRule="exact"/>
        <w:rPr>
          <w:sz w:val="20"/>
          <w:szCs w:val="20"/>
          <w:color w:val="auto"/>
        </w:rPr>
      </w:pPr>
    </w:p>
    <w:p>
      <w:pPr>
        <w:ind w:right="20" w:firstLine="378"/>
        <w:spacing w:after="0" w:line="287" w:lineRule="auto"/>
        <w:rPr>
          <w:sz w:val="20"/>
          <w:szCs w:val="20"/>
          <w:color w:val="auto"/>
        </w:rPr>
      </w:pPr>
      <w:r>
        <w:rPr>
          <w:rFonts w:ascii="Arial" w:cs="Arial" w:eastAsia="Arial" w:hAnsi="Arial"/>
          <w:sz w:val="16"/>
          <w:szCs w:val="16"/>
          <w:b w:val="1"/>
          <w:bCs w:val="1"/>
          <w:i w:val="1"/>
          <w:iCs w:val="1"/>
          <w:color w:val="auto"/>
        </w:rPr>
        <w:t xml:space="preserve">Carl C. Icahn </w:t>
      </w:r>
      <w:r>
        <w:rPr>
          <w:rFonts w:ascii="Arial" w:cs="Arial" w:eastAsia="Arial" w:hAnsi="Arial"/>
          <w:sz w:val="16"/>
          <w:szCs w:val="16"/>
          <w:color w:val="auto"/>
        </w:rPr>
        <w:t>has served as Chairman of the Board and a director of Starfire Holding Corporation, a privately-held holding company, and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and a director of various subsidiaries of Starfire, since 1984. Since August 2007, through his position as Chief Executive Officer of Icahn Capital LP, a wholly-owned subsidiary of Icahn Enterprises and certain related entities, Mr. Icahn’s principal occupation has been managing private investment funds, including Icahn Partners LP and Icahn Partners Master Fund LP. Since 1990, Mr. Icahn has been Chairman of the Board of Icahn Enterprises GP, the general partner of Icahn Enterprises and Icahn Enterprises Holdings. Mr. Icahn was previously: Chairman of the Board of Tropicana Entertainment Inc., a company that is primarily engaged in the business of owning and operating casinos and resorts, from 2010 until 2018; Chairman of the Board of CVR Refining, LP from 2013 to 2018; Chairman of the Board of CVR Energy, Inc., from 2012 to 2018; President and a member of the Executive Committee of XO Holdings, from 2011 to 2017, and Chairman of the Board of its predecessors, from 2003 to 2011; a director of Federal-Mogul LLC, a supplier of automotive powertrain and safety components, from 2007 to 2015, and the non-executive Chairman of the Board of Federal-Mogul LLC, from 2008 to 2015; Chairman of the Board of American Railcar Industries, Inc., a railcar manufacturing company, from 1994 to 2014; a director of American Railcar Leasing LLC, a lessor and seller of specialized railroad tank and covered hopper railcars, from 2004 to 2013; a director of WestPoint Home LLC, from 2005 to 2011; and a director of Cadus Corporation, a company engaged in the acquisition of real estate for renovation or construction and resale, from 1993 to 2010.</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Icahn brings to his role as the Chairman of the Board his significant business experience in leadership roles as director in various companies as discussed above, including certain of our subsidiaries. In addition, Mr. Icahn is uniquely qualified based on his historical background for creating value in companies across multiple industries. Mr. Icahn has proven to be a successful investor over the past 40 years.</w:t>
      </w:r>
    </w:p>
    <w:p>
      <w:pPr>
        <w:spacing w:after="0" w:line="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Keith Cozza </w:t>
      </w:r>
      <w:r>
        <w:rPr>
          <w:rFonts w:ascii="Arial" w:cs="Arial" w:eastAsia="Arial" w:hAnsi="Arial"/>
          <w:sz w:val="17"/>
          <w:szCs w:val="17"/>
          <w:color w:val="auto"/>
        </w:rPr>
        <w:t>has been the President and Chief Executive Officer of Icahn Enterprises since February 2014. In addition, Mr. Cozza has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Officer of Icahn Capital LP, the subsidiary of Icahn Enterprises through which Carl C. Icahn manages investment funds, since February 2013. From February 2013 to February 2014, Mr. Cozza served as Executive Vice President of Icahn Enterprises. Mr. Cozza is also the Chief Financial Officer of Icahn Associates Holding LLC, a position he has held since 2006. Mr. Cozza has been a: director of Tenneco Inc., manufacturers of Ride Performance, Clean Air products and technology solutions for automotive and commercial vehicles, since October 2018; Chairman of the Board of Xerox Corporation, a provider of document management solutions, since May 2018; and a director of Icahn Enterprises since September 2012.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64" w:right="239" w:bottom="1440" w:gutter="0" w:footer="0" w:header="0"/>
        </w:sectPr>
      </w:pPr>
    </w:p>
    <w:bookmarkStart w:id="119" w:name="page120"/>
    <w:bookmarkEnd w:id="119"/>
    <w:p>
      <w:pPr>
        <w:jc w:val="both"/>
        <w:spacing w:after="0" w:line="269" w:lineRule="auto"/>
        <w:rPr>
          <w:sz w:val="20"/>
          <w:szCs w:val="20"/>
          <w:color w:val="auto"/>
        </w:rPr>
      </w:pPr>
      <w:r>
        <w:rPr>
          <w:rFonts w:ascii="Arial" w:cs="Arial" w:eastAsia="Arial" w:hAnsi="Arial"/>
          <w:sz w:val="17"/>
          <w:szCs w:val="17"/>
          <w:color w:val="auto"/>
        </w:rPr>
        <w:t>addition, Mr. Cozza serves as a director of certain wholly-owned subsidiaries of Icahn Enterprises, including: Icahn Automotive Group LLC and PSC Metals LLC. Mr. Cozza was previously: a director of Federal-Mogul LLC, a supplier of automotive powertrain and safety components, until October 2018; a director of Tropicana Entertainment Inc., a company that is primarily engaged in the business of owning and operating casinos and resorts, from February 2014 until October 2018; a director of Herbalife Ltd., a nutrition company, from April 2013 until April 2018; a member of the Executive Committee of American Railcar Leasing LLC, a lessor and seller of specialized railroad tank and covered hopper railcars, from June 2014 to June 2017; a director of FCX Oil &amp; Gas Inc., a wholly-owned subsidiary of Freeport-McMoRan Inc., from October 2015 to April 2016; a director of CVR Refining, LP from January 2013 to February 2014; and a director of MGM Holdings Inc., an entertainment company focused on the production and distribution of film and television content, from April 2012 to August 2012. Icahn Enterprises, Icahn Automotive Group LLC, PSC Metals LLC and CVR Refining, LP each are indirectly controlled by Carl C. Icahn, and Federal-Mogul LLC, Tropicana Entertainment Inc. and American Railcar Leasing LLC were previously indirectly controlled by Mr. Icahn. Mr. Icahn has or previously had non-controlling interests in Tenneco Inc., Xerox Corporation, Herbalife Ltd., Freeport-McMoRan, and MGM Holdings through the ownership of securities.</w:t>
      </w:r>
    </w:p>
    <w:p>
      <w:pPr>
        <w:spacing w:after="0" w:line="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Cozza brings to his service as a director his significant experience in leadership roles as director of various companies as discussed above. In particular, his experience as Chief Financial Officer of Icahn Associates Holding LLC enables him to understand the complex business and financial issues that we may face.</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SungHwan Cho </w:t>
      </w:r>
      <w:r>
        <w:rPr>
          <w:rFonts w:ascii="Arial" w:cs="Arial" w:eastAsia="Arial" w:hAnsi="Arial"/>
          <w:sz w:val="16"/>
          <w:szCs w:val="16"/>
          <w:color w:val="auto"/>
        </w:rPr>
        <w:t>has served as Chief Financial Officer of Icahn Enterprises since March 2012. Prior to that time, he was Senior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Portfolio Company Associate at Icahn Enterprises since October 2006. Mr. Cho has been a director of: Hertz Global Holdings, Inc., a company engaged in the car rental business, since May 2017; Ferrous Resources Ltd since June 2015; Icahn Enterprises since September 2012; and CVR Energy, Inc. since May 2012 (and has been Chairman of the Board of CVR Energy, Inc. since June 2018). In addition, Mr. Cho serves as a director of certain wholly-owned subsidiaries of Icahn Enterprises, including: Icahn Automotive Group LLC; PSC Metals LLC; and WestPoint Home LLC. Mr. Cho was previously: a member of the Executive Committee of American Railcar Leasing LLC, a lessor an seller of specialized railroad tank and covered hopper railcars, from September 2013 to June 2017; a director of CVR Partners, LP from May 2012 to April 2017; a director of Viskase Companies, Inc. from November 2006 to April 2017; a director of Take-Two Interactive Software Inc., a publisher of interactive entertainment products, from April 2010 to November 2013; a director (from June 2011) and Chairman of the Board (from July 2014) of American Railcar Industries, Inc., a railcar manufacturing company, until December 2018; a director of Federal-Mogul LLC, a supplier of automotive powertrain and safety components, until October 2018; and a director (from January 2013) and Chairman of the Board (from June 2018) of CVR Refining, LP Ferrous Resources Ltd, Icahn Enterprises, CVR Energy, Inc., Icahn Automotive Group LLC, PSC Metals LLC, WestPoint Home LLC, CVR Partners, LP, Viskase Companies, Inc. and CVR Refining, LP each are indirectly controlled by Carl C. Icahn, and American Railcar Industries, Inc., Federal-Mogul LLC and American Railcar Leasing LLC were previously indirectly controlled by Mr. Icahn. Mr. Icahn has or previously had a non-controlling interest in each of Hertz Global Holdings and Take-Two Interactive Software through the ownership of securities.</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Cho brings to his service as a director his significant experience in leadership roles as director of various companies as discussed above. In particular, his service as Chief Financial Officer of Icahn Enterprises and Icahn Enterprises Holdings enables him to understand the complex business and financial issues that we may face.</w:t>
      </w:r>
    </w:p>
    <w:p>
      <w:pPr>
        <w:spacing w:after="0" w:line="73"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b w:val="1"/>
          <w:bCs w:val="1"/>
          <w:i w:val="1"/>
          <w:iCs w:val="1"/>
          <w:color w:val="auto"/>
        </w:rPr>
        <w:t xml:space="preserve">Peter Reck </w:t>
      </w:r>
      <w:r>
        <w:rPr>
          <w:rFonts w:ascii="Arial" w:cs="Arial" w:eastAsia="Arial" w:hAnsi="Arial"/>
          <w:sz w:val="18"/>
          <w:szCs w:val="18"/>
          <w:color w:val="auto"/>
        </w:rPr>
        <w:t>has served as Chief Accounting Officer of Icahn Enterprises since March 2012, and as its Secretary since April 2012. Mr. Reck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Controller of Icahn Enterprises and Icahn Enterprises Holdings from November 2005 to March 2012. Mr. Reck has served as director of: Icahn Automotive Group LLC since 2017; The Pep Boys - Manny, Moe &amp; Jack, since February 2016; and Viskase Companies, Inc. since March 2012. Previously, Mr. Reck served as Controller of Family Office and Treasurer of Philanthropies for Bromor Management, the Family Office of Charles Bronfman. Mr. Reck also served as Controller for the Bank of Uruguay and worked at KPMG LLP in their audit practice.</w:t>
      </w:r>
    </w:p>
    <w:p>
      <w:pPr>
        <w:spacing w:after="0" w:line="80" w:lineRule="exact"/>
        <w:rPr>
          <w:sz w:val="20"/>
          <w:szCs w:val="20"/>
          <w:color w:val="auto"/>
        </w:rPr>
      </w:pPr>
    </w:p>
    <w:p>
      <w:pPr>
        <w:ind w:right="20" w:firstLine="378"/>
        <w:spacing w:after="0" w:line="288" w:lineRule="auto"/>
        <w:rPr>
          <w:sz w:val="20"/>
          <w:szCs w:val="20"/>
          <w:color w:val="auto"/>
        </w:rPr>
      </w:pPr>
      <w:r>
        <w:rPr>
          <w:rFonts w:ascii="Arial" w:cs="Arial" w:eastAsia="Arial" w:hAnsi="Arial"/>
          <w:sz w:val="16"/>
          <w:szCs w:val="16"/>
          <w:b w:val="1"/>
          <w:bCs w:val="1"/>
          <w:i w:val="1"/>
          <w:iCs w:val="1"/>
          <w:color w:val="auto"/>
        </w:rPr>
        <w:t xml:space="preserve">Michael Nevin </w:t>
      </w:r>
      <w:r>
        <w:rPr>
          <w:rFonts w:ascii="Arial" w:cs="Arial" w:eastAsia="Arial" w:hAnsi="Arial"/>
          <w:sz w:val="16"/>
          <w:szCs w:val="16"/>
          <w:color w:val="auto"/>
        </w:rPr>
        <w:t>has served as a director of Icahn Enterprises' general partner, Icahn Enterprises GP, since December 2018 and has served as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since June 2018. In addition, Mr. Nevin has served as Chief Financial Officer of Icahn Automotive Group LLC since February 2019. From July 2015 to June 2018, Mr. Nevin served as a Financial Analyst at Icahn Enterprises. Prior to joining Icahn Enterprises, Mr. Nevin was employed by Jefferies LLC as a Research Analyst from 2014 to 2015 covering the utilities sector. Mr. Nevin was also employed by JP Morgan Investment Bank in various roles from 2009 to 2014, most recently as an Associate from 2012 to 2014. Mr. Nevin is married to the daughter of Carl C. Icahn, the Chairman of the Board of Icahn Enterprises. Mr. Nevin has been a director of: Viskase Companies, Inc. since April 2017; Ferrous Resources Ltd since December 2016; and Conduent Incorporated, a provider of business process outsourcing services, since December 2016. Icahn Enterprises has a non-controlling interest in Conduent through the ownership of securities. Mr. Nevin was previously: a director of American Railcar Industries, Inc., a railcar manufacturing company, from February 2017 to December 2018; and a director of Federal-Mogul LLC, a supplier of automotive powertrain and safety components, from February 2016 through its sale in October 2018. American Railcar Industries, Inc. and Federal-Mogul LLC were previously indirectly controlled by Mr. Icahn.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76" w:right="239" w:bottom="1440" w:gutter="0" w:footer="0" w:header="0"/>
        </w:sectPr>
      </w:pPr>
    </w:p>
    <w:bookmarkStart w:id="120" w:name="page121"/>
    <w:bookmarkEnd w:id="120"/>
    <w:p>
      <w:pPr>
        <w:ind w:right="40" w:firstLine="378"/>
        <w:spacing w:after="0" w:line="270" w:lineRule="auto"/>
        <w:rPr>
          <w:sz w:val="20"/>
          <w:szCs w:val="20"/>
          <w:color w:val="auto"/>
        </w:rPr>
      </w:pPr>
      <w:r>
        <w:rPr>
          <w:rFonts w:ascii="Arial" w:cs="Arial" w:eastAsia="Arial" w:hAnsi="Arial"/>
          <w:sz w:val="17"/>
          <w:szCs w:val="17"/>
          <w:b w:val="1"/>
          <w:bCs w:val="1"/>
          <w:i w:val="1"/>
          <w:iCs w:val="1"/>
          <w:color w:val="auto"/>
        </w:rPr>
        <w:t xml:space="preserve">William A. Leidesdorf </w:t>
      </w:r>
      <w:r>
        <w:rPr>
          <w:rFonts w:ascii="Arial" w:cs="Arial" w:eastAsia="Arial" w:hAnsi="Arial"/>
          <w:sz w:val="17"/>
          <w:szCs w:val="17"/>
          <w:color w:val="auto"/>
        </w:rPr>
        <w:t>has served as a director of Icahn Enterprises' general partner, Icahn Enterprises GP, since March 1991 and is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Mr. Leidesdorf has served Icahn Enterprises' subsidiaries as a director and member of the audit committee of Tropicana Entertainment Inc. since May 2014 and as a director of IEH Auto Parts LLC since June 2015. Mr. Leidesdorf previously served as: a director and member of the audit committee of American Entertainment Properties Corp., a subsidiary of Icahn Enterprises, from December 2003 to March 2013; a director of Renco Steel, during its bankruptcy, its subsidiary, WCI Steel, Inc., a steel producer which filed for Chapter 11 bankruptcy protection and Simpson Housing Limited Partnership, a privately held real estate investment trust; an owner and a managing director of Renaissance Housing, LLC, and a company primarily engaged in the acquisition of multifamily housing and, the owner and managing director of Renaissance Hamptons Mayfair, LLC, a company primarily engaged in acquiring multifamily residential properties from 2008 until April 2015; and a principal in Bedrock Investment Management Group, LLC, a company engaged in the acquisition of troubled residential subdivisions, from 2008 until December 2014.</w:t>
      </w:r>
    </w:p>
    <w:p>
      <w:pPr>
        <w:spacing w:after="0" w:line="74" w:lineRule="exact"/>
        <w:rPr>
          <w:sz w:val="20"/>
          <w:szCs w:val="20"/>
          <w:color w:val="auto"/>
        </w:rPr>
      </w:pPr>
    </w:p>
    <w:p>
      <w:pPr>
        <w:ind w:right="120" w:firstLine="378"/>
        <w:spacing w:after="0" w:line="279" w:lineRule="auto"/>
        <w:rPr>
          <w:sz w:val="20"/>
          <w:szCs w:val="20"/>
          <w:color w:val="auto"/>
        </w:rPr>
      </w:pPr>
      <w:r>
        <w:rPr>
          <w:rFonts w:ascii="Arial" w:cs="Arial" w:eastAsia="Arial" w:hAnsi="Arial"/>
          <w:sz w:val="17"/>
          <w:szCs w:val="17"/>
          <w:color w:val="auto"/>
        </w:rPr>
        <w:t>Mr. Leidesdorf brings to his service as a director his significant business experience and leadership role as a director in various companies including certain of our subsidiaries. His experience has enabled him to understand the complex business and financial issues that companies may face. Mr. Leidesdorf has also had experience with large-scale real estate workouts and has been responsible for managing real estate portfolios for a number of institutions, including responsibility for audits and compliance with various federal and state regulatory authorities.</w:t>
      </w:r>
    </w:p>
    <w:p>
      <w:pPr>
        <w:spacing w:after="0" w:line="63"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b w:val="1"/>
          <w:bCs w:val="1"/>
          <w:i w:val="1"/>
          <w:iCs w:val="1"/>
          <w:color w:val="auto"/>
        </w:rPr>
        <w:t xml:space="preserve">James L. Nelson </w:t>
      </w:r>
      <w:r>
        <w:rPr>
          <w:rFonts w:ascii="Arial" w:cs="Arial" w:eastAsia="Arial" w:hAnsi="Arial"/>
          <w:sz w:val="17"/>
          <w:szCs w:val="17"/>
          <w:color w:val="auto"/>
        </w:rPr>
        <w:t>has served as a director of Icahn Enterprises' general partner, Icahn Enterprises GP, since June 2001 and is a member of our audit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Mr. Nelson has been a director of: IEH Auto Parts LLC since June 2015, an Icahn Enterprises’ subsidiary; and Herbalife Ltd., a nutrition company in which Mr. Icahn holds a non-controlling interest through the ownership of securities, since April 2014. Mr. Nelson has served as Chief Executive Officer, director and chairman of the audit committee of Global Net Lease Inc., a publicly traded real estate investment trust, since March 2017. Mr. Nelson previously served as: a director of New York REIT, Inc., a publicly traded real estate investment trust, from November 2015 to June 2017; a director and member of the compensation, governance and strategic alternatives committees of Voltari Corporation, a commercial real estate company controlled by Mr. Icahn, from June 2011 through September 2015 (and, from January 2012 through September 2015, served as chairman of its board of directors); a director of VII Peaks Co-Optivist Income BDC II, Inc., an externally managed, closed-end management investment company, from November 2013 through August 2014; a director of Ubiquity Broadcasting Corporation, a vertically integrated, technology-focused media company, from April 2014 to August 2014; a director and member of the audit committee of Tropicana Entertainment Inc. from March 2010 to May 2014; a director and member of the Governance and Nominating Committee of SITO Mobile, Ltd., a technology-based mobile solutions provider serving businesses, advertisers and brands, from May 2013 to April 2014; a director and member of the audit committee of Take Two Interactive Software, Inc., a publisher, developer, and distributor of video games and video game peripherals in which Mr. Icahn previously held an interest through the ownership of securities, from April 2010 through November 2013; a director and as chairman of the audit committee of the board of directors of Cequel Communications, an owner and operator of a large cable television system, from April 2008 to November 2012; and a director and chairman of the audit committee of Viskase Companies, Inc. from April 2003 through April 2010.</w:t>
      </w:r>
    </w:p>
    <w:p>
      <w:pPr>
        <w:spacing w:after="0" w:line="4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Mr. Nelson brings to his service as a director his significant experience and leadership roles serving as chief executive officer, director and chairman of the audit committee of various companies.</w:t>
      </w:r>
    </w:p>
    <w:p>
      <w:pPr>
        <w:spacing w:after="0" w:line="143"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b w:val="1"/>
          <w:bCs w:val="1"/>
          <w:i w:val="1"/>
          <w:iCs w:val="1"/>
          <w:color w:val="auto"/>
        </w:rPr>
        <w:t xml:space="preserve">Jack G. Wasserman </w:t>
      </w:r>
      <w:r>
        <w:rPr>
          <w:rFonts w:ascii="Arial" w:cs="Arial" w:eastAsia="Arial" w:hAnsi="Arial"/>
          <w:sz w:val="17"/>
          <w:szCs w:val="17"/>
          <w:color w:val="auto"/>
        </w:rPr>
        <w:t>has served as a director of Icahn Enterprises' general partner, Icahn Enterprises GP, since December 1993 and is the chairman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Mr. Wasserman has been a director of Cadus Corporation, a company engaged in the acquisition of real estate for renovation or construction and resale, a company controlled by Mr. Icahn, since December 1998. Mr. Wasserman has served Icahn Enterprises’ subsidiaries as a director of IEH Auto Parts LLC since June 2015 and as a director and member of the audit committee of Trump Entertainment Resorts, Inc. since February 2016. Mr. Wasserman has been engaged in the practice of law as a sole practitioner, since September 2001. Mr. Wasserman previously served as: a director of Wendy's, a franchisor of the Wendy's restaurant system, as the chairman of the ERISA committee of Wendy’s and as a member of the audit and compensation committees of Wendy's, from March 2004 to June 2015; a director and chairman of the audit committee of American Entertainment Properties Corp. a subsidiary of Icahn Enterprises, from December 2003 to March 2013; and a senior partner of Wasserman, Schneider, Babb &amp; Reed, a New York-based law firm, and its predecessors, from 1966 until 2001. He is a current and past director of numerous not-for-profit organizations. Mr. Wasserman is an attorney and a member of the Bars of New York, Florida and the District of Columbia.</w:t>
      </w:r>
    </w:p>
    <w:p>
      <w:pPr>
        <w:spacing w:after="0" w:line="70"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Mr. Wasserman brings to his service as a director his significant experience and leadership roles as a director of various public companies. In addition, Mr. Wasserman practiced law for almost 40 years with the law firm of Wasserman, Schneider, Babb &amp; Reed of which he was a senior partner; the firm concentrated its practice in international trade and related corporate matters, primarily for Fortune 500-type companies operating in a broad range of industries, and he is familiar with financial statements and domestic and trans-border transactions.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76"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 xml:space="preserve">James L. Nelson, William A. Leidesdorf and Jack G. Wasserman serve on our audit committee. As discussed above, Mr. Nelson has resigned as a director and member of the audit committee effective as of March 8, 2019. We believe that the audit committee members are “independent” within the meaning of Rule 5605(a)(2) of the NASDAQ Listing Rules of the NASDAQ Stock Market ("NASDAQ"). A copy of the audit committee charter is available on our website at </w:t>
      </w:r>
      <w:r>
        <w:rPr>
          <w:rFonts w:ascii="Arial" w:cs="Arial" w:eastAsia="Arial" w:hAnsi="Arial"/>
          <w:sz w:val="18"/>
          <w:szCs w:val="18"/>
          <w:i w:val="1"/>
          <w:iCs w:val="1"/>
          <w:color w:val="auto"/>
        </w:rPr>
        <w:t>www.ielp.com/corporate-governance</w:t>
      </w:r>
      <w:r>
        <w:rPr>
          <w:rFonts w:ascii="Arial" w:cs="Arial" w:eastAsia="Arial" w:hAnsi="Arial"/>
          <w:sz w:val="18"/>
          <w:szCs w:val="18"/>
          <w:color w:val="auto"/>
        </w:rPr>
        <w:t xml:space="preserve"> or may be obtained without charge by writing to Icahn Enterprises L.P., 767 Fifth Avenue, Suite 4700, New York, NY 10153, Attention: Investor Relations.</w:t>
      </w:r>
    </w:p>
    <w:p>
      <w:pPr>
        <w:spacing w:after="0" w:line="80" w:lineRule="exact"/>
        <w:rPr>
          <w:sz w:val="20"/>
          <w:szCs w:val="20"/>
          <w:color w:val="auto"/>
        </w:rPr>
      </w:pPr>
    </w:p>
    <w:p>
      <w:pPr>
        <w:ind w:right="20" w:firstLine="378"/>
        <w:spacing w:after="0" w:line="254" w:lineRule="auto"/>
        <w:rPr>
          <w:sz w:val="20"/>
          <w:szCs w:val="20"/>
          <w:color w:val="auto"/>
        </w:rPr>
      </w:pPr>
      <w:r>
        <w:rPr>
          <w:rFonts w:ascii="Arial" w:cs="Arial" w:eastAsia="Arial" w:hAnsi="Arial"/>
          <w:sz w:val="18"/>
          <w:szCs w:val="18"/>
          <w:color w:val="auto"/>
        </w:rPr>
        <w:t>Our audit committee has twelve regularly scheduled meetings each year, and numerous other meetings when circumstances require. Eight meetings are held in connection (a) with the audit committee's review, together with our senior management, the senior management of our subsidiaries, and representatives of our independent auditor, of our quarterly reports on Form 10-Q and our annual report on Form 10-K and (b) telephone conferences with the senior management of each of our subsidiaries. Four meetings are held with our Chief Financial Officer, Chief Accounting Officer, and Chief Auditor, who report to the audit committee on company-wide developing financial and related matters. At the time of the annual report on Form 10-K, the audit committee meets in executive session, and also meets separately with our independent auditor and our senior management. Our audit committee holds two annual executive sessions. When necessary, our audit committee holds informal meetings, meets with its independent counsel, and, when appropriate, with independent financial advisers.</w:t>
      </w:r>
    </w:p>
    <w:p>
      <w:pPr>
        <w:spacing w:after="0" w:line="84"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The functions of our audit committee include, but are not limited to: (1) the review of our financial and accounting policies and procedures, including oversight; (2) the selection of our independent auditor and the determination of the auditor's fees for audit services; (3) the pre-approval of any non-audit services and the fees to be paid to our independent auditor; (4) the obtaining, at least annually, of a report from our independent auditor of the adequacy of our internal controls over financial reporting; (5) the review of the results of all audits of our books and records performed by the independent auditor for, among other reasons, to determine the integrity of our financial statements; (6) discussing our policies with respect to risk assessment and risk management, and reporting such policies to the full board of directors; (7) the review of significant earnings press releases prior to release with respect to the types of information disclosed and the manner in which the information is disclosed; and (8) the review and approval of related party transactions and conflicts of interest in accordance with the terms of our partnership agreement. Our audit committee is empowered, in its discretion, to engage such advisors as it might deem necessary, including legal counsel and financial and accounting advisors.</w:t>
      </w:r>
    </w:p>
    <w:p>
      <w:pPr>
        <w:spacing w:after="0" w:line="74"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Our board of directors has determined that we do not have an “audit committee financial expert,” within the meaning of Item 407(d)(5) of Regulation S-K, serving on our audit committee. We believe that each member of the audit committee is financially literate and possesses sufficient experience, both professionally and by virtue of his service as a director and member of the audit committee of Icahn Enterprises GP, to be fully capable of discharging his duties as a member of our audit committee. However, none of the members of our audit committee has a professional background in accounting or preparing, auditing, analyzing or evaluating financial statements. If our audit committee determines that it requires additional financial expertise, it will either engage professional advisors or seek to recruit a member who would qualify as an “audit committee financial expert” within the meaning of Item 407(d)(5) of Regulation S-K.</w:t>
      </w:r>
    </w:p>
    <w:p>
      <w:pPr>
        <w:spacing w:after="0" w:line="81"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Jack G. Wasserman has been chosen to preside and currently presides at executive sessions of our non-management directors. Interested parties may directly communicate with the presiding director of the audit committee or with the non-management directors of the audit committee as a group by directing all inquiries to our ethics hotline at (877) 888-0002.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Report</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The audit committee has confirmed that: (1) the audit committee reviewed and discussed our audited financial statements for the year ended December 31, 2018 with management; (2) the audit committee has discussed with our independent auditors the matters required to be discussed by SAS 61 (Codification of Statements on Auditing Standards, AU§380); (3) the audit committee has received the written disclosures and the letter from the independent accountants required by Independence Standards Board Standard No. 1; and (4) based on the review and discussions referred to in clauses (1), (2) and (3) above, the audit committee recommended to the board of directors that our audited financial statements for the year ended December 31, 2018 be included in this Report.</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report is provided by the following independent directors, who constitute the audit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William A. Leidesdorf</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L. Nelson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Jack G. Wasserman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76" w:right="2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 xml:space="preserve">Icahn Enterprises GP's board of directors has adopted a Code of Business Conduct and Ethics applicable to all directors, officers and employees, including our principal executive officer, principal financial officer and principal accounting officer. A copy of the Code of Business Conduct and Ethics is available on our website at </w:t>
      </w:r>
      <w:r>
        <w:rPr>
          <w:rFonts w:ascii="Arial" w:cs="Arial" w:eastAsia="Arial" w:hAnsi="Arial"/>
          <w:sz w:val="18"/>
          <w:szCs w:val="18"/>
          <w:i w:val="1"/>
          <w:iCs w:val="1"/>
          <w:color w:val="auto"/>
        </w:rPr>
        <w:t>www.ielp.com/corporate-governance</w:t>
      </w:r>
      <w:r>
        <w:rPr>
          <w:rFonts w:ascii="Arial" w:cs="Arial" w:eastAsia="Arial" w:hAnsi="Arial"/>
          <w:sz w:val="18"/>
          <w:szCs w:val="18"/>
          <w:color w:val="auto"/>
        </w:rPr>
        <w:t xml:space="preserve"> and may be obtained without charge by writing to Icahn Enterprises L.P., 767 Fifth Avenue, Suite 4700, New York, NY 10153, Attention: Investor Relations.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Corporate Governance Compliance</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Pursuant to Rule 5615(a)(4)(J) of the NASDAQ corporate governance requirements, in the event that an executive officer of Icahn Enterprises' or Icahn Enterprises Holdings', or a person performing an equivalent role, becomes aware of any noncompliance with NASDAQ's corporate governance requirements, he or she is required to provide prompt notice to NASDAQ of such noncompliance. As of February 28, 2019, we believe that we are compliant with NASDAQ's corporate governance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Our leadership structure includes the positions of Chairman of the Board ("Chairman") and Chief Executive Officer. Mr. Icahn serves as our Chairman and Mr. Cozza serves as our Chief Executive Officer.</w:t>
      </w:r>
    </w:p>
    <w:p>
      <w:pPr>
        <w:spacing w:after="0" w:line="62"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The Chairman is responsible for organizing the board of directors and setting its agenda and priorities. The Chairman does not participate in the day-to-day business operations of our business segments, other than our Investment segment. The Chief Executive Officer is accountable directly to the board of directors, including the Chairman, and has day-to-day responsibility, in consultation with our Chairman, for general oversight of our business segments. Our business segments are operated through subsidiaries with their own management teams, including boards of directors, responsible for the day-to-day operations of those businesses. We believe that our leadership structure is appropriate for our holding company structure as it enhances our corporate governance and company oversight by separating responsibilities between the Chief Executive Officer and Chairman.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In connection with its oversight responsibilities, the board of directors, including the audit committee, periodically reviews the significant risks that we face. These risks include strategic, financial, operational and compliance risks. The board of directors administers its risk oversight responsibilities through its Chief Executive Officer and its Chief Financial Officer, who, together with our chief auditor and management representatives of each of our operating subsidiaries, review and assess the operations of the businesses as well as each respective management's identification, assessment and mitigation of the material risks affecting our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17" w:lineRule="exact"/>
        <w:rPr>
          <w:sz w:val="20"/>
          <w:szCs w:val="20"/>
          <w:color w:val="auto"/>
        </w:rPr>
      </w:pPr>
    </w:p>
    <w:p>
      <w:pPr>
        <w:ind w:right="100" w:firstLine="378"/>
        <w:spacing w:after="0" w:line="297"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to file with the SEC initial statements of beneficial ownership, reports of changes in ownership and Annual Reports concerning their ownership, of common stock and other of our equity securities on Forms 3, 4, and 5, respectively. Executive officers, directors and greater than 10% stockholders are required by SEC regulations to furnish us with copies of all Section 16(a) reports they file. Based solely on information available to us in public filings, we believe that all reports required by Section 16(a) were timely filed.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Structure and Reporting Requirements</w:t>
      </w:r>
    </w:p>
    <w:p>
      <w:pPr>
        <w:spacing w:after="0" w:line="12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Icahn Enterprises is a master limited partnership ("MLP") and is not subject to the proxy solicitation rules as required by section 14A of the Exchange Act or §240.14a-20. Furthermore, because Icahn Enterprises has not ever been a TARP recipient, as defined in section 111(a)(3) of the Emergency Economic Stabilization Act of 2008, it is not subject to §240.14a-20. As an MLP, pursuant to Icahn Enterprises' partnership agreement, the general partner, Icahn Enterprises GP, has exclusive management powers over the business and affairs of Icahn Enterprises. That is, Icahn Enterprises GP’s stockholders have the right to elect members of Icahn Enterprises GP's board of directors, who, in turn, elect the officers of Icahn Enterprises. Accordingly, Icahn Enterprises does not hold annual meetings to elect its directors.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76"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following section provides an overview and analysis of our compensation programs, the compensation decisions we have made under those programs, and the factors we considered in making those decisions. Later in this section, under the heading “Additional Information Regarding Executive Compensation,” we provide a table containing specific information about the compensation earned by the following individuals in 2018, whom we refer to as our named executive officers:</w:t>
      </w:r>
    </w:p>
    <w:p>
      <w:pPr>
        <w:spacing w:after="0" w:line="79" w:lineRule="exact"/>
        <w:rPr>
          <w:sz w:val="20"/>
          <w:szCs w:val="20"/>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Carl C. Icahn, Chairman of the Board</w:t>
      </w:r>
      <w:r>
        <w:rPr>
          <w:rFonts w:ascii="Arial" w:cs="Arial" w:eastAsia="Arial" w:hAnsi="Arial"/>
          <w:sz w:val="18"/>
          <w:szCs w:val="18"/>
          <w:color w:val="auto"/>
          <w:vertAlign w:val="superscript"/>
        </w:rPr>
        <w:t>(1)</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Keith Cozza, President and Chief Executive Officer</w:t>
      </w:r>
      <w:r>
        <w:rPr>
          <w:rFonts w:ascii="Arial" w:cs="Arial" w:eastAsia="Arial" w:hAnsi="Arial"/>
          <w:sz w:val="18"/>
          <w:szCs w:val="18"/>
          <w:color w:val="auto"/>
          <w:vertAlign w:val="superscript"/>
        </w:rPr>
        <w:t>(2)</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SungHwan Cho, Chief Financial Officer</w:t>
      </w:r>
      <w:r>
        <w:rPr>
          <w:rFonts w:ascii="Arial" w:cs="Arial" w:eastAsia="Arial" w:hAnsi="Arial"/>
          <w:sz w:val="18"/>
          <w:szCs w:val="18"/>
          <w:color w:val="auto"/>
          <w:vertAlign w:val="superscript"/>
        </w:rPr>
        <w:t>(3)</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Peter Reck, Chief Accounting Officer</w:t>
      </w:r>
    </w:p>
    <w:p>
      <w:pPr>
        <w:spacing w:after="0" w:line="112" w:lineRule="exact"/>
        <w:rPr>
          <w:rFonts w:ascii="Arial" w:cs="Arial" w:eastAsia="Arial" w:hAnsi="Arial"/>
          <w:sz w:val="18"/>
          <w:szCs w:val="18"/>
          <w:color w:val="auto"/>
        </w:rPr>
      </w:pPr>
    </w:p>
    <w:p>
      <w:pPr>
        <w:ind w:left="780" w:hanging="124"/>
        <w:spacing w:after="0"/>
        <w:tabs>
          <w:tab w:leader="none" w:pos="780" w:val="left"/>
        </w:tabs>
        <w:numPr>
          <w:ilvl w:val="1"/>
          <w:numId w:val="24"/>
        </w:numPr>
        <w:rPr>
          <w:rFonts w:ascii="Arial" w:cs="Arial" w:eastAsia="Arial" w:hAnsi="Arial"/>
          <w:sz w:val="9"/>
          <w:szCs w:val="9"/>
          <w:color w:val="auto"/>
        </w:rPr>
      </w:pPr>
      <w:r>
        <w:rPr>
          <w:rFonts w:ascii="Arial" w:cs="Arial" w:eastAsia="Arial" w:hAnsi="Arial"/>
          <w:sz w:val="14"/>
          <w:szCs w:val="14"/>
          <w:color w:val="auto"/>
        </w:rPr>
        <w:t>In addition, Mr. Icahn serves as Chief Executive Officer of our subsidiary, Icahn Capital LP and of the Investment Funds.</w:t>
      </w:r>
    </w:p>
    <w:p>
      <w:pPr>
        <w:spacing w:after="0" w:line="109" w:lineRule="exact"/>
        <w:rPr>
          <w:rFonts w:ascii="Arial" w:cs="Arial" w:eastAsia="Arial" w:hAnsi="Arial"/>
          <w:sz w:val="9"/>
          <w:szCs w:val="9"/>
          <w:color w:val="auto"/>
        </w:rPr>
      </w:pPr>
    </w:p>
    <w:p>
      <w:pPr>
        <w:ind w:left="820" w:right="200" w:hanging="164"/>
        <w:spacing w:after="0" w:line="273" w:lineRule="auto"/>
        <w:tabs>
          <w:tab w:leader="none" w:pos="785" w:val="left"/>
        </w:tabs>
        <w:numPr>
          <w:ilvl w:val="1"/>
          <w:numId w:val="24"/>
        </w:numPr>
        <w:rPr>
          <w:rFonts w:ascii="Arial" w:cs="Arial" w:eastAsia="Arial" w:hAnsi="Arial"/>
          <w:sz w:val="9"/>
          <w:szCs w:val="9"/>
          <w:color w:val="auto"/>
        </w:rPr>
      </w:pPr>
      <w:r>
        <w:rPr>
          <w:rFonts w:ascii="Arial" w:cs="Arial" w:eastAsia="Arial" w:hAnsi="Arial"/>
          <w:sz w:val="14"/>
          <w:szCs w:val="14"/>
          <w:color w:val="auto"/>
        </w:rPr>
        <w:t>In addition, Mr. Cozza also serves as the Chief Operating Officer of Icahn Capital LP, serves as director of Icahn Enterprises and Icahn Enterprises Holdings and holds officer and/or director positions at certain of our other subsidiaries.</w:t>
      </w:r>
    </w:p>
    <w:p>
      <w:pPr>
        <w:spacing w:after="0" w:line="65" w:lineRule="exact"/>
        <w:rPr>
          <w:rFonts w:ascii="Arial" w:cs="Arial" w:eastAsia="Arial" w:hAnsi="Arial"/>
          <w:sz w:val="9"/>
          <w:szCs w:val="9"/>
          <w:color w:val="auto"/>
        </w:rPr>
      </w:pPr>
    </w:p>
    <w:p>
      <w:pPr>
        <w:ind w:left="780" w:hanging="124"/>
        <w:spacing w:after="0"/>
        <w:tabs>
          <w:tab w:leader="none" w:pos="780" w:val="left"/>
        </w:tabs>
        <w:numPr>
          <w:ilvl w:val="1"/>
          <w:numId w:val="24"/>
        </w:numPr>
        <w:rPr>
          <w:rFonts w:ascii="Arial" w:cs="Arial" w:eastAsia="Arial" w:hAnsi="Arial"/>
          <w:sz w:val="9"/>
          <w:szCs w:val="9"/>
          <w:color w:val="auto"/>
        </w:rPr>
      </w:pPr>
      <w:r>
        <w:rPr>
          <w:rFonts w:ascii="Arial" w:cs="Arial" w:eastAsia="Arial" w:hAnsi="Arial"/>
          <w:sz w:val="14"/>
          <w:szCs w:val="14"/>
          <w:color w:val="auto"/>
        </w:rPr>
        <w:t>In addition, Mr. Cho serves as a director of Icahn Enterprises and Icahn Enterprises Holdings.</w:t>
      </w:r>
    </w:p>
    <w:p>
      <w:pPr>
        <w:spacing w:after="0" w:line="11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discussion below is intended to help you understand the detailed information provided in the table and put that information into context within our overall compensation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Compensation Program</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Throughout this narrative discussion and in the accompanying table, we refer to our named executive officers. The key compensation package provided to our named executive officers consists of (i) base salary, (ii) incentive compensation and (iii) other benefits. The key compensation provided to our named executive officers for 2018 consisted of salary and bonuses. See “Additional Information Regarding Executive Compensation - Summary Compensation Table” for the compensation received by each of our named executive officers for 2018. Executive compensation levels and bonuses are established based upon the recommendation of our chairman, which are discussed with members of the board. The board of directors does not delegate the authority to establish executive officer compensation to any other person and has not retained any compensation consultants to determine or recommend the amount or form of executive and director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right="20" w:firstLine="378"/>
        <w:spacing w:after="0" w:line="312" w:lineRule="auto"/>
        <w:rPr>
          <w:sz w:val="20"/>
          <w:szCs w:val="20"/>
          <w:color w:val="auto"/>
        </w:rPr>
      </w:pPr>
      <w:r>
        <w:rPr>
          <w:rFonts w:ascii="Arial" w:cs="Arial" w:eastAsia="Arial" w:hAnsi="Arial"/>
          <w:sz w:val="16"/>
          <w:szCs w:val="16"/>
          <w:color w:val="auto"/>
        </w:rPr>
        <w:t>Our executive compensation philosophy is designed to support our key business objectives while maximizing value to our unitholders. The objectives of our compensation structure are to attract and retain valuable employees, assure fair and internally equitable pay levels and provide a mix of base salary and variable bonuses that provides motivation and rewards performance. At the same time, we seek to optimize and manage compensation costs.</w:t>
      </w:r>
    </w:p>
    <w:p>
      <w:pPr>
        <w:spacing w:after="0" w:line="39"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primary components of our executive compensation are base salary and, except as otherwise indicated, annual bonus, payable in cash. Base salary is paid for ongoing performance throughout the year and is determined based on job function and each executive's contribution to our performance and achievement of our overall business objectives. Our annual bonuses are intended to reward particular achievement during the year, motivate future performance and attract and retain highly qualified key employees.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Appropriate Pay Levels</w:t>
      </w:r>
    </w:p>
    <w:p>
      <w:pPr>
        <w:spacing w:after="0" w:line="117" w:lineRule="exact"/>
        <w:rPr>
          <w:sz w:val="20"/>
          <w:szCs w:val="20"/>
          <w:color w:val="auto"/>
        </w:rPr>
      </w:pPr>
    </w:p>
    <w:p>
      <w:pPr>
        <w:ind w:right="40" w:firstLine="378"/>
        <w:spacing w:after="0" w:line="286" w:lineRule="auto"/>
        <w:rPr>
          <w:sz w:val="20"/>
          <w:szCs w:val="20"/>
          <w:color w:val="auto"/>
        </w:rPr>
      </w:pPr>
      <w:r>
        <w:rPr>
          <w:rFonts w:ascii="Arial" w:cs="Arial" w:eastAsia="Arial" w:hAnsi="Arial"/>
          <w:sz w:val="17"/>
          <w:szCs w:val="17"/>
          <w:color w:val="auto"/>
        </w:rPr>
        <w:t>We compete with many other companies for experienced and talented executives. Although we do not benchmark compensation against a specified peer group of companies, we review and consider market information regarding pay practices in the real estate and finance industries generally in assessing the reasonableness of compensation and ensuring that compensation levels remain competitive in the marketplace.</w:t>
      </w:r>
    </w:p>
    <w:p>
      <w:pPr>
        <w:spacing w:after="0" w:line="57"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Each element of compensation is reviewed so that the overall compensation package will attract, motivate and retain our key employees, including our named executive officers, by rewarding superior performance. The following factors are considered to determine the amount of compensation paid to each executive officer:</w:t>
      </w:r>
    </w:p>
    <w:p>
      <w:pPr>
        <w:spacing w:after="0" w:line="73"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job performance, including performance against corporate and individual objectives;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job responsibilities, including unique skills necessary to support our long-term performance, including that of our subsidiaries; and</w:t>
      </w:r>
    </w:p>
    <w:p>
      <w:pPr>
        <w:spacing w:after="0" w:line="117" w:lineRule="exact"/>
        <w:rPr>
          <w:rFonts w:ascii="Arial" w:cs="Arial" w:eastAsia="Arial" w:hAnsi="Arial"/>
          <w:sz w:val="18"/>
          <w:szCs w:val="18"/>
          <w:color w:val="auto"/>
        </w:rPr>
      </w:pPr>
    </w:p>
    <w:p>
      <w:pPr>
        <w:ind w:left="1300" w:right="60" w:hanging="887"/>
        <w:spacing w:after="0" w:line="277"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teamwork, both contributions as a member of the executive management team and fostering an environment of personal and professional growth for the entire work force.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72" w:right="2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Allocation of Compensation</w:t>
      </w:r>
    </w:p>
    <w:p>
      <w:pPr>
        <w:spacing w:after="0" w:line="117"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There is no pre-established policy or target for the allocation of compensation. As we are a limited partnership and a controlled entity, under the NASDAQ listing rules, our status as an MLP exempts us from certain corporate governance rules, including the requirement to maintain a compensation committee. In 2018, the total compensation granted to named executive officers was in the form of cash compensation.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Base salaries for executive officers are determined based on job performance, job responsibilities and teamwork.</w:t>
      </w:r>
    </w:p>
    <w:p>
      <w:pPr>
        <w:spacing w:after="0" w:line="117" w:lineRule="exact"/>
        <w:rPr>
          <w:sz w:val="20"/>
          <w:szCs w:val="20"/>
          <w:color w:val="auto"/>
        </w:rPr>
      </w:pPr>
    </w:p>
    <w:p>
      <w:pPr>
        <w:ind w:right="420" w:firstLine="378"/>
        <w:spacing w:after="0" w:line="277" w:lineRule="auto"/>
        <w:rPr>
          <w:sz w:val="20"/>
          <w:szCs w:val="20"/>
          <w:color w:val="auto"/>
        </w:rPr>
      </w:pPr>
      <w:r>
        <w:rPr>
          <w:rFonts w:ascii="Arial" w:cs="Arial" w:eastAsia="Arial" w:hAnsi="Arial"/>
          <w:sz w:val="18"/>
          <w:szCs w:val="18"/>
          <w:color w:val="auto"/>
        </w:rPr>
        <w:t>Mr. Icahn is currently an at will employee serving as Chairman of the Board of Icahn Enterprises GP, Chairman of the Board and Chief Executive Officer of Icahn Capital LP and Chief Executive Officer of the Investment Funds.</w:t>
      </w:r>
    </w:p>
    <w:p>
      <w:pPr>
        <w:spacing w:after="0" w:line="62"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Generally, total compensation is used in determining the amount of contributions permitted under our 401(k) Plan. In addition, base salary may include accrued but unused paid time off ("PTO") days that have been paid in accordance with the Company's PTO policy.</w:t>
      </w:r>
    </w:p>
    <w:p>
      <w:pPr>
        <w:spacing w:after="0" w:line="62" w:lineRule="exact"/>
        <w:rPr>
          <w:sz w:val="20"/>
          <w:szCs w:val="20"/>
          <w:color w:val="auto"/>
        </w:rPr>
      </w:pPr>
    </w:p>
    <w:p>
      <w:pPr>
        <w:ind w:right="460" w:firstLine="378"/>
        <w:spacing w:after="0" w:line="277" w:lineRule="auto"/>
        <w:rPr>
          <w:sz w:val="20"/>
          <w:szCs w:val="20"/>
          <w:color w:val="auto"/>
        </w:rPr>
      </w:pPr>
      <w:r>
        <w:rPr>
          <w:rFonts w:ascii="Arial" w:cs="Arial" w:eastAsia="Arial" w:hAnsi="Arial"/>
          <w:sz w:val="18"/>
          <w:szCs w:val="18"/>
          <w:color w:val="auto"/>
        </w:rPr>
        <w:t>See “Additional Information Regarding Executive Compensation - Summary Compensation Table” for detailed information on the compensation received by each of our named executive officers for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believes that bonuses are an integral component of compensation that is an important way to motivate and reward performance of our employees. The Company does not have a formula or pre-established policy for determining either salary levels or bonuses; bonuses are discretionary. In addition, in order that we remain competitive in the marketplace, we may review market information regarding pay practices in the real estate and finance industries generally in determining bonuses. Generally, bonuses are determined by various factors, including, but not limited to, the achievement of financial goals and other Company goals that are determined to be critical to the success of the Company, overall job performance, including performance against corporate and individual objectives, job responsibilities and teamwork for each individual.</w:t>
      </w:r>
    </w:p>
    <w:p>
      <w:pPr>
        <w:spacing w:after="0" w:line="70" w:lineRule="exact"/>
        <w:rPr>
          <w:sz w:val="20"/>
          <w:szCs w:val="20"/>
          <w:color w:val="auto"/>
        </w:rPr>
      </w:pPr>
    </w:p>
    <w:p>
      <w:pPr>
        <w:ind w:right="1780" w:firstLine="378"/>
        <w:spacing w:after="0" w:line="375" w:lineRule="auto"/>
        <w:rPr>
          <w:sz w:val="20"/>
          <w:szCs w:val="20"/>
          <w:color w:val="auto"/>
        </w:rPr>
      </w:pPr>
      <w:r>
        <w:rPr>
          <w:rFonts w:ascii="Arial" w:cs="Arial" w:eastAsia="Arial" w:hAnsi="Arial"/>
          <w:sz w:val="18"/>
          <w:szCs w:val="18"/>
          <w:color w:val="auto"/>
        </w:rPr>
        <w:t xml:space="preserve">For 2018, Messrs. Cozza, Cho and Reck received discretionary bonuses of $5,000,000, $1,700,000 and $225,000, respectively. </w:t>
      </w:r>
      <w:r>
        <w:rPr>
          <w:rFonts w:ascii="Arial" w:cs="Arial" w:eastAsia="Arial" w:hAnsi="Arial"/>
          <w:sz w:val="18"/>
          <w:szCs w:val="18"/>
          <w:i w:val="1"/>
          <w:iCs w:val="1"/>
          <w:color w:val="auto"/>
        </w:rPr>
        <w:t>401(k) Plan and Other Benefits</w:t>
      </w:r>
    </w:p>
    <w:p>
      <w:pPr>
        <w:spacing w:after="0" w:line="1" w:lineRule="exact"/>
        <w:rPr>
          <w:sz w:val="20"/>
          <w:szCs w:val="20"/>
          <w:color w:val="auto"/>
        </w:rPr>
      </w:pPr>
    </w:p>
    <w:p>
      <w:pPr>
        <w:jc w:val="both"/>
        <w:ind w:right="100" w:firstLine="378"/>
        <w:spacing w:after="0" w:line="279" w:lineRule="auto"/>
        <w:rPr>
          <w:sz w:val="20"/>
          <w:szCs w:val="20"/>
          <w:color w:val="auto"/>
        </w:rPr>
      </w:pPr>
      <w:r>
        <w:rPr>
          <w:rFonts w:ascii="Arial" w:cs="Arial" w:eastAsia="Arial" w:hAnsi="Arial"/>
          <w:sz w:val="17"/>
          <w:szCs w:val="17"/>
          <w:color w:val="auto"/>
        </w:rPr>
        <w:t>For 2018, Messrs. Cozza, Cho and Reck were our only named executive officers participating in our qualified Icahn Enterprises Holdings 401(k) Plan (the "401(k) Plan"), and thus received matching contributions for 2018. The matching contributions for the respective named executive officer in 2018 are disclosed in our Summary Compensation Table under “All Other Compensation” and in the related footnote. Mr. Icahn was our only named executive who did not participate in the 401(k) Plan for 2018. Our 401(k) Plan helps employees save and prepare financially for retirement.</w:t>
      </w:r>
    </w:p>
    <w:p>
      <w:pPr>
        <w:spacing w:after="0" w:line="63"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The 401(k) Plan allows employees to contribute up to 50% of their eligible compensation, up to the limits imposed by the Internal Revenue Code, as amended, on a pre-tax basis. We currently match, within prescribed limits, 50% of eligible employees' contributions up to 6.25% of their eligible compensation. Participants choose to invest their account balances from an array of investment options as selected by plan fiduciaries from time to time. The 401(k) Plan provides distributions in a lump sum. Under certain circumstances, loans and withdrawals are permitted.</w:t>
      </w:r>
    </w:p>
    <w:p>
      <w:pPr>
        <w:spacing w:after="0" w:line="63" w:lineRule="exact"/>
        <w:rPr>
          <w:sz w:val="20"/>
          <w:szCs w:val="20"/>
          <w:color w:val="auto"/>
        </w:rPr>
      </w:pPr>
    </w:p>
    <w:p>
      <w:pPr>
        <w:jc w:val="both"/>
        <w:ind w:right="100" w:firstLine="378"/>
        <w:spacing w:after="0" w:line="264" w:lineRule="auto"/>
        <w:rPr>
          <w:sz w:val="20"/>
          <w:szCs w:val="20"/>
          <w:color w:val="auto"/>
        </w:rPr>
      </w:pPr>
      <w:r>
        <w:rPr>
          <w:rFonts w:ascii="Arial" w:cs="Arial" w:eastAsia="Arial" w:hAnsi="Arial"/>
          <w:sz w:val="18"/>
          <w:szCs w:val="18"/>
          <w:color w:val="auto"/>
        </w:rPr>
        <w:t>All of our named executive officers are entitled to receive medical, dental, life insurance and PTO benefits that are offered to all of our employees and are designed to enable us to attract and retain our workforce in a competitive environment. Health and PTO benefits help ensure that we have a productive and focused workforce.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117" w:lineRule="exact"/>
        <w:rPr>
          <w:sz w:val="20"/>
          <w:szCs w:val="20"/>
          <w:color w:val="auto"/>
        </w:rPr>
      </w:pPr>
    </w:p>
    <w:p>
      <w:pPr>
        <w:ind w:right="400" w:firstLine="378"/>
        <w:spacing w:after="0" w:line="264" w:lineRule="auto"/>
        <w:rPr>
          <w:sz w:val="20"/>
          <w:szCs w:val="20"/>
          <w:color w:val="auto"/>
        </w:rPr>
      </w:pPr>
      <w:r>
        <w:rPr>
          <w:rFonts w:ascii="Arial" w:cs="Arial" w:eastAsia="Arial" w:hAnsi="Arial"/>
          <w:sz w:val="18"/>
          <w:szCs w:val="18"/>
          <w:color w:val="auto"/>
        </w:rPr>
        <w:t>The total value of all perquisites and personal benefits (exclusive of 401(k) Plan matching contributions) provided to each of our named executive officers for 2018, 2017 and 2016 was less than $10,000 per person, except for Mr. Icahn, for whom perquisites and other benefits are identified in the Summary Compensation Table under the “All Other Compensation” column and in related footnotes.</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00"/>
          </w:cols>
          <w:pgMar w:left="240" w:top="476"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CEO Pay Ratio</w:t>
      </w:r>
    </w:p>
    <w:p>
      <w:pPr>
        <w:spacing w:after="0" w:line="117"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Our Chief Executive Officer to median employee pay ratio is calculated in accordance with Regulation S-K. To determine our Chief Executive Officer pay ratio and our median employee, we utilized data as of December 31, 2018 (the "Determination Date"). As of the Determination Date, we and our consolidated subsidiaries employed approximately 29,000 full-time, part-time, temporary and seasonal employees, of which approximately 17% were employed internationally. From this population of employees, as permitted by Regulation S-K, we excluded all employees (totaling 474 employees) located in the following countries, which represented approximately 1.6% of our total employee population: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Country</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Employees</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Aruba</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239</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235</w:t>
            </w:r>
          </w:p>
        </w:tc>
      </w:tr>
    </w:tbl>
    <w:p>
      <w:pPr>
        <w:spacing w:after="0" w:line="121" w:lineRule="exact"/>
        <w:rPr>
          <w:sz w:val="20"/>
          <w:szCs w:val="20"/>
          <w:color w:val="auto"/>
        </w:rPr>
      </w:pPr>
    </w:p>
    <w:p>
      <w:pPr>
        <w:ind w:right="60" w:firstLine="378"/>
        <w:spacing w:after="0" w:line="293" w:lineRule="auto"/>
        <w:rPr>
          <w:sz w:val="20"/>
          <w:szCs w:val="20"/>
          <w:color w:val="auto"/>
        </w:rPr>
      </w:pPr>
      <w:r>
        <w:rPr>
          <w:rFonts w:ascii="Arial" w:cs="Arial" w:eastAsia="Arial" w:hAnsi="Arial"/>
          <w:sz w:val="16"/>
          <w:szCs w:val="16"/>
          <w:color w:val="auto"/>
        </w:rPr>
        <w:t>We identified the median employee by examining the 2018 total cash compensation (inclusive of any bonuses) for all individuals, excluding our Chief Executive Officer, who were employed by us on the Determination Date. We believe the use of total cash compensation for all employees is a consistently applied compensation measure because we do not widely distribute annual equity awards to employees or other forms of non-cash compensation. We included all employees, except as disclosed above, whether employed on a full-time, part-time, temporary or seasonal basis. We did not utilize any sampling methods and we did not make any assumptions, adjustments, or estimates with respect to total cash compensation, except to annualize full-time and part-time employees who were hired during 2018 and to translate any compensation measured in a foreign currency to U.S. Dollars.</w:t>
      </w:r>
    </w:p>
    <w:p>
      <w:pPr>
        <w:spacing w:after="0" w:line="57"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After identifying the median employee based on total cash compensation, we calculated the total annual compensation for such employee using the same methodology we use for our named executive officers as set forth in the Summary Compensation Table below. The median employee's total annual compensation for 2018 was $31,840. Our Chief Executive Officer's total annual compensation for 2018 was $6,539,608. The ratio of our Chief Executive Officer's total annual compensation to our median employee's total annual compensation for 2018 was 205:1.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As stated above, pursuant to exemptions from the NASDAQ listing rules, the board of directors is not required to have, and does not have, a standing compensation committee. The board of directors has reviewed and discussed the Compensation Disclosure and Analysis required by Item 402(b) of Regulation S-K with management. Based on that review and discussion, the board of directors recommended that the Compensation Disclosure and Analysis be included in this Report.</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report is provided by the board of directors: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Carl C. Icahn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Sung Hwan Cho</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Keith Cozza</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William A. Leidesdorf</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James L. Nelson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Jack G. Wasserman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120" w:firstLine="378"/>
        <w:spacing w:after="0" w:line="264" w:lineRule="auto"/>
        <w:rPr>
          <w:sz w:val="20"/>
          <w:szCs w:val="20"/>
          <w:color w:val="auto"/>
        </w:rPr>
      </w:pPr>
      <w:r>
        <w:rPr>
          <w:rFonts w:ascii="Arial" w:cs="Arial" w:eastAsia="Arial" w:hAnsi="Arial"/>
          <w:sz w:val="18"/>
          <w:szCs w:val="18"/>
          <w:color w:val="auto"/>
        </w:rPr>
        <w:t>During 2018, our entire board of directors, including Mr. Icahn, participated in deliberations concerning executive compensation. During 2018, none of our executive officers served on the compensation committee (or equivalent), or the board of directors of another entity whose executive officer(s) served on our board of directors.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76"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Additional Information Regarding Executive Compensation</w:t>
      </w:r>
    </w:p>
    <w:p>
      <w:pPr>
        <w:spacing w:after="0" w:line="121" w:lineRule="exact"/>
        <w:rPr>
          <w:sz w:val="20"/>
          <w:szCs w:val="20"/>
          <w:color w:val="auto"/>
        </w:rPr>
      </w:pPr>
    </w:p>
    <w:p>
      <w:pPr>
        <w:ind w:right="680" w:firstLine="378"/>
        <w:spacing w:after="0" w:line="277" w:lineRule="auto"/>
        <w:rPr>
          <w:sz w:val="20"/>
          <w:szCs w:val="20"/>
          <w:color w:val="auto"/>
        </w:rPr>
      </w:pPr>
      <w:r>
        <w:rPr>
          <w:rFonts w:ascii="Arial" w:cs="Arial" w:eastAsia="Arial" w:hAnsi="Arial"/>
          <w:sz w:val="18"/>
          <w:szCs w:val="18"/>
          <w:color w:val="auto"/>
        </w:rPr>
        <w:t>The following table sets forth information in respect of the compensation earned for services to us and/or our subsidiaries by each of our named executive officers for 2018.</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6"/>
          </w:tcPr>
          <w:p>
            <w:pPr>
              <w:ind w:left="740"/>
              <w:spacing w:after="0"/>
              <w:rPr>
                <w:sz w:val="20"/>
                <w:szCs w:val="20"/>
                <w:color w:val="auto"/>
              </w:rPr>
            </w:pPr>
            <w:r>
              <w:rPr>
                <w:rFonts w:ascii="Arial" w:cs="Arial" w:eastAsia="Arial" w:hAnsi="Arial"/>
                <w:sz w:val="18"/>
                <w:szCs w:val="18"/>
                <w:b w:val="1"/>
                <w:bCs w:val="1"/>
                <w:color w:val="auto"/>
              </w:rPr>
              <w:t>Summary Compensation Table</w:t>
            </w: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0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w w:val="92"/>
              </w:rPr>
              <w:t>Annual Compensation</w:t>
            </w:r>
            <w:r>
              <w:rPr>
                <w:rFonts w:ascii="Arial" w:cs="Arial" w:eastAsia="Arial" w:hAnsi="Arial"/>
                <w:sz w:val="25"/>
                <w:szCs w:val="25"/>
                <w:b w:val="1"/>
                <w:bCs w:val="1"/>
                <w:color w:val="auto"/>
                <w:w w:val="92"/>
                <w:vertAlign w:val="superscript"/>
              </w:rPr>
              <w:t>(1)</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8"/>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left="290"/>
              <w:spacing w:after="0"/>
              <w:rPr>
                <w:sz w:val="20"/>
                <w:szCs w:val="20"/>
                <w:color w:val="auto"/>
              </w:rPr>
            </w:pPr>
            <w:r>
              <w:rPr>
                <w:rFonts w:ascii="Arial" w:cs="Arial" w:eastAsia="Arial" w:hAnsi="Arial"/>
                <w:sz w:val="18"/>
                <w:szCs w:val="18"/>
                <w:b w:val="1"/>
                <w:bCs w:val="1"/>
                <w:color w:val="auto"/>
                <w:w w:val="94"/>
              </w:rPr>
              <w:t>All 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b w:val="1"/>
                <w:bCs w:val="1"/>
                <w:color w:val="auto"/>
              </w:rPr>
              <w:t>Salary</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Bonus</w:t>
            </w:r>
          </w:p>
        </w:tc>
        <w:tc>
          <w:tcPr>
            <w:tcW w:w="158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Compensation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34"/>
        </w:trPr>
        <w:tc>
          <w:tcPr>
            <w:tcW w:w="37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Principal Position</w:t>
            </w:r>
          </w:p>
        </w:tc>
        <w:tc>
          <w:tcPr>
            <w:tcW w:w="1380" w:type="dxa"/>
            <w:vAlign w:val="bottom"/>
            <w:gridSpan w:val="2"/>
          </w:tcPr>
          <w:p>
            <w:pPr>
              <w:ind w:left="460"/>
              <w:spacing w:after="0"/>
              <w:rPr>
                <w:sz w:val="20"/>
                <w:szCs w:val="20"/>
                <w:color w:val="auto"/>
              </w:rPr>
            </w:pPr>
            <w:r>
              <w:rPr>
                <w:rFonts w:ascii="Arial" w:cs="Arial" w:eastAsia="Arial" w:hAnsi="Arial"/>
                <w:sz w:val="18"/>
                <w:szCs w:val="18"/>
                <w:b w:val="1"/>
                <w:bCs w:val="1"/>
                <w:color w:val="auto"/>
              </w:rPr>
              <w:t>Year</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58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Carl C. Icahn</w:t>
            </w:r>
            <w:r>
              <w:rPr>
                <w:rFonts w:ascii="Arial" w:cs="Arial" w:eastAsia="Arial" w:hAnsi="Arial"/>
                <w:sz w:val="18"/>
                <w:szCs w:val="18"/>
                <w:color w:val="auto"/>
                <w:vertAlign w:val="superscript"/>
              </w:rPr>
              <w:t>(2)</w:t>
            </w:r>
          </w:p>
        </w:tc>
        <w:tc>
          <w:tcPr>
            <w:tcW w:w="1260" w:type="dxa"/>
            <w:vAlign w:val="bottom"/>
          </w:tcPr>
          <w:p>
            <w:pPr>
              <w:ind w:left="46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66,142</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66,143</w:t>
            </w:r>
          </w:p>
        </w:tc>
      </w:tr>
      <w:tr>
        <w:trPr>
          <w:trHeight w:val="28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260" w:type="dxa"/>
            <w:vAlign w:val="bottom"/>
          </w:tcPr>
          <w:p>
            <w:pPr>
              <w:ind w:left="46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102,547</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102,548</w:t>
            </w: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104,910</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104,911</w:t>
            </w:r>
          </w:p>
        </w:tc>
      </w:tr>
      <w:tr>
        <w:trPr>
          <w:trHeight w:val="49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Keith Cozza</w:t>
            </w:r>
            <w:r>
              <w:rPr>
                <w:rFonts w:ascii="Arial" w:cs="Arial" w:eastAsia="Arial" w:hAnsi="Arial"/>
                <w:sz w:val="25"/>
                <w:szCs w:val="25"/>
                <w:color w:val="auto"/>
                <w:vertAlign w:val="superscript"/>
              </w:rPr>
              <w:t>(4)</w:t>
            </w:r>
          </w:p>
        </w:tc>
        <w:tc>
          <w:tcPr>
            <w:tcW w:w="1260" w:type="dxa"/>
            <w:vAlign w:val="bottom"/>
          </w:tcPr>
          <w:p>
            <w:pPr>
              <w:ind w:left="46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1,528,889</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10,719</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6,539,608</w:t>
            </w:r>
          </w:p>
        </w:tc>
      </w:tr>
      <w:tr>
        <w:trPr>
          <w:trHeight w:val="28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1260" w:type="dxa"/>
            <w:vAlign w:val="bottom"/>
          </w:tcPr>
          <w:p>
            <w:pPr>
              <w:ind w:left="46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1,511,582</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10,562</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5,522,144</w:t>
            </w: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1,557,736</w:t>
            </w: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10,779</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4,068,515</w:t>
            </w:r>
          </w:p>
        </w:tc>
      </w:tr>
      <w:tr>
        <w:trPr>
          <w:trHeight w:val="49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 xml:space="preserve">SungHwan Cho </w:t>
            </w:r>
            <w:r>
              <w:rPr>
                <w:rFonts w:ascii="Arial" w:cs="Arial" w:eastAsia="Arial" w:hAnsi="Arial"/>
                <w:sz w:val="25"/>
                <w:szCs w:val="25"/>
                <w:color w:val="auto"/>
                <w:vertAlign w:val="superscript"/>
              </w:rPr>
              <w:t>(5)</w:t>
            </w:r>
          </w:p>
        </w:tc>
        <w:tc>
          <w:tcPr>
            <w:tcW w:w="1260" w:type="dxa"/>
            <w:vAlign w:val="bottom"/>
          </w:tcPr>
          <w:p>
            <w:pPr>
              <w:ind w:left="46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849,254</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1,700,000</w:t>
            </w:r>
          </w:p>
        </w:tc>
        <w:tc>
          <w:tcPr>
            <w:tcW w:w="10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10,719</w:t>
            </w:r>
          </w:p>
        </w:tc>
        <w:tc>
          <w:tcPr>
            <w:tcW w:w="340" w:type="dxa"/>
            <w:vAlign w:val="bottom"/>
          </w:tcPr>
          <w:p>
            <w:pPr>
              <w:jc w:val="right"/>
              <w:ind w:right="111"/>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2,559,973</w:t>
            </w:r>
          </w:p>
        </w:tc>
      </w:tr>
      <w:tr>
        <w:trPr>
          <w:trHeight w:val="28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260" w:type="dxa"/>
            <w:vAlign w:val="bottom"/>
          </w:tcPr>
          <w:p>
            <w:pPr>
              <w:ind w:left="46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840,023</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1,400,000</w:t>
            </w:r>
          </w:p>
        </w:tc>
        <w:tc>
          <w:tcPr>
            <w:tcW w:w="10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10,562</w:t>
            </w:r>
          </w:p>
        </w:tc>
        <w:tc>
          <w:tcPr>
            <w:tcW w:w="340" w:type="dxa"/>
            <w:vAlign w:val="bottom"/>
          </w:tcPr>
          <w:p>
            <w:pPr>
              <w:jc w:val="right"/>
              <w:ind w:right="111"/>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2,250,585</w:t>
            </w: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822,616</w:t>
            </w: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10,779</w:t>
            </w:r>
          </w:p>
        </w:tc>
        <w:tc>
          <w:tcPr>
            <w:tcW w:w="340" w:type="dxa"/>
            <w:vAlign w:val="bottom"/>
          </w:tcPr>
          <w:p>
            <w:pPr>
              <w:jc w:val="right"/>
              <w:ind w:right="111"/>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2,033,395</w:t>
            </w:r>
          </w:p>
        </w:tc>
      </w:tr>
      <w:tr>
        <w:trPr>
          <w:trHeight w:val="49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 xml:space="preserve">Peter Reck </w:t>
            </w:r>
            <w:r>
              <w:rPr>
                <w:rFonts w:ascii="Arial" w:cs="Arial" w:eastAsia="Arial" w:hAnsi="Arial"/>
                <w:sz w:val="25"/>
                <w:szCs w:val="25"/>
                <w:color w:val="auto"/>
                <w:vertAlign w:val="superscript"/>
              </w:rPr>
              <w:t>(6)</w:t>
            </w:r>
          </w:p>
        </w:tc>
        <w:tc>
          <w:tcPr>
            <w:tcW w:w="1260" w:type="dxa"/>
            <w:vAlign w:val="bottom"/>
          </w:tcPr>
          <w:p>
            <w:pPr>
              <w:ind w:left="46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321,932</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10,152</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557,084</w:t>
            </w:r>
          </w:p>
        </w:tc>
      </w:tr>
      <w:tr>
        <w:trPr>
          <w:trHeight w:val="28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1260" w:type="dxa"/>
            <w:vAlign w:val="bottom"/>
          </w:tcPr>
          <w:p>
            <w:pPr>
              <w:ind w:left="46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316,395</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215,000</w:t>
            </w:r>
          </w:p>
        </w:tc>
        <w:tc>
          <w:tcPr>
            <w:tcW w:w="10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9,742</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541,137</w:t>
            </w: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215,000</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9,774</w:t>
            </w:r>
          </w:p>
        </w:tc>
        <w:tc>
          <w:tcPr>
            <w:tcW w:w="340" w:type="dxa"/>
            <w:vAlign w:val="bottom"/>
          </w:tcPr>
          <w:p>
            <w:pPr>
              <w:jc w:val="right"/>
              <w:ind w:right="131"/>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524,774</w:t>
            </w:r>
          </w:p>
        </w:tc>
      </w:tr>
    </w:tbl>
    <w:p>
      <w:pPr>
        <w:spacing w:after="0" w:line="229" w:lineRule="exact"/>
        <w:rPr>
          <w:sz w:val="20"/>
          <w:szCs w:val="20"/>
          <w:color w:val="auto"/>
        </w:rPr>
      </w:pPr>
    </w:p>
    <w:p>
      <w:pPr>
        <w:ind w:left="420" w:right="100" w:hanging="331"/>
        <w:spacing w:after="0" w:line="264"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Pursuant to applicable regulations, certain columns of the Summary Compensation Table have been omitted, as there has been no compensation awarded to, earned by or paid to any of the named executive officers by us, any of our subsidiaries or by Icahn Enterprises GP, which was subsequently reimbursed by us, required to be reported in those columns.</w:t>
      </w:r>
    </w:p>
    <w:p>
      <w:pPr>
        <w:spacing w:after="0" w:line="140" w:lineRule="exact"/>
        <w:rPr>
          <w:rFonts w:ascii="Arial" w:cs="Arial" w:eastAsia="Arial" w:hAnsi="Arial"/>
          <w:sz w:val="18"/>
          <w:szCs w:val="18"/>
          <w:color w:val="auto"/>
        </w:rPr>
      </w:pPr>
    </w:p>
    <w:p>
      <w:pPr>
        <w:jc w:val="both"/>
        <w:ind w:left="420" w:right="60" w:hanging="331"/>
        <w:spacing w:after="0" w:line="302"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salary indicated above represents compensation paid to Mr. Icahn in each of 2018, 2017 and 2016 for his services as Chief Executive Officer of our subsidiary, Icahn Capital LP, and of the general partners of the Investment Funds. Mr. Icahn is currently an at will employee serving as Chairman of the Board of Icahn Enterprises GP, Chairman of the Board and Chief Executive Officer of Icahn Capital LP and Chief Executive Officer of the Investment Funds for which he currently receives an annual base salary of $1 per annum. Mr. Icahn does not receive director fees from us.</w:t>
      </w:r>
    </w:p>
    <w:p>
      <w:pPr>
        <w:spacing w:after="0" w:line="113" w:lineRule="exact"/>
        <w:rPr>
          <w:rFonts w:ascii="Arial" w:cs="Arial" w:eastAsia="Arial" w:hAnsi="Arial"/>
          <w:sz w:val="16"/>
          <w:szCs w:val="16"/>
          <w:color w:val="auto"/>
        </w:rPr>
      </w:pPr>
    </w:p>
    <w:p>
      <w:pPr>
        <w:ind w:left="420" w:hanging="331"/>
        <w:spacing w:after="0" w:line="286"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other compensation paid to the following named executive officers: (i) Carl C. Icahn, $29,499, $20,107 and $20,107, in medical and dental benefits for 2018, 2017 and 2016, respectively; $955 in life insurance paid by us for each of 2018, 2017 and 2016; and in his capacity as the Chairman of the Board of Federal-Mogul, $35,688, $81,485 and $83,848 representing the incremental cost of Mr. Icahn's personal use of Federal-Mogul's corporate aircraft for 2018, 2017 and 2016, respectively. Mr. Icahn received no fees or compensation from Federal-Mogul for 2018, 2017 and 2016 other than the use of the corporate aircraft as discussed above. The calculation of incremental cost for the personal use of Federal-Mogul's corporate aircraft includes the variable costs incurred as a result of personal flight activity, which are comprised of a portion of ongoing maintenance and repairs, aircraft fuel, airport fees, catering, and fees and travel expenses for the flight crew. The use of the aircraft for personal use by Mr. Icahn was approved by the board of directors and the Compensation Committee of Federal-Mogul; (ii) Mr. Cozza, $8,438, $8,281 and $8,438 in matching contributions under our 401(k) Plan for 2018, 2017 and 2016, respectively; $1,326, $1,326 and $1,386 in medical and dental benefits paid by us for 2018, 2017 and 2016, respectively; $955 in life insurance premiums paid by us for each of 2018, 2017 and 2016; (iii) Mr. Cho, $8,438, $8,281 and $8,438 in matching contributions under our 401(k) Plan for 2018, 2017 and 2016, respectively; $1,326, $1,326 and $1,386 in medical and dental benefits paid by us for 2018, 2017 and 2016, respectively; and $955 in life insurance premiums paid by us for each of 2018, 2017 and 2016; and (iv) Mr. Reck, $8,655, $8,281 and $8,291 in matching contributions under our 401(k) Plan for 2018, 2017 and 2016, respectively; $742, $742 and $764 in medical and dental benefits paid by us for 2018, 2017 and 2016, respectively; and $754, $719 and $719 in life insurance premiums paid by us for 2018, 2017 and 2016, respectively. Mr. Icahn did not participate in the 401(k) plan during 2018, 2017 and 2016 and thus did not receive any matching contributions for those fiscal years.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72" w:right="239" w:bottom="1440" w:gutter="0" w:footer="0" w:header="0"/>
        </w:sectPr>
      </w:pPr>
    </w:p>
    <w:bookmarkStart w:id="127" w:name="page128"/>
    <w:bookmarkEnd w:id="127"/>
    <w:p>
      <w:pPr>
        <w:jc w:val="both"/>
        <w:ind w:left="420" w:right="80" w:hanging="331"/>
        <w:spacing w:after="0" w:line="279" w:lineRule="auto"/>
        <w:tabs>
          <w:tab w:leader="none" w:pos="351"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addition to Mr. Cozza's role as President and Chief Executive Officer of Icahn Enterprises and Icahn Enterprises Holdings, he serves as the Chief Operating Officer of Icahn Capital LP and holds officer and/or director positions at certain of our other subsidiaries. During 2018, Mr. Cozza received a salary of $1,528,889 and a bonus of $5,000,000, which was determined based on various factors, including, but not limited to, overall job performance, including performance against corporate and individual objectives, job responsibilities and teamwork.</w:t>
      </w:r>
    </w:p>
    <w:p>
      <w:pPr>
        <w:spacing w:after="0" w:line="130" w:lineRule="exact"/>
        <w:rPr>
          <w:rFonts w:ascii="Arial" w:cs="Arial" w:eastAsia="Arial" w:hAnsi="Arial"/>
          <w:sz w:val="17"/>
          <w:szCs w:val="17"/>
          <w:color w:val="auto"/>
        </w:rPr>
      </w:pPr>
    </w:p>
    <w:p>
      <w:pPr>
        <w:ind w:left="420" w:right="480" w:hanging="331"/>
        <w:spacing w:after="0" w:line="342" w:lineRule="auto"/>
        <w:tabs>
          <w:tab w:leader="none" w:pos="351"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2018, Mr. Cho received a salary of $849,254 and a bonus of $1,700,000, which was determined based on various factors, including, but not limited to overall job performance, including performance against corporate and individual objectives, job responsibilities and teamwork.</w:t>
      </w:r>
    </w:p>
    <w:p>
      <w:pPr>
        <w:spacing w:after="0" w:line="83" w:lineRule="exact"/>
        <w:rPr>
          <w:rFonts w:ascii="Arial" w:cs="Arial" w:eastAsia="Arial" w:hAnsi="Arial"/>
          <w:sz w:val="16"/>
          <w:szCs w:val="16"/>
          <w:color w:val="auto"/>
        </w:rPr>
      </w:pPr>
    </w:p>
    <w:p>
      <w:pPr>
        <w:ind w:left="420" w:right="40" w:hanging="331"/>
        <w:spacing w:after="0" w:line="308" w:lineRule="auto"/>
        <w:tabs>
          <w:tab w:leader="none" w:pos="351"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2018, Mr. Reck received a salary of $321,932 and a bonus of $225,000 which was determined based on various factors, including, but not limited to overall job performance, including performance against corporate and individual objectives, job responsibilities and teamwork.</w:t>
      </w:r>
    </w:p>
    <w:p>
      <w:pPr>
        <w:spacing w:after="0" w:line="38"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Each of our executive officers may perform services for affiliates of Mr. Icahn for which we receive reimbursement. See Item 13, “Certain Relationships and Related Transactions, and Director Independence.”</w:t>
      </w:r>
    </w:p>
    <w:p>
      <w:pPr>
        <w:spacing w:after="0" w:line="62" w:lineRule="exact"/>
        <w:rPr>
          <w:sz w:val="20"/>
          <w:szCs w:val="20"/>
          <w:color w:val="auto"/>
        </w:rPr>
      </w:pPr>
    </w:p>
    <w:p>
      <w:pPr>
        <w:jc w:val="both"/>
        <w:ind w:right="160" w:firstLine="378"/>
        <w:spacing w:after="0" w:line="277" w:lineRule="auto"/>
        <w:rPr>
          <w:sz w:val="20"/>
          <w:szCs w:val="20"/>
          <w:color w:val="auto"/>
        </w:rPr>
      </w:pPr>
      <w:r>
        <w:rPr>
          <w:rFonts w:ascii="Arial" w:cs="Arial" w:eastAsia="Arial" w:hAnsi="Arial"/>
          <w:sz w:val="18"/>
          <w:szCs w:val="18"/>
          <w:color w:val="auto"/>
        </w:rPr>
        <w:t>Mr. Nevin is married to the daughter of Carl C. Icahn, the Chairman of the Board of Icahn Enterprises. There are no other family relationships between or among any of our directors and/or executive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do not have any employment agreements with our named executives.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Option and Non-Equity Incentive Plans</w:t>
      </w:r>
    </w:p>
    <w:p>
      <w:pPr>
        <w:spacing w:after="0" w:line="121" w:lineRule="exact"/>
        <w:rPr>
          <w:sz w:val="20"/>
          <w:szCs w:val="20"/>
          <w:color w:val="auto"/>
        </w:rPr>
      </w:pPr>
    </w:p>
    <w:p>
      <w:pPr>
        <w:ind w:right="680" w:firstLine="378"/>
        <w:spacing w:after="0" w:line="277" w:lineRule="auto"/>
        <w:rPr>
          <w:sz w:val="20"/>
          <w:szCs w:val="20"/>
          <w:color w:val="auto"/>
        </w:rPr>
      </w:pPr>
      <w:r>
        <w:rPr>
          <w:rFonts w:ascii="Arial" w:cs="Arial" w:eastAsia="Arial" w:hAnsi="Arial"/>
          <w:sz w:val="18"/>
          <w:szCs w:val="18"/>
          <w:color w:val="auto"/>
        </w:rPr>
        <w:t>Our named executive officers are not granted any stock award or awards under the 2017 Incentive Plan and do not participate in any non-equity incentive plans.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We do not have any employment agreements or other arrangements pursuant to which any of our employees would have received potential payments upon termination or change in control as of December 31,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140" w:firstLine="378"/>
        <w:spacing w:after="0" w:line="264" w:lineRule="auto"/>
        <w:rPr>
          <w:sz w:val="20"/>
          <w:szCs w:val="20"/>
          <w:color w:val="auto"/>
        </w:rPr>
      </w:pPr>
      <w:r>
        <w:rPr>
          <w:rFonts w:ascii="Arial" w:cs="Arial" w:eastAsia="Arial" w:hAnsi="Arial"/>
          <w:sz w:val="18"/>
          <w:szCs w:val="18"/>
          <w:color w:val="auto"/>
        </w:rPr>
        <w:t>The following table provides compensation information for our directors in 2018, except for Messrs. Icahn, Cho and Cozza. Compensation received by Messrs. Icahn, Cho and Cozza is included in the Summary Compensation Table. Messrs. Icahn, Cho and Cozza did not receive compensation for serving on our board of directors.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Fees Earned or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All Other</w:t>
            </w:r>
          </w:p>
        </w:tc>
        <w:tc>
          <w:tcPr>
            <w:tcW w:w="17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Paid in Cash</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A. Leidesdorf</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James L. Nelson</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35,000</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Jack G. Wasserman</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Michael Nevin</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Each director will hold office until his successor is elected and qualified. As discussed above, Mr. Nelson has resigned as a director effective as of March 8, 2019. During 2018, Messrs. Wasserman, Leidesdorf and Nelson each received $35,000 in respect of their services rendered as members of our board of directors. In addition, Mr. Wasserman received an additional $5,000 for serving as the chairman of the audit committee. Mr. Nevin did not receive compensation in respect of his services rendered as a member of our board of directors.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Directors receive only cash compensation, if applicable, and currently are not granted any options, units or other equity-based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Security Holder Matters.</w:t>
      </w:r>
    </w:p>
    <w:p>
      <w:pPr>
        <w:spacing w:after="0" w:line="175"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As of February 28, 2019, affiliates of Mr. Icahn, owned 175,441,588 of Icahn Enterprises' depositary units, or approximately 91.7% of Icahn Enterprises' outstanding depositary units. In accordance with the listing rules of NASDAQ, Icahn Enterprises' status as a limited partnership affords Icahn Enterprises an exemption from certain corporate governance requirements which includes an exemption from the requirement to have compensation and nominating committees consisting entirely of independent directors. Icahn Enterprises GP's board of directors presently consists of three independent directors and the audit committee consists entirely of independent directors.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544" w:right="239" w:bottom="1440" w:gutter="0" w:footer="0" w:header="0"/>
        </w:sectPr>
      </w:pPr>
    </w:p>
    <w:bookmarkStart w:id="128" w:name="page129"/>
    <w:bookmarkEnd w:id="128"/>
    <w:p>
      <w:pPr>
        <w:ind w:firstLine="378"/>
        <w:spacing w:after="0" w:line="270" w:lineRule="auto"/>
        <w:rPr>
          <w:sz w:val="20"/>
          <w:szCs w:val="20"/>
          <w:color w:val="auto"/>
        </w:rPr>
      </w:pPr>
      <w:r>
        <w:rPr>
          <w:rFonts w:ascii="Arial" w:cs="Arial" w:eastAsia="Arial" w:hAnsi="Arial"/>
          <w:sz w:val="17"/>
          <w:szCs w:val="17"/>
          <w:color w:val="auto"/>
        </w:rPr>
        <w:t>The affirmative vote of unitholders holding more than 75% of the total number of all depositary units then outstanding, including depositary units held by Icahn Enterprises GP and its affiliates, is required to remove Icahn Enterprises GP. Thus, since Mr. Icahn, through affiliates, holds approximately 91.7% of Icahn Enterprises' outstanding depositary units as of February 28, 2019, Icahn Enterprises GP will not be able to be removed pursuant to the terms of our partnership agreement without Mr. Icahn's consent. Moreover, under the partnership agreement, the affirmative vote of Icahn Enterprises GP and unitholders owning more than 50% of the total number of all outstanding depositary units then held by unitholders, including affiliates of Mr. Icahn, is required to approve, among other things, selling or otherwise disposing of all or substantially all of our assets in a single sale or in a related series of multiple sales, our dissolution or electing to continue Icahn Enterprises in certain instances, electing a successor general partner, making certain amendments to the partnership agreement or causing us, in our capacity as sole limited partner of Icahn Enterprises Holdings, to consent to certain proposals submitted for the approval of the limited partners of Icahn Enterprises Holdings. Accordingly, as affiliates of Mr. Icahn hold in excess of 50% of the depositary units outstanding, Mr. Icahn, through affiliates, will have effective control over such approval rights.</w:t>
      </w:r>
    </w:p>
    <w:p>
      <w:pPr>
        <w:spacing w:after="0" w:line="70" w:lineRule="exact"/>
        <w:rPr>
          <w:sz w:val="20"/>
          <w:szCs w:val="20"/>
          <w:color w:val="auto"/>
        </w:rPr>
      </w:pPr>
    </w:p>
    <w:p>
      <w:pPr>
        <w:ind w:right="320" w:firstLine="378"/>
        <w:spacing w:after="0" w:line="264" w:lineRule="auto"/>
        <w:rPr>
          <w:sz w:val="20"/>
          <w:szCs w:val="20"/>
          <w:color w:val="auto"/>
        </w:rPr>
      </w:pPr>
      <w:r>
        <w:rPr>
          <w:rFonts w:ascii="Arial" w:cs="Arial" w:eastAsia="Arial" w:hAnsi="Arial"/>
          <w:sz w:val="18"/>
          <w:szCs w:val="18"/>
          <w:color w:val="auto"/>
        </w:rPr>
        <w:t>The following table provides information, as of February 28, 2019, as to the beneficial ownership of the depositary units for each director of Icahn Enterprises GP and all directors and executive officers of Icahn Enterprises GP, as a group. Except for Mr. Icahn, none of our named executive officers or directors beneficially owns more than 5% of Icahn Enterprises' depositary units.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Beneficial Ownership of Icahn</w:t>
            </w:r>
          </w:p>
        </w:tc>
        <w:tc>
          <w:tcPr>
            <w:tcW w:w="2220" w:type="dxa"/>
            <w:vAlign w:val="bottom"/>
          </w:tcPr>
          <w:p>
            <w:pPr>
              <w:spacing w:after="0"/>
              <w:rPr>
                <w:sz w:val="18"/>
                <w:szCs w:val="18"/>
                <w:color w:val="auto"/>
              </w:rPr>
            </w:pPr>
          </w:p>
        </w:tc>
      </w:tr>
      <w:tr>
        <w:trPr>
          <w:trHeight w:val="234"/>
        </w:trPr>
        <w:tc>
          <w:tcPr>
            <w:tcW w:w="61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Beneficial Owner</w:t>
            </w:r>
          </w:p>
        </w:tc>
        <w:tc>
          <w:tcPr>
            <w:tcW w:w="27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Enterprises' Depositary Units</w:t>
            </w:r>
          </w:p>
        </w:tc>
        <w:tc>
          <w:tcPr>
            <w:tcW w:w="2220" w:type="dxa"/>
            <w:vAlign w:val="bottom"/>
          </w:tcPr>
          <w:p>
            <w:pPr>
              <w:ind w:left="500"/>
              <w:spacing w:after="0"/>
              <w:rPr>
                <w:sz w:val="20"/>
                <w:szCs w:val="20"/>
                <w:color w:val="auto"/>
              </w:rPr>
            </w:pPr>
            <w:r>
              <w:rPr>
                <w:rFonts w:ascii="Arial" w:cs="Arial" w:eastAsia="Arial" w:hAnsi="Arial"/>
                <w:sz w:val="18"/>
                <w:szCs w:val="18"/>
                <w:b w:val="1"/>
                <w:bCs w:val="1"/>
                <w:color w:val="auto"/>
              </w:rPr>
              <w:t>Percent of Class</w:t>
            </w:r>
          </w:p>
        </w:tc>
      </w:tr>
      <w:tr>
        <w:trPr>
          <w:trHeight w:val="27"/>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Carl C. Icahn</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175,441,588</w:t>
            </w: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9"/>
                <w:szCs w:val="9"/>
                <w:color w:val="auto"/>
              </w:rPr>
              <w:t>(a) (b)</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91.7%</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Keith Cozza</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SungHwan Cho</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351"/>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Jack G. Wasserman</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862</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358"/>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L. Nelson</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Peter Reck</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358"/>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William A. Leidesdorf</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351"/>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Michael Nevin</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7"/>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Directors and Executive Officers as a Group (eight persons)</w:t>
            </w:r>
          </w:p>
        </w:tc>
        <w:tc>
          <w:tcPr>
            <w:tcW w:w="2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175,446,842</w:t>
            </w: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91.7%</w:t>
            </w:r>
          </w:p>
        </w:tc>
      </w:tr>
      <w:tr>
        <w:trPr>
          <w:trHeight w:val="20"/>
        </w:trPr>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 Less than 1% of total outstanding depositary units of Icahn Enterprises.</w:t>
      </w:r>
    </w:p>
    <w:p>
      <w:pPr>
        <w:spacing w:after="0" w:line="207" w:lineRule="exact"/>
        <w:rPr>
          <w:sz w:val="20"/>
          <w:szCs w:val="20"/>
          <w:color w:val="auto"/>
        </w:rPr>
      </w:pPr>
    </w:p>
    <w:p>
      <w:pPr>
        <w:ind w:right="160" w:firstLine="8"/>
        <w:spacing w:after="0" w:line="258"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foregoing is exclusive of a 1.99% ownership interest which Icahn Enterprises GP holds by virtue of its 1% general partner interest in each of us and Icahn Enterprises Holdings.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footnotes describe Mr. Icahn's beneficial ownership of Icahn Enterprises' depositary units:</w:t>
      </w:r>
    </w:p>
    <w:p>
      <w:pPr>
        <w:spacing w:after="0" w:line="152" w:lineRule="exact"/>
        <w:rPr>
          <w:rFonts w:ascii="Arial" w:cs="Arial" w:eastAsia="Arial" w:hAnsi="Arial"/>
          <w:sz w:val="18"/>
          <w:szCs w:val="18"/>
          <w:color w:val="auto"/>
        </w:rPr>
      </w:pPr>
    </w:p>
    <w:p>
      <w:pPr>
        <w:ind w:left="580" w:right="540" w:hanging="379"/>
        <w:spacing w:after="0" w:line="231" w:lineRule="auto"/>
        <w:tabs>
          <w:tab w:leader="none" w:pos="5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CCI Onshore LLC ("CCI Onshore") beneficially owns 40,840,229 Depositary Units. High Coast Limited Partnership ("High Coast") is the sole member of CCI Onshore. Little Meadow Corp. ("Little Meadow") is the general partner of High Coast. Carl C. Icahn beneficially owns 100% of Little Meadow. Pursuant to Rule 16a-1(a)(2) under the Exchange Act, each of Mr. Icahn, Little Meadow and High Coast (by virtue of their relationships to CCI Onshore) may be deemed to indirectly beneficially own the Depositary Units which CCI Onshore owns. Each of Mr. Icahn, Little Meadow and High Coast disclaims beneficial ownership of such Depositary Units except to the extent of their pecuniary interest therein.</w:t>
      </w:r>
    </w:p>
    <w:p>
      <w:pPr>
        <w:spacing w:after="0" w:line="22" w:lineRule="exact"/>
        <w:rPr>
          <w:rFonts w:ascii="Arial" w:cs="Arial" w:eastAsia="Arial" w:hAnsi="Arial"/>
          <w:sz w:val="14"/>
          <w:szCs w:val="14"/>
          <w:color w:val="auto"/>
        </w:rPr>
      </w:pPr>
    </w:p>
    <w:p>
      <w:pPr>
        <w:ind w:left="580" w:right="420" w:hanging="379"/>
        <w:spacing w:after="0" w:line="234" w:lineRule="auto"/>
        <w:tabs>
          <w:tab w:leader="none" w:pos="5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Gascon Partners ("Gascon") beneficially owns 24,051,668 Depositary Units. Little Meadow is the managing general partner of Gascon. Carl C. Icahn beneficially owns 100% of Little Meadow. Pursuant to Rule 16a-1(a)(2) under the Exchange Act, each of Mr. Icahn and Little Meadow (by virtue of their relationships to Gascon) may be deemed to indirectly beneficially own the Depositary Units which Gascon owns. Each of Mr. Icahn and Little Meadow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340" w:hanging="379"/>
        <w:spacing w:after="0" w:line="234" w:lineRule="auto"/>
        <w:tabs>
          <w:tab w:leader="none" w:pos="5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High Coast beneficially owns 84,387,940 Depositary Units. Little Meadow is the general partner of High Coast. Carl C. Icahn beneficially owns 100% of Little Meadow. Pursuant to Rule 16a-1(a)(2) under the Exchange Act, each of Mr. Icahn and Little Meadow (by virtue of their relationships to High Coast) may be deemed to indirectly beneficially own the Depositary Units which High Coast owns. Each of Mr. Icahn and Little Meadow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360" w:hanging="379"/>
        <w:spacing w:after="0" w:line="234" w:lineRule="auto"/>
        <w:tabs>
          <w:tab w:leader="none" w:pos="5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Highcrest Investors LLC ("Highcrest") beneficially owns 19,630,223 Depositary Units. Starfire Holding Corporation ("Starfire") beneficially owns 100% of Highcrest. Carl C. Icahn beneficially owns 100% of Starfire. Pursuant to Rule 16a-1(a)(2) under the Exchange Act, each of Mr. Icahn and Starfire (by virtue of their relationships to Highcrest) may be deemed to indirectly beneficially own the Depositary Units which Highcrest owns. Each of Mr. Icahn and Starfire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380" w:hanging="379"/>
        <w:spacing w:after="0" w:line="234" w:lineRule="auto"/>
        <w:tabs>
          <w:tab w:leader="none" w:pos="5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Thornwood Associates Limited Partnership ("Thornwood") beneficially owns 6,531,528 Depositary Units. Barberry Corp. ("Barberry") is the general partner of Thornwood. Carl C. Icahn beneficially owns 100% of Barberry. Pursuant to Rule 16a-1(a)(2) under the Exchange Act, each of Mr. Icahn and Barberry (by virtue of their relationships to Thornwood) may be deemed to indirectly beneficially own the Depositary Units which Thornwood owns. Each of Mr. Icahn and Barberry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460" w:hanging="379"/>
        <w:spacing w:after="0" w:line="253" w:lineRule="auto"/>
        <w:tabs>
          <w:tab w:leader="none" w:pos="5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Does not include 12,000 Depositary Units owned by Gail Golden, the wife of Mr. Icahn. Mr. Icahn, by virtue of his relationship to Ms. Golden, may be deemed to beneficially own such Depositary Units. Mr. Icahn disclaims beneficial ownership of such Depositary Units for all purposes.</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76" w:right="2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the limitations contained in our partnership agreement and the Delaware Revised Uniform Limited Partnership Act. The indentures governing our indebtedness contain certain covenants applicable to transactions with affiliates.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with Our General Partner and Its Affiliates</w:t>
      </w:r>
    </w:p>
    <w:p>
      <w:pPr>
        <w:spacing w:after="0" w:line="12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Mr. Icahn, in his capacity as majority unitholder, will not receive any additional benefit with respect to distributions and allocations of profits and losses not shared on a pro rata basis by all other unitholders. In addition, Mr. Icahn has confirmed to us that neither he nor any of his affiliates will receive any fees from us in consideration for services rendered in connection with non-real estate related investments by us other than as otherwise disclosed herein. We have, and in the future may determine to make, investments in entities in which Mr. Icahn or his affiliates also have investments. We may enter into other transactions with Mr. Icahn and his affiliates, including, without limitation, buying and selling assets from or to affiliates of Mr. Icahn and participating in joint venture investments in assets with affiliates of Mr. Icahn, whether real estate or non-real estate related. Furthermore, it should be noted that our partnership agreement provides that Icahn Enterprises GP and its affiliates are permitted to have other business interests and may engage in other business ventures of any nature whatsoever, and may compete directly or indirectly with our business. Mr. Icahn and his affiliates currently invest in assets that may be similar to those in which we may invest, and Mr. Icahn and his affiliates intend to continue to do so. Pursuant to the partnership agreement, however, we will not have any right to participate therein or receive or share in any income or profits derived therefrom.</w:t>
      </w:r>
    </w:p>
    <w:p>
      <w:pPr>
        <w:spacing w:after="0" w:line="70"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During 2018, we declared four quarterly distributions aggregating $7.00 per depositary unit. Depositary unitholders were given the option to make an election to receive the distributions in either cash or additional depositary units; if a holder did not make an election, it was automatically deemed to have elected to receive the distributions in cash. As a result of the above declared distributions, during 2018 we distributed an aggregate 17,778,950 of Icahn Enterprises' depositary units to those depositary unitholders who elected to receive such distributions in additional depositary units, of which an aggregate of 17,543,006 depositary units were distributed to Mr. Icahn and his affiliates. As a result, Mr. Icahn and his affiliates owned approximately 91.7% of Icahn Enterprises' outstanding depositary units as of December 31, 2018.</w:t>
      </w:r>
    </w:p>
    <w:p>
      <w:pPr>
        <w:spacing w:after="0" w:line="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February 26, 2019, the Board of Directors of the general partner of Icahn Enterprises declared a quarterly distribution in the amount of $2.00 per depositary unit, which will be paid on or about April 17, 2019 to depositary unitholders of record at the close of business on March 11, 2019. Depositary unitholders will have until April 8, 2019 to make an election to receive either cash or additional depositary units; if a holder does not make an election, it will automatically be deemed to have elected to receive the dividend in cash. Mr. Icahn and his affiliates have indicated that it is their intention to continue to elect to receive the distribution in additional depositary units for the foreseeable future.</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Pursuant to registration rights agreements, Mr. Icahn has certain registration rights with regard to the depositary units beneficially owned by him.</w:t>
      </w:r>
    </w:p>
    <w:p>
      <w:pPr>
        <w:spacing w:after="0" w:line="129" w:lineRule="exact"/>
        <w:rPr>
          <w:sz w:val="20"/>
          <w:szCs w:val="20"/>
          <w:color w:val="auto"/>
        </w:rPr>
      </w:pPr>
    </w:p>
    <w:p>
      <w:pPr>
        <w:ind w:right="360" w:firstLine="378"/>
        <w:spacing w:after="0" w:line="277" w:lineRule="auto"/>
        <w:rPr>
          <w:sz w:val="20"/>
          <w:szCs w:val="20"/>
          <w:color w:val="auto"/>
        </w:rPr>
      </w:pPr>
      <w:r>
        <w:rPr>
          <w:rFonts w:ascii="Arial" w:cs="Arial" w:eastAsia="Arial" w:hAnsi="Arial"/>
          <w:sz w:val="18"/>
          <w:szCs w:val="18"/>
          <w:color w:val="auto"/>
        </w:rPr>
        <w:t>In 2018, Icahn Enterprises GP was allocated a loss of $556 million of our net loss attributable to Icahn Enterprises as a result of its combined 1.99% general partner interests in us and Icahn Enterprises Holdings.</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We may, on occasion, invest in securities in which entities affiliated with Mr. Icahn are also investing. Additionally, Mr. Icahn and his affiliated entities may also invest in securities in which Icahn Enterprises and its consolidated subsidiaries invest. Mr. Icahn and his affiliates (excluding Icahn Enterprises and Icahn Enterprises Holdings), make investments in the Investment Funds. During 2018, affiliates of Mr. Icahn invested $310 million in the Investment Funds. As of December 31, 2018, the total fair market value of investments in the Investment Funds made by Mr. Icahn and his affiliates (excluding Icahn Enterprises and Icahn Enterprises Holdings) was approximately $5.0 billion, representing approximately 50% of the Investment Funds' assets under management.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Icahn Capital LP ("Icahn Capital"), a wholly-owned subsidiary of ours, paid for salaries and benefits of certain employees who may also perform various functions on behalf of certain other entities beneficially owned by Mr. Icahn (collectively, “Icahn Affiliates”), including administrative and investment services. During 2018, under a separate expense-sharing agreement, we have charged Icahn Affiliates $1 million for such services.</w:t>
      </w:r>
    </w:p>
    <w:p>
      <w:pPr>
        <w:spacing w:after="0" w:line="5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Icahn Capital pays for expenses pertaining to the operation, administration and investment activities of our Investment segment for the benefit of the Investment Funds (including salaries, benefits and rent). Icahn Capital shall be allocated pro rata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364" w:right="239" w:bottom="1440" w:gutter="0" w:footer="0" w:header="0"/>
        </w:sectPr>
      </w:pPr>
    </w:p>
    <w:bookmarkStart w:id="130" w:name="page131"/>
    <w:bookmarkEnd w:id="130"/>
    <w:p>
      <w:pPr>
        <w:ind w:right="360"/>
        <w:spacing w:after="0" w:line="264" w:lineRule="auto"/>
        <w:rPr>
          <w:sz w:val="20"/>
          <w:szCs w:val="20"/>
          <w:color w:val="auto"/>
        </w:rPr>
      </w:pPr>
      <w:r>
        <w:rPr>
          <w:rFonts w:ascii="Arial" w:cs="Arial" w:eastAsia="Arial" w:hAnsi="Arial"/>
          <w:sz w:val="18"/>
          <w:szCs w:val="18"/>
          <w:color w:val="auto"/>
        </w:rPr>
        <w:t>for such expenses in accordance with each investor's capital accounts in the Investment Funds. Effective April 1, 2011, based on an expense-sharing arrangement, certain expenses borne by Icahn Capital are reimbursed by the Investment Funds, generally when such expenses are paid. During 2018, $12 million was allocated to the Investment Funds based on this expense-sharing arrangement.</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2018, we paid an affiliate $1 million for the non-exclusive use of office space.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2018, we paid an affiliate $1 million for the allocation of shared office expenses.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2018, our Holding Company provided certain professional services to an Icahn affiliate for which we charged $3 million.</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We and affiliates of Mr. Icahn have a significant non-controlling ownership interest in Hertz Global Holdings, Inc. ("Hertz"). During 2018, we and our subsidiaries had revenue from Hertz in the ordinary course of business of $40 million. Additionally, we and our subsidiaries had payments to Hertz in the ordinary course of business of $1 million.</w:t>
      </w:r>
    </w:p>
    <w:p>
      <w:pPr>
        <w:spacing w:after="0" w:line="7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In addition to our transactions with Hertz disclosed above, in January 2018, we entered into a Master Motor Vehicle Lease and Management Agreement with Hertz, pursuant to which Hertz granted 767 Auto Leasing LLC ("767 Leasing"), a joint venture created to purchase vehicles for lease, the option to acquire certain vehicles from Hertz at rates aligned with the rates at which Hertz sells vehicles to third parties. Under this agreement,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has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767 Leasing is treated as a partnership for federal income tax purposes. For the year ended December 31, 2018, our Automotive segment invested $60 million in 767 Leasing. As of December 31, 2018, our Automotive segment had an equity method investment in 767 Leasing of $59 million.</w:t>
      </w:r>
    </w:p>
    <w:p>
      <w:pPr>
        <w:spacing w:after="0" w:line="8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Railcar operations, prior to December 5, 2018, had certain transactions with ACF Industries LLC ("ACF"), an affiliate of Mr. Icahn, under various agreements, as well as on a purchase order basis. ACF is a manufacturer and fabricator of specialty railcar parts and miscellaneous steel products. Agreements and transactions with ACF included the following:</w:t>
      </w:r>
    </w:p>
    <w:p>
      <w:pPr>
        <w:spacing w:after="0" w:line="100" w:lineRule="exact"/>
        <w:rPr>
          <w:sz w:val="20"/>
          <w:szCs w:val="20"/>
          <w:color w:val="auto"/>
        </w:rPr>
      </w:pPr>
    </w:p>
    <w:p>
      <w:pPr>
        <w:ind w:left="720" w:hanging="307"/>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Railcar component purchases from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Railcar parts purchases from and sales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Railcar purchasing and engineering services agreement with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Lease of certain intellectual property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Railcar repair services and support for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Railcar purchases from ACF (prior to June 1, 2017)</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2018, purchases from ACF were $3 million and revenues from ACF were less than $6 million.</w:t>
      </w:r>
    </w:p>
    <w:p>
      <w:pPr>
        <w:spacing w:after="0" w:line="117"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CVR Energy, Viskase, PSC Metals, WPH, Federal-Mogul (prior to October 1, 2018), ARI (prior to December 5, 2018) and Tropicana (prior to October 1, 2018)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During 2018, we and certain of our subsidiaries paid certain of the Insight Portfolio Group's operating expenses of $4 million.</w:t>
      </w:r>
    </w:p>
    <w:p>
      <w:pPr>
        <w:spacing w:after="0" w:line="89"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We may also enter into other transactions with Icahn Enterprises GP and its affiliates, including, without limitation, buying and selling properties and borrowing and lending funds from or to Icahn Enterprises GP or its affiliates, joint venture developments and issuing securities to Icahn Enterprises GP or its affiliates in exchange for, among other things, assets that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76" w:right="239" w:bottom="1440" w:gutter="0" w:footer="0" w:header="0"/>
        </w:sectPr>
      </w:pPr>
    </w:p>
    <w:bookmarkStart w:id="131" w:name="page132"/>
    <w:bookmarkEnd w:id="131"/>
    <w:p>
      <w:pPr>
        <w:ind w:right="660"/>
        <w:spacing w:after="0" w:line="277" w:lineRule="auto"/>
        <w:rPr>
          <w:sz w:val="20"/>
          <w:szCs w:val="20"/>
          <w:color w:val="auto"/>
        </w:rPr>
      </w:pPr>
      <w:r>
        <w:rPr>
          <w:rFonts w:ascii="Arial" w:cs="Arial" w:eastAsia="Arial" w:hAnsi="Arial"/>
          <w:sz w:val="18"/>
          <w:szCs w:val="18"/>
          <w:color w:val="auto"/>
        </w:rPr>
        <w:t>they now own or may acquire in the future. Icahn Enterprises GP is also entitled to reimbursement by us for all allocable direct and indirect overhead expenses, including, but not limited to, salaries and rent, incurred in connection with the conduct of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Provisions Concerning Property Management</w:t>
      </w:r>
    </w:p>
    <w:p>
      <w:pPr>
        <w:spacing w:after="0" w:line="121" w:lineRule="exact"/>
        <w:rPr>
          <w:sz w:val="20"/>
          <w:szCs w:val="20"/>
          <w:color w:val="auto"/>
        </w:rPr>
      </w:pPr>
    </w:p>
    <w:p>
      <w:pPr>
        <w:ind w:right="20" w:firstLine="378"/>
        <w:spacing w:after="0" w:line="269" w:lineRule="auto"/>
        <w:rPr>
          <w:sz w:val="20"/>
          <w:szCs w:val="20"/>
          <w:color w:val="auto"/>
        </w:rPr>
      </w:pPr>
      <w:r>
        <w:rPr>
          <w:rFonts w:ascii="Arial" w:cs="Arial" w:eastAsia="Arial" w:hAnsi="Arial"/>
          <w:sz w:val="17"/>
          <w:szCs w:val="17"/>
          <w:color w:val="auto"/>
        </w:rPr>
        <w:t>Icahn Enterprises GP and its affiliates may receive fees in connection with the acquisition, sale, financing, development, construction, marketing and management of new properties acquired by us. As development and other new properties are acquired, developed, constructed, operated, leased and financed, Icahn Enterprises GP or its affiliates may perform acquisition functions, including the review, verification and analysis of data and documentation with respect to potential acquisitions, and perform development and construction oversight and other land development services, property management and leasing services, either on a day-to-day basis or on an asset management basis, and may perform other services and be entitled to fees and reimbursement of expenses relating thereto, provided the terms of such transactions are in accordance with our partnership agreement. It is not possible to state precisely what role, if any, Icahn Enterprises GP or any of its affiliates may have in the acquisition, development or management of any new investments. Consequently, it is not possible to state the amount of the income, fees or commissions Icahn Enterprises GP or its affiliates might be paid in connection therewith since the amount thereof is dependent upon the specific circumstances of each investment, including the nature of the services provided, the location of the investment and the amount customarily paid in such locality for such services. Subject to the specific circumstances surrounding each transaction and the overall fairness and reasonableness thereof to us, the fees charged by Icahn Enterprises GP and its affiliates for the services described below generally will be within the ranges set forth below:</w:t>
      </w:r>
    </w:p>
    <w:p>
      <w:pPr>
        <w:spacing w:after="0" w:line="72" w:lineRule="exact"/>
        <w:rPr>
          <w:sz w:val="20"/>
          <w:szCs w:val="20"/>
          <w:color w:val="auto"/>
        </w:rPr>
      </w:pPr>
    </w:p>
    <w:p>
      <w:pPr>
        <w:ind w:left="660" w:right="260" w:hanging="247"/>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Property Management and Asset Management Services. </w:t>
      </w:r>
      <w:r>
        <w:rPr>
          <w:rFonts w:ascii="Arial" w:cs="Arial" w:eastAsia="Arial" w:hAnsi="Arial"/>
          <w:sz w:val="18"/>
          <w:szCs w:val="18"/>
          <w:color w:val="auto"/>
        </w:rPr>
        <w:t>To the extent that we acquire any properties requiring active management (e.g.,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that are not net-leased) or asset management services, including on-site services, we may enter into fee-paying management or other arrangements with Icahn Enterprises GP or its affiliates.</w:t>
      </w:r>
    </w:p>
    <w:p>
      <w:pPr>
        <w:spacing w:after="0" w:line="73" w:lineRule="exact"/>
        <w:rPr>
          <w:rFonts w:ascii="Arial" w:cs="Arial" w:eastAsia="Arial" w:hAnsi="Arial"/>
          <w:sz w:val="18"/>
          <w:szCs w:val="18"/>
          <w:color w:val="auto"/>
        </w:rPr>
      </w:pPr>
    </w:p>
    <w:p>
      <w:pPr>
        <w:ind w:left="660" w:right="400" w:hanging="247"/>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Brokerage and Leasing Commissions. </w:t>
      </w:r>
      <w:r>
        <w:rPr>
          <w:rFonts w:ascii="Arial" w:cs="Arial" w:eastAsia="Arial" w:hAnsi="Arial"/>
          <w:sz w:val="18"/>
          <w:szCs w:val="18"/>
          <w:color w:val="auto"/>
        </w:rPr>
        <w:t>We also may pay affiliates of Icahn Enterprises GP real estate brokerage and leasing commissions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may range from 2% to 6% of the purchase price or rentals depending on location; this range may be somewhat higher for problem properties or lesser-valued properties).</w:t>
      </w:r>
    </w:p>
    <w:p>
      <w:pPr>
        <w:spacing w:after="0" w:line="73" w:lineRule="exact"/>
        <w:rPr>
          <w:rFonts w:ascii="Arial" w:cs="Arial" w:eastAsia="Arial" w:hAnsi="Arial"/>
          <w:sz w:val="18"/>
          <w:szCs w:val="18"/>
          <w:color w:val="auto"/>
        </w:rPr>
      </w:pPr>
    </w:p>
    <w:p>
      <w:pPr>
        <w:ind w:left="660" w:right="40" w:hanging="247"/>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Lending Arrangements. </w:t>
      </w:r>
      <w:r>
        <w:rPr>
          <w:rFonts w:ascii="Arial" w:cs="Arial" w:eastAsia="Arial" w:hAnsi="Arial"/>
          <w:sz w:val="18"/>
          <w:szCs w:val="18"/>
          <w:color w:val="auto"/>
        </w:rPr>
        <w:t>Icahn Enterprises GP or its affiliates may lend money to, or arrange loans for, us. Fees payable to Icahn Enterprises GP or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in connection with such activities include mortgage brokerage fees (generally .5% to 3% of the loan amount), mortgage origination fees (generally .5% to 1.5% of the loan amount) and loan servicing fees (generally .10% to .12% of the loan amount), as well as interest on any amounts loaned by Icahn Enterprises GP or its affiliates to us.</w:t>
      </w:r>
    </w:p>
    <w:p>
      <w:pPr>
        <w:spacing w:after="0" w:line="78"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Development and Construction Services. </w:t>
      </w:r>
      <w:r>
        <w:rPr>
          <w:rFonts w:ascii="Arial" w:cs="Arial" w:eastAsia="Arial" w:hAnsi="Arial"/>
          <w:sz w:val="17"/>
          <w:szCs w:val="17"/>
          <w:color w:val="auto"/>
        </w:rPr>
        <w:t>Icahn Enterprises GP or its affiliates may also receive fees for development services, generally 1% to 4% of</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costs, and general contracting services or construction management services, generally 4% to 6% of construction costs.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2018, we did not pay any fees in respect of items as described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 Pension Obligations</w:t>
      </w:r>
    </w:p>
    <w:p>
      <w:pPr>
        <w:spacing w:after="0" w:line="121"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91.7% of Icahn Enterprises' outstanding depositary units as of December 31, 2018.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ACF. All the minimum funding requirements of the Internal Revenue Code, as amended, and the Employee Retirement Income Security Act of 1974, as amended, for the ACF plans have been met as of December 31, 2018. If the plans were voluntarily terminated, they would be underfunded by approximately $80 million as of December 31, 2018. These results are based on the most recent information provided by the plans’ actuary.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76" w:right="239" w:bottom="1440" w:gutter="0" w:footer="0" w:header="0"/>
        </w:sectPr>
      </w:pPr>
    </w:p>
    <w:bookmarkStart w:id="132" w:name="page133"/>
    <w:bookmarkEnd w:id="132"/>
    <w:p>
      <w:pPr>
        <w:ind w:right="140" w:firstLine="378"/>
        <w:spacing w:after="0" w:line="264" w:lineRule="auto"/>
        <w:rPr>
          <w:sz w:val="20"/>
          <w:szCs w:val="20"/>
          <w:color w:val="auto"/>
        </w:rPr>
      </w:pPr>
      <w:r>
        <w:rPr>
          <w:rFonts w:ascii="Arial" w:cs="Arial" w:eastAsia="Arial" w:hAnsi="Arial"/>
          <w:sz w:val="18"/>
          <w:szCs w:val="18"/>
          <w:color w:val="auto"/>
        </w:rPr>
        <w:t>The current underfunded status of the ACF pension plans requires them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The board of directors of Icahn Enterprises GP has determined that we are a “controlled company” for the purposes of the NASDAQ's listing rules and therefore are not required to have a majority of independent directors or to have compensation and nominating committees consisting entirely of independent directors. Nevertheless, we believe that Messrs. Leidesdorf, Nelson and Wasserman are “independent” as defined in the currently applicable listing rules of NASDAQ. Messrs. Leidesdorf, Nelson and Wasserman serve as members of our audit committee. As discussed above, Mr. Nelson has resigned as a director and member of the audit committee effective as of March 8, 2019. A majority of the members of Icahn Enterprises GP's board of directors are independent and the audit committee consists entirely of these independent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right="340" w:firstLine="405"/>
        <w:spacing w:after="0" w:line="312" w:lineRule="auto"/>
        <w:rPr>
          <w:sz w:val="20"/>
          <w:szCs w:val="20"/>
          <w:color w:val="auto"/>
        </w:rPr>
      </w:pPr>
      <w:r>
        <w:rPr>
          <w:rFonts w:ascii="Arial" w:cs="Arial" w:eastAsia="Arial" w:hAnsi="Arial"/>
          <w:sz w:val="16"/>
          <w:szCs w:val="16"/>
          <w:color w:val="auto"/>
        </w:rPr>
        <w:t>We incurred $8,593,798 and $14,005,404 in audit fees and expenses from Grant Thornton LLP for 2018 and 2017, respectively. We include in the category of audit fees such services related to the audits of annual consolidated financial statements and internal controls, reviews of quarterly financial statements, reviews of reports filed with the SEC and other services, including services related to consents and registration statements filed with the SEC.</w:t>
      </w:r>
    </w:p>
    <w:p>
      <w:pPr>
        <w:spacing w:after="0" w:line="3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incurred $513,744 and $668,325 in audit-related fees and expenses from Grant Thornton LLP for 2018 and 2017, respectively, relating primarily to services provided in connection with offering memorandums, potential acquisitions and dispositions and employee benefit plans. Additionally, we incurred $0 and $20,000 in tax-related fees and expenses from Grant Thornton LLP for 2018 and 2017, respectively.</w:t>
      </w:r>
    </w:p>
    <w:p>
      <w:pPr>
        <w:spacing w:after="0" w:line="73"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In accordance with Icahn Enterprises' and Icahn Enterprises Holdings' Amended and Restated Audit Committee Charters adopted on March 12, 2004, the audit committee is required to approve in advance any and all audit services and permitted non-audit services provided to Icahn Enterprises, Icahn Enterprises Holdings and their consolidated subsidiaries by their independent auditors (subject to the de minimis exception of Section 10A (i) (1) (B) of the '34 Act), all as required by applicable law or listing standards. All of the fees in 2018 and 2017 were pre-approved by the audit committee.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76" w:right="25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40" w:type="dxa"/>
            <w:vAlign w:val="bottom"/>
          </w:tcPr>
          <w:p>
            <w:pPr>
              <w:ind w:left="158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982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9820" w:type="dxa"/>
            <w:vAlign w:val="bottom"/>
            <w:gridSpan w:val="8"/>
          </w:tcPr>
          <w:p>
            <w:pPr>
              <w:spacing w:after="0"/>
              <w:rPr>
                <w:sz w:val="20"/>
                <w:szCs w:val="20"/>
                <w:color w:val="auto"/>
              </w:rPr>
            </w:pPr>
            <w:r>
              <w:rPr>
                <w:rFonts w:ascii="Arial" w:cs="Arial" w:eastAsia="Arial" w:hAnsi="Arial"/>
                <w:sz w:val="18"/>
                <w:szCs w:val="18"/>
                <w:b w:val="1"/>
                <w:bCs w:val="1"/>
                <w:color w:val="auto"/>
              </w:rPr>
              <w:t>(a)(1) Financial Statements: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9780" w:type="dxa"/>
            <w:vAlign w:val="bottom"/>
            <w:gridSpan w:val="7"/>
          </w:tcPr>
          <w:p>
            <w:pPr>
              <w:ind w:left="340"/>
              <w:spacing w:after="0"/>
              <w:rPr>
                <w:sz w:val="20"/>
                <w:szCs w:val="20"/>
                <w:color w:val="auto"/>
              </w:rPr>
            </w:pPr>
            <w:r>
              <w:rPr>
                <w:rFonts w:ascii="Arial" w:cs="Arial" w:eastAsia="Arial" w:hAnsi="Arial"/>
                <w:sz w:val="18"/>
                <w:szCs w:val="18"/>
                <w:color w:val="auto"/>
                <w:w w:val="97"/>
              </w:rPr>
              <w:t>The following financial statements of Icahn Enterprises L.P., and subsidiaries, are included in Part II, Item 8 of this Report: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40" w:type="dxa"/>
            <w:vAlign w:val="bottom"/>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2100" w:type="dxa"/>
            <w:vAlign w:val="bottom"/>
            <w:shd w:val="clear" w:color="auto" w:fill="CCEEFF"/>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Consolidated Balance Sheets</w:t>
              </w:r>
            </w:hyperlink>
          </w:p>
        </w:tc>
        <w:tc>
          <w:tcPr>
            <w:tcW w:w="7680" w:type="dxa"/>
            <w:vAlign w:val="bottom"/>
            <w:gridSpan w:val="6"/>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52</w:t>
              </w:r>
            </w:hyperlink>
          </w:p>
        </w:tc>
      </w:tr>
      <w:tr>
        <w:trPr>
          <w:trHeight w:val="48"/>
        </w:trPr>
        <w:tc>
          <w:tcPr>
            <w:tcW w:w="40" w:type="dxa"/>
            <w:vAlign w:val="bottom"/>
            <w:tcBorders>
              <w:right w:val="single" w:sz="8" w:color="CCEEFF"/>
            </w:tcBorders>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80" w:type="dxa"/>
            <w:vAlign w:val="bottom"/>
            <w:gridSpan w:val="7"/>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Operations</w:t>
              </w:r>
            </w:hyperlink>
          </w:p>
        </w:tc>
        <w:tc>
          <w:tcPr>
            <w:tcW w:w="1580" w:type="dxa"/>
            <w:vAlign w:val="bottom"/>
            <w:gridSpan w:val="3"/>
          </w:tcPr>
          <w:p>
            <w:pPr>
              <w:jc w:val="center"/>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53</w:t>
              </w:r>
            </w:hyperlink>
          </w:p>
        </w:tc>
      </w:tr>
      <w:tr>
        <w:trPr>
          <w:trHeight w:val="48"/>
        </w:trPr>
        <w:tc>
          <w:tcPr>
            <w:tcW w:w="4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9780" w:type="dxa"/>
            <w:vAlign w:val="bottom"/>
            <w:gridSpan w:val="7"/>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Comprehensive Income</w:t>
              </w:r>
            </w:hyperlink>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54</w:t>
              </w:r>
            </w:hyperlink>
          </w:p>
        </w:tc>
      </w:tr>
      <w:tr>
        <w:trPr>
          <w:trHeight w:val="48"/>
        </w:trPr>
        <w:tc>
          <w:tcPr>
            <w:tcW w:w="40" w:type="dxa"/>
            <w:vAlign w:val="bottom"/>
            <w:tcBorders>
              <w:right w:val="single" w:sz="8" w:color="CCEEFF"/>
            </w:tcBorders>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740" w:type="dxa"/>
            <w:vAlign w:val="bottom"/>
            <w:gridSpan w:val="6"/>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 of Changes in Equity</w:t>
              </w:r>
            </w:hyperlink>
          </w:p>
        </w:tc>
        <w:tc>
          <w:tcPr>
            <w:tcW w:w="6040" w:type="dxa"/>
            <w:vAlign w:val="bottom"/>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55</w:t>
              </w:r>
            </w:hyperlink>
          </w:p>
        </w:tc>
      </w:tr>
      <w:tr>
        <w:trPr>
          <w:trHeight w:val="48"/>
        </w:trPr>
        <w:tc>
          <w:tcPr>
            <w:tcW w:w="4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6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2880" w:type="dxa"/>
            <w:vAlign w:val="bottom"/>
            <w:gridSpan w:val="3"/>
            <w:shd w:val="clear" w:color="auto" w:fill="CCEEFF"/>
          </w:tcPr>
          <w:p>
            <w:pPr>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Cash Flows</w:t>
              </w:r>
            </w:hyperlink>
          </w:p>
        </w:tc>
        <w:tc>
          <w:tcPr>
            <w:tcW w:w="6900" w:type="dxa"/>
            <w:vAlign w:val="bottom"/>
            <w:gridSpan w:val="4"/>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56</w:t>
              </w:r>
            </w:hyperlink>
          </w:p>
        </w:tc>
      </w:tr>
      <w:tr>
        <w:trPr>
          <w:trHeight w:val="48"/>
        </w:trPr>
        <w:tc>
          <w:tcPr>
            <w:tcW w:w="40" w:type="dxa"/>
            <w:vAlign w:val="bottom"/>
            <w:tcBorders>
              <w:right w:val="single" w:sz="8" w:color="CCEEFF"/>
            </w:tcBorders>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160" w:type="dxa"/>
            <w:vAlign w:val="bottom"/>
            <w:gridSpan w:val="4"/>
          </w:tcPr>
          <w:p>
            <w:pPr>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Notes to Consolidated Financial Statements</w:t>
              </w:r>
            </w:hyperlink>
          </w:p>
        </w:tc>
        <w:tc>
          <w:tcPr>
            <w:tcW w:w="6620" w:type="dxa"/>
            <w:vAlign w:val="bottom"/>
            <w:gridSpan w:val="3"/>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62</w:t>
              </w:r>
            </w:hyperlink>
          </w:p>
        </w:tc>
      </w:tr>
      <w:tr>
        <w:trPr>
          <w:trHeight w:val="20"/>
        </w:trPr>
        <w:tc>
          <w:tcPr>
            <w:tcW w:w="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financial statements of Icahn Enterprises Holdings L.P., and subsidiaries, are included in Part II, Item 8 of this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40" w:type="dxa"/>
            <w:vAlign w:val="bottom"/>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2100" w:type="dxa"/>
            <w:vAlign w:val="bottom"/>
            <w:shd w:val="clear" w:color="auto" w:fill="CCEEFF"/>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Consolidated Balance Sheets</w:t>
              </w:r>
            </w:hyperlink>
          </w:p>
        </w:tc>
        <w:tc>
          <w:tcPr>
            <w:tcW w:w="7680" w:type="dxa"/>
            <w:vAlign w:val="bottom"/>
            <w:gridSpan w:val="6"/>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57</w:t>
              </w:r>
            </w:hyperlink>
          </w:p>
        </w:tc>
      </w:tr>
      <w:tr>
        <w:trPr>
          <w:trHeight w:val="48"/>
        </w:trPr>
        <w:tc>
          <w:tcPr>
            <w:tcW w:w="40" w:type="dxa"/>
            <w:vAlign w:val="bottom"/>
            <w:tcBorders>
              <w:right w:val="single" w:sz="8" w:color="CCEEFF"/>
            </w:tcBorders>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80" w:type="dxa"/>
            <w:vAlign w:val="bottom"/>
            <w:gridSpan w:val="7"/>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Statements of Operations</w:t>
              </w:r>
            </w:hyperlink>
          </w:p>
        </w:tc>
        <w:tc>
          <w:tcPr>
            <w:tcW w:w="1580" w:type="dxa"/>
            <w:vAlign w:val="bottom"/>
            <w:gridSpan w:val="3"/>
          </w:tcPr>
          <w:p>
            <w:pPr>
              <w:jc w:val="center"/>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r>
      <w:tr>
        <w:trPr>
          <w:trHeight w:val="48"/>
        </w:trPr>
        <w:tc>
          <w:tcPr>
            <w:tcW w:w="4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9780" w:type="dxa"/>
            <w:vAlign w:val="bottom"/>
            <w:gridSpan w:val="7"/>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Comprehensive Income</w:t>
              </w:r>
            </w:hyperlink>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r>
      <w:tr>
        <w:trPr>
          <w:trHeight w:val="48"/>
        </w:trPr>
        <w:tc>
          <w:tcPr>
            <w:tcW w:w="40" w:type="dxa"/>
            <w:vAlign w:val="bottom"/>
            <w:tcBorders>
              <w:right w:val="single" w:sz="8" w:color="CCEEFF"/>
            </w:tcBorders>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740" w:type="dxa"/>
            <w:vAlign w:val="bottom"/>
            <w:gridSpan w:val="6"/>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 of Changes in Equity</w:t>
              </w:r>
            </w:hyperlink>
          </w:p>
        </w:tc>
        <w:tc>
          <w:tcPr>
            <w:tcW w:w="6040" w:type="dxa"/>
            <w:vAlign w:val="bottom"/>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r>
      <w:tr>
        <w:trPr>
          <w:trHeight w:val="48"/>
        </w:trPr>
        <w:tc>
          <w:tcPr>
            <w:tcW w:w="4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6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2880" w:type="dxa"/>
            <w:vAlign w:val="bottom"/>
            <w:gridSpan w:val="3"/>
            <w:shd w:val="clear" w:color="auto" w:fill="CCEEFF"/>
          </w:tcPr>
          <w:p>
            <w:pPr>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Cash Flows</w:t>
              </w:r>
            </w:hyperlink>
          </w:p>
        </w:tc>
        <w:tc>
          <w:tcPr>
            <w:tcW w:w="6900" w:type="dxa"/>
            <w:vAlign w:val="bottom"/>
            <w:gridSpan w:val="4"/>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61</w:t>
              </w:r>
            </w:hyperlink>
          </w:p>
        </w:tc>
      </w:tr>
      <w:tr>
        <w:trPr>
          <w:trHeight w:val="48"/>
        </w:trPr>
        <w:tc>
          <w:tcPr>
            <w:tcW w:w="40" w:type="dxa"/>
            <w:vAlign w:val="bottom"/>
            <w:tcBorders>
              <w:right w:val="single" w:sz="8" w:color="CCEEFF"/>
            </w:tcBorders>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160" w:type="dxa"/>
            <w:vAlign w:val="bottom"/>
            <w:gridSpan w:val="4"/>
          </w:tcPr>
          <w:p>
            <w:pPr>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Notes to Consolidated Financial Statements</w:t>
              </w:r>
            </w:hyperlink>
          </w:p>
        </w:tc>
        <w:tc>
          <w:tcPr>
            <w:tcW w:w="6620" w:type="dxa"/>
            <w:vAlign w:val="bottom"/>
            <w:gridSpan w:val="3"/>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62</w:t>
              </w:r>
            </w:hyperlink>
          </w:p>
        </w:tc>
      </w:tr>
      <w:tr>
        <w:trPr>
          <w:trHeight w:val="20"/>
        </w:trPr>
        <w:tc>
          <w:tcPr>
            <w:tcW w:w="40" w:type="dxa"/>
            <w:vAlign w:val="bottom"/>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6"/>
        </w:trPr>
        <w:tc>
          <w:tcPr>
            <w:tcW w:w="9820" w:type="dxa"/>
            <w:vAlign w:val="bottom"/>
            <w:gridSpan w:val="8"/>
          </w:tcPr>
          <w:p>
            <w:pPr>
              <w:spacing w:after="0"/>
              <w:rPr>
                <w:sz w:val="20"/>
                <w:szCs w:val="20"/>
                <w:color w:val="auto"/>
              </w:rPr>
            </w:pPr>
            <w:r>
              <w:rPr>
                <w:rFonts w:ascii="Arial" w:cs="Arial" w:eastAsia="Arial" w:hAnsi="Arial"/>
                <w:sz w:val="18"/>
                <w:szCs w:val="18"/>
                <w:b w:val="1"/>
                <w:bCs w:val="1"/>
                <w:color w:val="auto"/>
              </w:rPr>
              <w:t>(a)(2) Financial Statement Schedules: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2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9780" w:type="dxa"/>
            <w:vAlign w:val="bottom"/>
            <w:gridSpan w:val="3"/>
            <w:shd w:val="clear" w:color="auto" w:fill="CCEEFF"/>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Schedule I - Condensed Financial Information of Parent (Icahn Enterprises L.P.)</w:t>
              </w:r>
            </w:hyperlink>
          </w:p>
        </w:tc>
        <w:tc>
          <w:tcPr>
            <w:tcW w:w="1580" w:type="dxa"/>
            <w:vAlign w:val="bottom"/>
            <w:gridSpan w:val="3"/>
            <w:shd w:val="clear" w:color="auto" w:fill="CCEEFF"/>
          </w:tcPr>
          <w:p>
            <w:pPr>
              <w:jc w:val="center"/>
              <w:spacing w:after="0" w:line="196"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130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7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spacing w:after="0" w:line="202" w:lineRule="exact"/>
              <w:rPr>
                <w:rFonts w:ascii="Arial" w:cs="Arial" w:eastAsia="Arial" w:hAnsi="Arial"/>
                <w:sz w:val="18"/>
                <w:szCs w:val="18"/>
                <w:color w:val="0000EE"/>
                <w:w w:val="90"/>
              </w:rPr>
            </w:pPr>
            <w:hyperlink w:anchor="page139">
              <w:r>
                <w:rPr>
                  <w:rFonts w:ascii="Arial" w:cs="Arial" w:eastAsia="Arial" w:hAnsi="Arial"/>
                  <w:sz w:val="18"/>
                  <w:szCs w:val="18"/>
                  <w:color w:val="0000EE"/>
                  <w:w w:val="90"/>
                </w:rPr>
                <w:t>Schedule I - Condensed Financial Information of Parent (Icahn Enterprises Holdings L.P.)</w:t>
              </w:r>
            </w:hyperlink>
          </w:p>
        </w:tc>
        <w:tc>
          <w:tcPr>
            <w:tcW w:w="3280" w:type="dxa"/>
            <w:vAlign w:val="bottom"/>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39">
              <w:r>
                <w:rPr>
                  <w:rFonts w:ascii="Arial" w:cs="Arial" w:eastAsia="Arial" w:hAnsi="Arial"/>
                  <w:sz w:val="18"/>
                  <w:szCs w:val="18"/>
                  <w:color w:val="0000EE"/>
                  <w:w w:val="86"/>
                </w:rPr>
                <w:t>134</w:t>
              </w:r>
            </w:hyperlink>
          </w:p>
        </w:tc>
      </w:tr>
      <w:tr>
        <w:trPr>
          <w:trHeight w:val="20"/>
        </w:trPr>
        <w:tc>
          <w:tcPr>
            <w:tcW w:w="20" w:type="dxa"/>
            <w:vAlign w:val="bottom"/>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All other financial statement schedules have been omitted because the required financial information is not applicable, immaterial or the information is shown in the consolidated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list of exhibits required by Item 601 of Regulation S-K and filed as part of this Report is set forth in the 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364" w:right="25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8"/>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670"/>
              <w:spacing w:after="0"/>
              <w:rPr>
                <w:sz w:val="20"/>
                <w:szCs w:val="20"/>
                <w:color w:val="auto"/>
              </w:rPr>
            </w:pPr>
            <w:r>
              <w:rPr>
                <w:rFonts w:ascii="Arial" w:cs="Arial" w:eastAsia="Arial" w:hAnsi="Arial"/>
                <w:sz w:val="14"/>
                <w:szCs w:val="14"/>
                <w:color w:val="auto"/>
              </w:rPr>
              <w:t>(In millions, except unit amounts)</w:t>
            </w:r>
          </w:p>
        </w:tc>
      </w:tr>
      <w:tr>
        <w:trPr>
          <w:trHeight w:val="255"/>
        </w:trPr>
        <w:tc>
          <w:tcPr>
            <w:tcW w:w="7860" w:type="dxa"/>
            <w:vAlign w:val="bottom"/>
          </w:tcPr>
          <w:p>
            <w:pPr>
              <w:ind w:left="360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subsidiaries,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12,158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10,737</w:t>
            </w:r>
          </w:p>
        </w:tc>
      </w:tr>
      <w:tr>
        <w:trPr>
          <w:trHeight w:val="2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12,158</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10,737</w:t>
            </w:r>
          </w:p>
        </w:tc>
      </w:tr>
      <w:tr>
        <w:trPr>
          <w:trHeight w:val="311"/>
        </w:trPr>
        <w:tc>
          <w:tcPr>
            <w:tcW w:w="7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860" w:type="dxa"/>
            <w:vAlign w:val="bottom"/>
          </w:tcPr>
          <w:p>
            <w:pPr>
              <w:ind w:left="2780"/>
              <w:spacing w:after="0"/>
              <w:rPr>
                <w:sz w:val="20"/>
                <w:szCs w:val="20"/>
                <w:color w:val="auto"/>
              </w:rPr>
            </w:pPr>
            <w:r>
              <w:rPr>
                <w:rFonts w:ascii="Arial" w:cs="Arial" w:eastAsia="Arial" w:hAnsi="Arial"/>
                <w:sz w:val="18"/>
                <w:szCs w:val="18"/>
                <w:b w:val="1"/>
                <w:bCs w:val="1"/>
                <w:color w:val="auto"/>
              </w:rPr>
              <w:t>LIABILITIES AND EQUITY</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Debt</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5,507</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5,631</w:t>
            </w:r>
          </w:p>
        </w:tc>
      </w:tr>
      <w:tr>
        <w:trPr>
          <w:trHeight w:val="318"/>
        </w:trPr>
        <w:tc>
          <w:tcPr>
            <w:tcW w:w="78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3)</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24"/>
        </w:trPr>
        <w:tc>
          <w:tcPr>
            <w:tcW w:w="7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7860" w:type="dxa"/>
            <w:vAlign w:val="bottom"/>
          </w:tcPr>
          <w:p>
            <w:pPr>
              <w:ind w:left="100"/>
              <w:spacing w:after="0"/>
              <w:rPr>
                <w:sz w:val="20"/>
                <w:szCs w:val="20"/>
                <w:color w:val="auto"/>
              </w:rPr>
            </w:pPr>
            <w:r>
              <w:rPr>
                <w:rFonts w:ascii="Arial" w:cs="Arial" w:eastAsia="Arial" w:hAnsi="Arial"/>
                <w:sz w:val="18"/>
                <w:szCs w:val="18"/>
                <w:color w:val="auto"/>
              </w:rPr>
              <w:t>Limited partners: Depositary units: 191,366,097 and 173,564,307 units issued and outstanding at</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860" w:type="dxa"/>
            <w:vAlign w:val="bottom"/>
          </w:tcPr>
          <w:p>
            <w:pPr>
              <w:ind w:left="200"/>
              <w:spacing w:after="0"/>
              <w:rPr>
                <w:sz w:val="20"/>
                <w:szCs w:val="20"/>
                <w:color w:val="auto"/>
              </w:rPr>
            </w:pPr>
            <w:r>
              <w:rPr>
                <w:rFonts w:ascii="Arial" w:cs="Arial" w:eastAsia="Arial" w:hAnsi="Arial"/>
                <w:sz w:val="18"/>
                <w:szCs w:val="18"/>
                <w:color w:val="auto"/>
              </w:rPr>
              <w:t>December 31, 2018 and 2017, respectively</w:t>
            </w:r>
          </w:p>
        </w:tc>
        <w:tc>
          <w:tcPr>
            <w:tcW w:w="40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7,319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5,341</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General partner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6,529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5,106</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12,158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10,737</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580"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380"/>
          </w:cols>
          <w:pgMar w:left="260" w:top="580" w:right="259"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97"/>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w:t>
            </w:r>
          </w:p>
        </w:tc>
      </w:tr>
      <w:tr>
        <w:trPr>
          <w:trHeight w:val="23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allocated to:</w:t>
            </w:r>
          </w:p>
        </w:tc>
        <w:tc>
          <w:tcPr>
            <w:tcW w:w="1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40" w:type="dxa"/>
            <w:vAlign w:val="bottom"/>
          </w:tcPr>
          <w:p>
            <w:pPr>
              <w:ind w:left="260"/>
              <w:spacing w:after="0"/>
              <w:rPr>
                <w:sz w:val="20"/>
                <w:szCs w:val="20"/>
                <w:color w:val="auto"/>
              </w:rPr>
            </w:pPr>
            <w:r>
              <w:rPr>
                <w:rFonts w:ascii="Arial" w:cs="Arial" w:eastAsia="Arial" w:hAnsi="Arial"/>
                <w:sz w:val="18"/>
                <w:szCs w:val="18"/>
                <w:color w:val="auto"/>
              </w:rPr>
              <w:t>Limited partners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2,063</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partner</w:t>
            </w: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604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w:t>
            </w:r>
          </w:p>
        </w:tc>
      </w:tr>
      <w:tr>
        <w:trPr>
          <w:trHeight w:val="27"/>
        </w:trPr>
        <w:tc>
          <w:tcPr>
            <w:tcW w:w="6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364"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380"/>
          </w:cols>
          <w:pgMar w:left="260" w:top="364" w:right="25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w w:val="91"/>
              </w:rPr>
              <w:t>Adjustments to reconcile net income (loss) to net cash used in operating activities:</w:t>
            </w: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in (income) loss of subsidiary</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(1,844)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Net investment in and advances from subsidiary</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Partnership contributions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borrowings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Repayments of borrowings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Net change in cash and cash equivalents and restricted cash and restricted</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cash equivalents</w:t>
            </w:r>
          </w:p>
        </w:tc>
        <w:tc>
          <w:tcPr>
            <w:tcW w:w="1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w w:val="95"/>
              </w:rPr>
              <w:t>Cash and cash equivalents and restricted cash and restricted cash equivalents,</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0"/>
              <w:spacing w:after="0"/>
              <w:rPr>
                <w:sz w:val="20"/>
                <w:szCs w:val="20"/>
                <w:color w:val="auto"/>
              </w:rPr>
            </w:pPr>
            <w:r>
              <w:rPr>
                <w:rFonts w:ascii="Arial" w:cs="Arial" w:eastAsia="Arial" w:hAnsi="Arial"/>
                <w:sz w:val="18"/>
                <w:szCs w:val="18"/>
                <w:color w:val="auto"/>
              </w:rPr>
              <w:t>beginning of period</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Cash and cash equivalents and restricted cash and restricted cash equivalents, end</w:t>
            </w:r>
          </w:p>
        </w:tc>
        <w:tc>
          <w:tcPr>
            <w:tcW w:w="110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period</w:t>
            </w:r>
          </w:p>
        </w:tc>
        <w:tc>
          <w:tcPr>
            <w:tcW w:w="110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460" w:type="dxa"/>
            <w:vAlign w:val="bottom"/>
            <w:gridSpan w:val="3"/>
            <w:vMerge w:val="continue"/>
            <w:shd w:val="clear" w:color="auto" w:fill="CCEEFF"/>
          </w:tcPr>
          <w:p>
            <w:pPr>
              <w:spacing w:after="0"/>
              <w:rPr>
                <w:sz w:val="20"/>
                <w:szCs w:val="20"/>
                <w:color w:val="auto"/>
              </w:rPr>
            </w:pPr>
          </w:p>
        </w:tc>
        <w:tc>
          <w:tcPr>
            <w:tcW w:w="1500" w:type="dxa"/>
            <w:vAlign w:val="bottom"/>
            <w:gridSpan w:val="2"/>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-334010</wp:posOffset>
            </wp:positionV>
            <wp:extent cx="38334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334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-960120</wp:posOffset>
            </wp:positionV>
            <wp:extent cx="38334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364"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1380"/>
          </w:cols>
          <w:pgMar w:left="260" w:top="364" w:right="259" w:bottom="1440" w:gutter="0" w:footer="0" w:header="0"/>
          <w:type w:val="continuous"/>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ICAHN ENTERPRISES L.P. (Parent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jc w:val="both"/>
        <w:ind w:right="140" w:firstLine="378"/>
        <w:spacing w:after="0" w:line="288" w:lineRule="auto"/>
        <w:rPr>
          <w:sz w:val="20"/>
          <w:szCs w:val="20"/>
          <w:color w:val="auto"/>
        </w:rPr>
      </w:pPr>
      <w:r>
        <w:rPr>
          <w:rFonts w:ascii="Arial" w:cs="Arial" w:eastAsia="Arial" w:hAnsi="Arial"/>
          <w:sz w:val="16"/>
          <w:szCs w:val="16"/>
          <w:color w:val="auto"/>
        </w:rPr>
        <w:t>Icahn Enterprises, L.P. (“Icahn Enterprises”) is a master limited partnership formed in Delaware on February 17, 1987. We own a 99% limited partner interest in Icahn Enterprises Holdings L.P. (''Icahn Enterprises Holdings''). Icahn Enterprises Holdings and its subsidiaries own substantially all of our assets and liabilities and conduct substantially all of our operations. Icahn Enterprises G.P. Inc., our sole general partner, which is owned and controlled by Carl C.</w:t>
      </w:r>
    </w:p>
    <w:p>
      <w:pPr>
        <w:ind w:right="60"/>
        <w:spacing w:after="0" w:line="255" w:lineRule="auto"/>
        <w:rPr>
          <w:sz w:val="20"/>
          <w:szCs w:val="20"/>
          <w:color w:val="auto"/>
        </w:rPr>
      </w:pPr>
      <w:r>
        <w:rPr>
          <w:rFonts w:ascii="Arial" w:cs="Arial" w:eastAsia="Arial" w:hAnsi="Arial"/>
          <w:sz w:val="18"/>
          <w:szCs w:val="18"/>
          <w:color w:val="auto"/>
        </w:rPr>
        <w:t xml:space="preserve">Icahn, owns a 1% general partner interest in both us and Icahn Enterprises Holdings, representing an aggregate 1.99% general partner interest in us and Icahn Enterprises Holdings. As of December 31, 2018, Icahn Enterprises is engaged in the following continuing operating businesses: </w:t>
      </w:r>
      <w:r>
        <w:rPr>
          <w:rFonts w:ascii="Arial" w:cs="Arial" w:eastAsia="Arial" w:hAnsi="Arial"/>
          <w:sz w:val="18"/>
          <w:szCs w:val="18"/>
          <w:color w:val="231F20"/>
        </w:rPr>
        <w:t>Investment, Energy,</w:t>
      </w:r>
      <w:r>
        <w:rPr>
          <w:rFonts w:ascii="Arial" w:cs="Arial" w:eastAsia="Arial" w:hAnsi="Arial"/>
          <w:sz w:val="18"/>
          <w:szCs w:val="18"/>
          <w:color w:val="auto"/>
        </w:rPr>
        <w:t xml:space="preserve"> </w:t>
      </w:r>
      <w:r>
        <w:rPr>
          <w:rFonts w:ascii="Arial" w:cs="Arial" w:eastAsia="Arial" w:hAnsi="Arial"/>
          <w:sz w:val="18"/>
          <w:szCs w:val="18"/>
          <w:color w:val="231F20"/>
        </w:rPr>
        <w:t>Automotive, Food Packaging, Metals, Real Estate, Home Fashion and Mining</w:t>
      </w:r>
      <w:r>
        <w:rPr>
          <w:rFonts w:ascii="Arial" w:cs="Arial" w:eastAsia="Arial" w:hAnsi="Arial"/>
          <w:sz w:val="18"/>
          <w:szCs w:val="18"/>
          <w:color w:val="000000"/>
        </w:rPr>
        <w:t>.</w:t>
      </w:r>
    </w:p>
    <w:p>
      <w:pPr>
        <w:spacing w:after="0" w:line="82"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For the years ended December 31, 2018, 2017 and 2016, Icahn Enterprises received (paid) $433 million, $(204) million and $390 million, respectively, for (investments in) dividends and distributions from consolidated subsidiaries.</w:t>
      </w:r>
    </w:p>
    <w:p>
      <w:pPr>
        <w:spacing w:after="0" w:line="62"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The condensed financial statements of Icahn Enterprises should be read in conjunction with the consolidated financial statements and notes thereto included in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121"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See Note 10, “Debt,” to the consolidated financial statements located in Item 8 of this Report. Icahn Enterprises' Parent company debt consists of the following:</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5,507</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17, “Commitments and Contingencies,”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72" w:right="25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(Parent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320"/>
              <w:spacing w:after="0"/>
              <w:rPr>
                <w:sz w:val="20"/>
                <w:szCs w:val="20"/>
                <w:color w:val="auto"/>
              </w:rPr>
            </w:pPr>
            <w:r>
              <w:rPr>
                <w:rFonts w:ascii="Arial" w:cs="Arial" w:eastAsia="Arial" w:hAnsi="Arial"/>
                <w:sz w:val="18"/>
                <w:szCs w:val="18"/>
                <w:b w:val="1"/>
                <w:bCs w:val="1"/>
                <w:color w:val="auto"/>
              </w:rPr>
              <w:t>CONDENSED BALANCE SHEETS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r>
      <w:tr>
        <w:trPr>
          <w:trHeight w:val="255"/>
        </w:trPr>
        <w:tc>
          <w:tcPr>
            <w:tcW w:w="834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11,355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12,197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10,793</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5,532</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5,640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5,660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5,420</w:t>
            </w:r>
          </w:p>
        </w:tc>
      </w:tr>
      <w:tr>
        <w:trPr>
          <w:trHeight w:val="243"/>
        </w:trPr>
        <w:tc>
          <w:tcPr>
            <w:tcW w:w="834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12,197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10,793</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52914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52914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-2203450</wp:posOffset>
            </wp:positionV>
            <wp:extent cx="52914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420"/>
          </w:cols>
          <w:pgMar w:left="240" w:top="5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1420"/>
          </w:cols>
          <w:pgMar w:left="240" w:top="526" w:right="239" w:bottom="1440" w:gutter="0" w:footer="0" w:header="0"/>
          <w:type w:val="continuous"/>
        </w:sectPr>
      </w:pPr>
    </w:p>
    <w:bookmarkStart w:id="139" w:name="page140"/>
    <w:bookmarkEnd w:id="139"/>
    <w:p>
      <w:pPr>
        <w:jc w:val="center"/>
        <w:ind w:right="4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dividend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(loss) gain from investment activities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disposition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Equity in earnings (loss) of subsidiaries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64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allocated to:</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Limited partner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partner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64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4064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-1122680</wp:posOffset>
            </wp:positionV>
            <wp:extent cx="40646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See notes to condensed financial statements.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526" w:right="239" w:bottom="144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8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w w:val="97"/>
              </w:rPr>
              <w:t>Adjustments to reconcile net income (loss) to net cash used in operating activities: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in (income) loss of subsidiary</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(Gain) loss on disposition of assets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Investment gains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 distributions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Partner contributions</w:t>
            </w:r>
          </w:p>
        </w:tc>
        <w:tc>
          <w:tcPr>
            <w:tcW w:w="10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Repayments of borrowings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0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1"/>
              </w:rPr>
              <w:t>Net change in cash and cash equivalents and restricted cash and restricted cash</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equivalents</w:t>
            </w: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w w:val="88"/>
              </w:rPr>
              <w:t>Cash and cash equivalents and restricted cash and restricted cash equivalents, beginning</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0"/>
              <w:spacing w:after="0"/>
              <w:rPr>
                <w:sz w:val="20"/>
                <w:szCs w:val="20"/>
                <w:color w:val="auto"/>
              </w:rPr>
            </w:pPr>
            <w:r>
              <w:rPr>
                <w:rFonts w:ascii="Arial" w:cs="Arial" w:eastAsia="Arial" w:hAnsi="Arial"/>
                <w:sz w:val="18"/>
                <w:szCs w:val="18"/>
                <w:color w:val="auto"/>
              </w:rPr>
              <w:t>of period</w:t>
            </w:r>
          </w:p>
        </w:tc>
        <w:tc>
          <w:tcPr>
            <w:tcW w:w="10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Cash and cash equivalents and restricted cash and restricted cash equivalents, end of</w:t>
            </w:r>
          </w:p>
        </w:tc>
        <w:tc>
          <w:tcPr>
            <w:tcW w:w="102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40646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4064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-1320165</wp:posOffset>
            </wp:positionV>
            <wp:extent cx="4064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-2366010</wp:posOffset>
            </wp:positionV>
            <wp:extent cx="40646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-3069590</wp:posOffset>
            </wp:positionV>
            <wp:extent cx="40646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420"/>
          </w:cols>
          <w:pgMar w:left="240" w:top="5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1420"/>
          </w:cols>
          <w:pgMar w:left="240" w:top="526" w:right="239" w:bottom="1440" w:gutter="0" w:footer="0" w:header="0"/>
          <w:type w:val="continuous"/>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ICAHN ENTERPRISES HOLDINGS L.P. (Parent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67" w:lineRule="exact"/>
        <w:rPr>
          <w:sz w:val="20"/>
          <w:szCs w:val="20"/>
          <w:color w:val="auto"/>
        </w:rPr>
      </w:pPr>
    </w:p>
    <w:p>
      <w:pPr>
        <w:ind w:right="200" w:firstLine="270"/>
        <w:spacing w:after="0" w:line="279" w:lineRule="auto"/>
        <w:rPr>
          <w:sz w:val="20"/>
          <w:szCs w:val="20"/>
          <w:color w:val="auto"/>
        </w:rPr>
      </w:pPr>
      <w:r>
        <w:rPr>
          <w:rFonts w:ascii="Arial" w:cs="Arial" w:eastAsia="Arial" w:hAnsi="Arial"/>
          <w:sz w:val="17"/>
          <w:szCs w:val="17"/>
          <w:color w:val="auto"/>
        </w:rPr>
        <w:t xml:space="preserve">Icahn Enterprises Holdings L.P. (“Icahn Enterprises Holdings”) is a limited partnership formed in Delaware on February 17, 1987. Our sole limited partner is Icahn Enterprises L.P., a master limited partnership which owns a 99% interest in us. Icahn Enterprises G.P. Inc., our sole 1% general partner, is a Delaware corporation which is owned and controlled by Carl C. Icahn. As of December 31, 2018, Icahn Enterprises Holdings is engaged in the following continuing operating businesses: </w:t>
      </w:r>
      <w:r>
        <w:rPr>
          <w:rFonts w:ascii="Arial" w:cs="Arial" w:eastAsia="Arial" w:hAnsi="Arial"/>
          <w:sz w:val="17"/>
          <w:szCs w:val="17"/>
          <w:color w:val="231F20"/>
        </w:rPr>
        <w:t>Investment, Energy, Automotive, Food Packaging, Metals, Real Estate, Home Fashion and Mining</w:t>
      </w:r>
      <w:r>
        <w:rPr>
          <w:rFonts w:ascii="Arial" w:cs="Arial" w:eastAsia="Arial" w:hAnsi="Arial"/>
          <w:sz w:val="17"/>
          <w:szCs w:val="17"/>
          <w:color w:val="auto"/>
        </w:rPr>
        <w:t>.</w:t>
      </w:r>
    </w:p>
    <w:p>
      <w:pPr>
        <w:spacing w:after="0" w:line="63"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For the years ended December 31, 2018, 2017 and 2016, Icahn Enterprises Holdings received $238 million, $509 million and $421 million, respectively, in dividends and distributions from consolidated subsidiaries.</w:t>
      </w:r>
    </w:p>
    <w:p>
      <w:pPr>
        <w:spacing w:after="0" w:line="8"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The condensed financial statements of Icahn Enterprises Holdings should be read in conjunction with the consolidated financial statements and notes thereto included in Item 8 of this Report.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67"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See Note 10, “Debt,” to the consolidated financial statements located in Item 8 of this Report. Icahn Enterprises Holdings' Parent company debt consists of the following:</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1,343</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499</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Mortgages payable</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5,509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5,532</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17, “Commitments and Contingencies,”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526" w:right="25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584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Keith Cozza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Chief Executive Officer and Director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pacing w:after="0" w:line="225" w:lineRule="exact"/>
        <w:rPr>
          <w:sz w:val="20"/>
          <w:szCs w:val="20"/>
          <w:color w:val="auto"/>
        </w:rPr>
      </w:pPr>
    </w:p>
    <w:p>
      <w:pPr>
        <w:ind w:right="240" w:firstLine="270"/>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L.P., and on behalf of the registrant and on the dates indicated below by the following persons in the capacities and on the dates indicated.</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ind w:left="12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Arial" w:cs="Arial" w:eastAsia="Arial" w:hAnsi="Arial"/>
                <w:sz w:val="18"/>
                <w:szCs w:val="18"/>
                <w:b w:val="1"/>
                <w:bCs w:val="1"/>
                <w:color w:val="auto"/>
              </w:rPr>
              <w:t>Title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561"/>
        </w:trPr>
        <w:tc>
          <w:tcPr>
            <w:tcW w:w="3200" w:type="dxa"/>
            <w:vAlign w:val="bottom"/>
          </w:tcPr>
          <w:p>
            <w:pPr>
              <w:ind w:left="20"/>
              <w:spacing w:after="0"/>
              <w:rPr>
                <w:sz w:val="20"/>
                <w:szCs w:val="20"/>
                <w:color w:val="auto"/>
              </w:rPr>
            </w:pPr>
            <w:r>
              <w:rPr>
                <w:rFonts w:ascii="Arial" w:cs="Arial" w:eastAsia="Arial" w:hAnsi="Arial"/>
                <w:sz w:val="18"/>
                <w:szCs w:val="18"/>
                <w:color w:val="auto"/>
              </w:rPr>
              <w:t>/s/Keith Cozza</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Keith Cozza</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/s/SungHwan Cho</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Chief Financial Officer and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SungHwan Cho</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/s/Peter Reck</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Chief Accounting Officer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Peter Reck</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/s/Michael Nevin</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Managing Director of Icahn Enterprises and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Michael Nevin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/s/Jack G. Wasserman</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Jack G. Wasserman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/s/William A. Leidesdorf</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William A. Leidesdorf</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/s/James L. Nelson</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James L. Nelson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2260" w:type="dxa"/>
            <w:vAlign w:val="bottom"/>
          </w:tcPr>
          <w:p>
            <w:pPr>
              <w:spacing w:after="0"/>
              <w:rPr>
                <w:sz w:val="24"/>
                <w:szCs w:val="24"/>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Carl C. Icahn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86"/>
        </w:trPr>
        <w:tc>
          <w:tcPr>
            <w:tcW w:w="3200" w:type="dxa"/>
            <w:vAlign w:val="bottom"/>
          </w:tcPr>
          <w:p>
            <w:pPr>
              <w:spacing w:after="0"/>
              <w:rPr>
                <w:sz w:val="24"/>
                <w:szCs w:val="24"/>
                <w:color w:val="auto"/>
              </w:rPr>
            </w:pPr>
          </w:p>
        </w:tc>
        <w:tc>
          <w:tcPr>
            <w:tcW w:w="5800" w:type="dxa"/>
            <w:vAlign w:val="bottom"/>
            <w:gridSpan w:val="2"/>
          </w:tcPr>
          <w:p>
            <w:pPr>
              <w:jc w:val="right"/>
              <w:ind w:right="309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00"/>
          </w:cols>
          <w:pgMar w:left="240" w:top="364" w:right="25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58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Keith Cozza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Chief Executive Officer and Director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pacing w:after="0" w:line="225" w:lineRule="exact"/>
        <w:rPr>
          <w:sz w:val="20"/>
          <w:szCs w:val="20"/>
          <w:color w:val="auto"/>
        </w:rPr>
      </w:pPr>
    </w:p>
    <w:p>
      <w:pPr>
        <w:ind w:right="240" w:firstLine="270"/>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Holdings L.P., and on behalf of the registrant and on the dates indicated below by the following persons in the capacities and on the dates indicated.</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ind w:left="12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Arial" w:cs="Arial" w:eastAsia="Arial" w:hAnsi="Arial"/>
                <w:sz w:val="18"/>
                <w:szCs w:val="18"/>
                <w:b w:val="1"/>
                <w:bCs w:val="1"/>
                <w:color w:val="auto"/>
              </w:rPr>
              <w:t>Title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561"/>
        </w:trPr>
        <w:tc>
          <w:tcPr>
            <w:tcW w:w="3200" w:type="dxa"/>
            <w:vAlign w:val="bottom"/>
          </w:tcPr>
          <w:p>
            <w:pPr>
              <w:ind w:left="20"/>
              <w:spacing w:after="0"/>
              <w:rPr>
                <w:sz w:val="20"/>
                <w:szCs w:val="20"/>
                <w:color w:val="auto"/>
              </w:rPr>
            </w:pPr>
            <w:r>
              <w:rPr>
                <w:rFonts w:ascii="Arial" w:cs="Arial" w:eastAsia="Arial" w:hAnsi="Arial"/>
                <w:sz w:val="18"/>
                <w:szCs w:val="18"/>
                <w:color w:val="auto"/>
              </w:rPr>
              <w:t>/s/Keith Cozza</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Keith Cozza</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/s/SungHwan Cho</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Chief Financial Officer and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SungHwan Cho</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/s/Peter Reck</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Chief Accounting Officer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Peter Reck</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/s/Michael Nevin</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Managing Director of Icahn Enterprises and 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Michael Nevin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/s/Jack G. Wasserman</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Jack G. Wasserman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/s/William A. Leidesdorf</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William A. Leidesdorf</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ind w:left="20"/>
              <w:spacing w:after="0"/>
              <w:rPr>
                <w:sz w:val="20"/>
                <w:szCs w:val="20"/>
                <w:color w:val="auto"/>
              </w:rPr>
            </w:pPr>
            <w:r>
              <w:rPr>
                <w:rFonts w:ascii="Arial" w:cs="Arial" w:eastAsia="Arial" w:hAnsi="Arial"/>
                <w:sz w:val="18"/>
                <w:szCs w:val="18"/>
                <w:color w:val="auto"/>
              </w:rPr>
              <w:t>/s/James L. Nelson</w:t>
            </w: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March 1, 2019</w:t>
            </w: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James L. Nelson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2260" w:type="dxa"/>
            <w:vAlign w:val="bottom"/>
          </w:tcPr>
          <w:p>
            <w:pPr>
              <w:spacing w:after="0"/>
              <w:rPr>
                <w:sz w:val="24"/>
                <w:szCs w:val="24"/>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Carl C. Icahn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918"/>
        </w:trPr>
        <w:tc>
          <w:tcPr>
            <w:tcW w:w="3200" w:type="dxa"/>
            <w:vAlign w:val="bottom"/>
          </w:tcPr>
          <w:p>
            <w:pPr>
              <w:spacing w:after="0"/>
              <w:rPr>
                <w:sz w:val="24"/>
                <w:szCs w:val="24"/>
                <w:color w:val="auto"/>
              </w:rPr>
            </w:pPr>
          </w:p>
        </w:tc>
        <w:tc>
          <w:tcPr>
            <w:tcW w:w="5800" w:type="dxa"/>
            <w:vAlign w:val="bottom"/>
            <w:gridSpan w:val="2"/>
          </w:tcPr>
          <w:p>
            <w:pPr>
              <w:jc w:val="right"/>
              <w:ind w:right="309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00"/>
          </w:cols>
          <w:pgMar w:left="240" w:top="364" w:right="25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20" w:type="dxa"/>
            <w:vAlign w:val="bottom"/>
            <w:gridSpan w:val="28"/>
          </w:tcPr>
          <w:p>
            <w:pPr>
              <w:jc w:val="center"/>
              <w:ind w:right="458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24"/>
          </w:tcPr>
          <w:p>
            <w:pPr>
              <w:ind w:left="5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Agreement and Plan of Merger, dated as of September 6, 2016, by and among Federal Mogul Holdings Corporation, American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FF"/>
                <w:w w:val="96"/>
              </w:rPr>
            </w:pPr>
            <w:hyperlink r:id="rId44">
              <w:r>
                <w:rPr>
                  <w:rFonts w:ascii="Arial" w:cs="Arial" w:eastAsia="Arial" w:hAnsi="Arial"/>
                  <w:sz w:val="18"/>
                  <w:szCs w:val="18"/>
                  <w:color w:val="0000FF"/>
                  <w:w w:val="96"/>
                </w:rPr>
                <w:t>Entertainment Properties Corp. and IEH FM Holdings LLC (incorporated by reference to Exhibit 2.1 to Icahn Enterprises' Form 8-K</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(SEC File No. 1-9516), filed on September 7, 2016).</w:t>
              </w:r>
            </w:hyperlink>
          </w:p>
        </w:tc>
        <w:tc>
          <w:tcPr>
            <w:tcW w:w="460" w:type="dxa"/>
            <w:vAlign w:val="bottom"/>
            <w:gridSpan w:val="1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20" w:type="dxa"/>
            <w:vAlign w:val="bottom"/>
            <w:tcBorders>
              <w:bottom w:val="single" w:sz="8" w:color="0000FF"/>
            </w:tcBorders>
            <w:gridSpan w:val="18"/>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Equity Asset and Purchase Agreement, dated as of December 16, 2016, by and among American Railcar Leasing LLC, American</w:t>
              </w:r>
            </w:hyperlink>
          </w:p>
        </w:tc>
        <w:tc>
          <w:tcPr>
            <w:tcW w:w="680" w:type="dxa"/>
            <w:vAlign w:val="bottom"/>
            <w:gridSpan w:val="16"/>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31"/>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Entertainment Properties Corp., AEP Rail Corp., SMBC Rail Services LLC and Sumitomo Mitsui Banking Corporation (incorporated by</w:t>
              </w:r>
            </w:hyperlink>
          </w:p>
        </w:tc>
        <w:tc>
          <w:tcPr>
            <w:tcW w:w="12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reference to Exhibit 2.1 to Icahn Enterprises' and Icahn Enterprises Holdings' joint Form 8-K (SEC File Nos. 1-9516 and 333-118021-01,</w:t>
              </w:r>
            </w:hyperlink>
          </w:p>
        </w:tc>
        <w:tc>
          <w:tcPr>
            <w:tcW w:w="12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respectively), filed on December 19, 2016).</w:t>
              </w:r>
            </w:hyperlink>
          </w:p>
        </w:tc>
        <w:tc>
          <w:tcPr>
            <w:tcW w:w="6860" w:type="dxa"/>
            <w:vAlign w:val="bottom"/>
            <w:gridSpan w:val="29"/>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34"/>
          </w:tcPr>
          <w:p>
            <w:pPr>
              <w:spacing w:after="0"/>
              <w:rPr>
                <w:rFonts w:ascii="Arial" w:cs="Arial" w:eastAsia="Arial" w:hAnsi="Arial"/>
                <w:sz w:val="18"/>
                <w:szCs w:val="18"/>
                <w:color w:val="0000FF"/>
              </w:rPr>
            </w:pPr>
            <w:hyperlink r:id="rId46">
              <w:r>
                <w:rPr>
                  <w:rFonts w:ascii="Arial" w:cs="Arial" w:eastAsia="Arial" w:hAnsi="Arial"/>
                  <w:sz w:val="18"/>
                  <w:szCs w:val="18"/>
                  <w:color w:val="0000FF"/>
                </w:rPr>
                <w:t>Membership Interest Purchase Agreement, dated April 10, 2018, by and among Tenneco Inc., Federal-Mogul LLC, American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FF"/>
                <w:w w:val="95"/>
              </w:rPr>
            </w:pPr>
            <w:hyperlink r:id="rId46">
              <w:r>
                <w:rPr>
                  <w:rFonts w:ascii="Arial" w:cs="Arial" w:eastAsia="Arial" w:hAnsi="Arial"/>
                  <w:sz w:val="18"/>
                  <w:szCs w:val="18"/>
                  <w:color w:val="0000FF"/>
                  <w:w w:val="95"/>
                </w:rPr>
                <w:t>Entertainment Properties Corp., and Icahn Enterprises L.P. (incorporated by reference to Exhibit 2.1 to Icahn Enterprises' and Icahn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Enterprises Holdings' joint Form 8-K (SEC File Nos. 1-9516 and 333-118021-01, respectively) file April 10, 2018).</w:t>
              </w:r>
            </w:hyperlink>
          </w:p>
        </w:tc>
        <w:tc>
          <w:tcPr>
            <w:tcW w:w="1120" w:type="dxa"/>
            <w:vAlign w:val="bottom"/>
            <w:tcBorders>
              <w:top w:val="single" w:sz="8" w:color="0000FF"/>
            </w:tcBorders>
            <w:gridSpan w:val="6"/>
          </w:tcPr>
          <w:p>
            <w:pPr>
              <w:spacing w:after="0"/>
              <w:rPr>
                <w:sz w:val="17"/>
                <w:szCs w:val="17"/>
                <w:color w:val="auto"/>
              </w:rPr>
            </w:pPr>
          </w:p>
        </w:tc>
        <w:tc>
          <w:tcPr>
            <w:tcW w:w="540" w:type="dxa"/>
            <w:vAlign w:val="bottom"/>
            <w:gridSpan w:val="14"/>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80" w:type="dxa"/>
            <w:vAlign w:val="bottom"/>
            <w:tcBorders>
              <w:bottom w:val="single" w:sz="8" w:color="0000FF"/>
            </w:tcBorders>
            <w:gridSpan w:val="24"/>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Agreement and Plan of Merger, dated April 15, 2018, by and among Eldorado Resorts, Inc., Delta Merger Sub, Inc., GLP Capital, L.P.</w:t>
              </w:r>
            </w:hyperlink>
          </w:p>
        </w:tc>
        <w:tc>
          <w:tcPr>
            <w:tcW w:w="320" w:type="dxa"/>
            <w:vAlign w:val="bottom"/>
            <w:gridSpan w:val="10"/>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FF"/>
                <w:w w:val="94"/>
              </w:rPr>
            </w:pPr>
            <w:hyperlink r:id="rId47">
              <w:r>
                <w:rPr>
                  <w:rFonts w:ascii="Arial" w:cs="Arial" w:eastAsia="Arial" w:hAnsi="Arial"/>
                  <w:sz w:val="18"/>
                  <w:szCs w:val="18"/>
                  <w:color w:val="0000FF"/>
                  <w:w w:val="94"/>
                </w:rPr>
                <w:t>and Tropicana Entertainment Inc. (incorporated by reference to Exhibit 2.1 to Icahn Enterprises' and Icahn Enterprises Holdings' joint</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Form 8-K (SEC File Nos. 1-9516 and 333-118021-01, respectively) file April 16, 2018).</w:t>
              </w:r>
            </w:hyperlink>
          </w:p>
        </w:tc>
        <w:tc>
          <w:tcPr>
            <w:tcW w:w="380" w:type="dxa"/>
            <w:vAlign w:val="bottom"/>
            <w:gridSpan w:val="11"/>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80" w:type="dxa"/>
            <w:vAlign w:val="bottom"/>
            <w:tcBorders>
              <w:bottom w:val="single" w:sz="8" w:color="0000FF"/>
            </w:tcBorders>
            <w:gridSpan w:val="24"/>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Agreement and Plan of Merger, dated as of October 22, 2018, by and between STL Parent Corp. and American Railcar Industries, Inc.</w:t>
              </w:r>
            </w:hyperlink>
          </w:p>
        </w:tc>
        <w:tc>
          <w:tcPr>
            <w:tcW w:w="320" w:type="dxa"/>
            <w:vAlign w:val="bottom"/>
            <w:gridSpan w:val="10"/>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(incorporated by reference to Exhibit 2.1 to Icahn Enterprises' and Icahn Enterprises Holdings' joint Form 8-K (SEC File Nos. 1-9516 and</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333-118021-01, respectively) file October 22, 2018).</w:t>
              </w:r>
            </w:hyperlink>
          </w:p>
        </w:tc>
        <w:tc>
          <w:tcPr>
            <w:tcW w:w="8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00" w:type="dxa"/>
            <w:vAlign w:val="bottom"/>
            <w:tcBorders>
              <w:bottom w:val="single" w:sz="8" w:color="0000FF"/>
            </w:tcBorders>
            <w:gridSpan w:val="17"/>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Certificate of Limited Partnership of Icahn Enterprises L.P., f/k/a American Real Estate Partners, L.P. (“Icahn Enterprises”) dated</w:t>
              </w:r>
            </w:hyperlink>
          </w:p>
        </w:tc>
        <w:tc>
          <w:tcPr>
            <w:tcW w:w="700" w:type="dxa"/>
            <w:vAlign w:val="bottom"/>
            <w:gridSpan w:val="17"/>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February 17, 1987, as thereafter amended from time to time (incorporated by reference to Exhibit 3.1 to Icahn Enterprises' Form 8-K</w:t>
              </w:r>
            </w:hyperlink>
          </w:p>
        </w:tc>
        <w:tc>
          <w:tcPr>
            <w:tcW w:w="44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(SEC File No. 1-9516), filed on September 20, 2007).</w:t>
              </w:r>
            </w:hyperlink>
          </w:p>
        </w:tc>
        <w:tc>
          <w:tcPr>
            <w:tcW w:w="6120" w:type="dxa"/>
            <w:vAlign w:val="bottom"/>
            <w:gridSpan w:val="25"/>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80" w:type="dxa"/>
            <w:vAlign w:val="bottom"/>
            <w:tcBorders>
              <w:bottom w:val="single" w:sz="8" w:color="0000FF"/>
            </w:tcBorders>
            <w:gridSpan w:val="28"/>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Certificate of Limited Partnership of Icahn Enterprises Holdings L.P., f/k/a American Real Estate Holdings Limited Partnership (“Icahn</w:t>
              </w:r>
            </w:hyperlink>
          </w:p>
        </w:tc>
        <w:tc>
          <w:tcPr>
            <w:tcW w:w="220" w:type="dxa"/>
            <w:vAlign w:val="bottom"/>
            <w:gridSpan w:val="6"/>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Enterprises Holdings”), dated February 17, 1987, as amended pursuant to the First Amendment thereto, dated March 10, 1987</w:t>
              </w:r>
            </w:hyperlink>
          </w:p>
        </w:tc>
        <w:tc>
          <w:tcPr>
            <w:tcW w:w="880" w:type="dxa"/>
            <w:vAlign w:val="bottom"/>
            <w:gridSpan w:val="1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(incorporated by reference to Exhibit 3.5 to Icahn Enterprises' Form 10-Q for the quarter ended March 31, 2004 (SEC File No. 1-9516),</w:t>
              </w:r>
            </w:hyperlink>
          </w:p>
        </w:tc>
        <w:tc>
          <w:tcPr>
            <w:tcW w:w="22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filed on May 10, 2004, as further amended pursuant to the Certificate of Amendment thereto, dated September 17, 2007 (incorporated by</w:t>
              </w:r>
            </w:hyperlink>
          </w:p>
        </w:tc>
        <w:tc>
          <w:tcPr>
            <w:tcW w:w="12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reference to Exhibit 3.9 to Icahn Enterprises' Form 10-K for the year ended December 31, 2007 (SEC File No. 1-9516), filed on March</w:t>
              </w:r>
            </w:hyperlink>
          </w:p>
        </w:tc>
        <w:tc>
          <w:tcPr>
            <w:tcW w:w="28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ind w:left="40"/>
              <w:spacing w:after="0" w:line="196" w:lineRule="exact"/>
              <w:rPr>
                <w:rFonts w:ascii="Arial" w:cs="Arial" w:eastAsia="Arial" w:hAnsi="Arial"/>
                <w:sz w:val="18"/>
                <w:szCs w:val="18"/>
                <w:color w:val="0000FF"/>
                <w:w w:val="86"/>
              </w:rPr>
            </w:pPr>
            <w:hyperlink r:id="rId50">
              <w:r>
                <w:rPr>
                  <w:rFonts w:ascii="Arial" w:cs="Arial" w:eastAsia="Arial" w:hAnsi="Arial"/>
                  <w:sz w:val="18"/>
                  <w:szCs w:val="18"/>
                  <w:color w:val="0000FF"/>
                  <w:w w:val="86"/>
                </w:rPr>
                <w:t>17, 2008).</w:t>
              </w:r>
            </w:hyperlink>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34"/>
          </w:tcPr>
          <w:p>
            <w:pPr>
              <w:spacing w:after="0"/>
              <w:rPr>
                <w:rFonts w:ascii="Arial" w:cs="Arial" w:eastAsia="Arial" w:hAnsi="Arial"/>
                <w:sz w:val="18"/>
                <w:szCs w:val="18"/>
                <w:color w:val="0000FF"/>
                <w:w w:val="95"/>
              </w:rPr>
            </w:pPr>
            <w:hyperlink r:id="rId51">
              <w:r>
                <w:rPr>
                  <w:rFonts w:ascii="Arial" w:cs="Arial" w:eastAsia="Arial" w:hAnsi="Arial"/>
                  <w:sz w:val="18"/>
                  <w:szCs w:val="18"/>
                  <w:color w:val="0000FF"/>
                  <w:w w:val="95"/>
                </w:rPr>
                <w:t>Second Amended and Restated Agreement of Limited Partnership of Icahn Enterprises L.P., dated August 2, 2016 (incorporated by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6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reference to Exhibit 3.1 to Icahn Enterprises' and Icahn Enterprises Holdings' joint Form 10-Q for the quarterly period ended June 30,</w:t>
              </w:r>
            </w:hyperlink>
          </w:p>
        </w:tc>
        <w:tc>
          <w:tcPr>
            <w:tcW w:w="38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2016 (SEC File Nos. 1-9516 and 333-118021-01, respectively), filed on August 4, 2016).</w:t>
              </w:r>
            </w:hyperlink>
          </w:p>
        </w:tc>
        <w:tc>
          <w:tcPr>
            <w:tcW w:w="3580" w:type="dxa"/>
            <w:vAlign w:val="bottom"/>
            <w:gridSpan w:val="21"/>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40" w:type="dxa"/>
            <w:vAlign w:val="bottom"/>
            <w:tcBorders>
              <w:bottom w:val="single" w:sz="8" w:color="0000FF"/>
            </w:tcBorders>
            <w:gridSpan w:val="19"/>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Amended and Restated Agreement of Limited Partnership of Icahn Enterprises Holdings, dated as of July 1, 1987 (incorporated by</w:t>
              </w:r>
            </w:hyperlink>
          </w:p>
        </w:tc>
        <w:tc>
          <w:tcPr>
            <w:tcW w:w="560" w:type="dxa"/>
            <w:vAlign w:val="bottom"/>
            <w:gridSpan w:val="15"/>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reference to Exhibit 3.5 to Icahn Enterprises' Form 10-Q for the quarter ended March 31, 2004 (SEC File No. 1-9516), filed on May 10,</w:t>
              </w:r>
            </w:hyperlink>
          </w:p>
        </w:tc>
        <w:tc>
          <w:tcPr>
            <w:tcW w:w="22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ind w:left="40"/>
              <w:spacing w:after="0" w:line="196" w:lineRule="exact"/>
              <w:rPr>
                <w:rFonts w:ascii="Arial" w:cs="Arial" w:eastAsia="Arial" w:hAnsi="Arial"/>
                <w:sz w:val="18"/>
                <w:szCs w:val="18"/>
                <w:color w:val="0000FF"/>
                <w:w w:val="86"/>
              </w:rPr>
            </w:pPr>
            <w:hyperlink r:id="rId52">
              <w:r>
                <w:rPr>
                  <w:rFonts w:ascii="Arial" w:cs="Arial" w:eastAsia="Arial" w:hAnsi="Arial"/>
                  <w:sz w:val="18"/>
                  <w:szCs w:val="18"/>
                  <w:color w:val="0000FF"/>
                  <w:w w:val="86"/>
                </w:rPr>
                <w:t>2004).</w:t>
              </w:r>
            </w:hyperlink>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40" w:type="dxa"/>
            <w:vAlign w:val="bottom"/>
            <w:tcBorders>
              <w:bottom w:val="single" w:sz="8" w:color="0000FF"/>
            </w:tcBorders>
            <w:gridSpan w:val="33"/>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Amendment No. 1 to the Amended and Restated Agreement of Limited Partnership of Icahn Enterprises Holdings, dated August 16, 1996</w:t>
              </w:r>
            </w:hyperlink>
          </w:p>
        </w:tc>
        <w:tc>
          <w:tcPr>
            <w:tcW w:w="6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4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(incorporated by reference to Exhibit 10.2 to Icahn Enterprises' Form 8-K (SEC File No. 1-9516), filed on August 16, 1996).</w:t>
              </w:r>
            </w:hyperlink>
          </w:p>
        </w:tc>
        <w:tc>
          <w:tcPr>
            <w:tcW w:w="960" w:type="dxa"/>
            <w:vAlign w:val="bottom"/>
            <w:gridSpan w:val="19"/>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60" w:type="dxa"/>
            <w:vAlign w:val="bottom"/>
            <w:tcBorders>
              <w:bottom w:val="single" w:sz="8" w:color="0000FF"/>
            </w:tcBorders>
            <w:gridSpan w:val="27"/>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Amendment No. 2 to the Amended and Restated Agreement of Limited Partnership of Icahn Enterprises Holdings, dated June 14, 2002</w:t>
              </w:r>
            </w:hyperlink>
          </w:p>
        </w:tc>
        <w:tc>
          <w:tcPr>
            <w:tcW w:w="240" w:type="dxa"/>
            <w:vAlign w:val="bottom"/>
            <w:gridSpan w:val="7"/>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(incorporated by reference to Exhibit 3.9 to Icahn Enterprises' Form 10-K for the year ended December 31, 2002 (SEC File No. 1-9516),</w:t>
              </w:r>
            </w:hyperlink>
          </w:p>
        </w:tc>
        <w:tc>
          <w:tcPr>
            <w:tcW w:w="16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filed on March 31, 2003).</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40" w:type="dxa"/>
            <w:vAlign w:val="bottom"/>
            <w:gridSpan w:val="1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34"/>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Amendment No. 3 to the Amended and Restated Agreement of Limited Partnership of Icahn Enterprises Holdings, dated June 29, 2005</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40" w:type="dxa"/>
            <w:vAlign w:val="bottom"/>
            <w:tcBorders>
              <w:top w:val="single" w:sz="8" w:color="0000FF"/>
            </w:tcBorders>
            <w:gridSpan w:val="26"/>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(incorporated by reference to Exhibit 3.2 to Icahn Enterprises' Form 10-Q for the quarter ended June 30, 2005 (SEC File No. 1-9516),</w:t>
              </w:r>
            </w:hyperlink>
          </w:p>
        </w:tc>
        <w:tc>
          <w:tcPr>
            <w:tcW w:w="26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filed on August 9, 2005).</w:t>
              </w:r>
            </w:hyperlink>
          </w:p>
        </w:tc>
        <w:tc>
          <w:tcPr>
            <w:tcW w:w="380" w:type="dxa"/>
            <w:vAlign w:val="bottom"/>
            <w:gridSpan w:val="11"/>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0" w:type="dxa"/>
            <w:vAlign w:val="bottom"/>
            <w:gridSpan w:val="1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80" w:type="dxa"/>
            <w:vAlign w:val="bottom"/>
            <w:tcBorders>
              <w:bottom w:val="single" w:sz="8" w:color="0000FF"/>
            </w:tcBorders>
            <w:gridSpan w:val="28"/>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Amendment No. 4 to the Amended and Restated Agreement of Limited Partnership of Icahn Enterprises Holdings, dated September 17,</w:t>
              </w:r>
            </w:hyperlink>
          </w:p>
        </w:tc>
        <w:tc>
          <w:tcPr>
            <w:tcW w:w="220" w:type="dxa"/>
            <w:vAlign w:val="bottom"/>
            <w:gridSpan w:val="6"/>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2007 (incorporated by reference to Exhibit 3.11 to Icahn Enterprises' Form 10-K for the year ended December 31, 2007 (SEC File No. 1-</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9516)</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 xml:space="preserve"> filed on March 17, 2008).</w:t>
              </w:r>
            </w:hyperlink>
          </w:p>
        </w:tc>
        <w:tc>
          <w:tcPr>
            <w:tcW w:w="7500" w:type="dxa"/>
            <w:vAlign w:val="bottom"/>
            <w:tcBorders>
              <w:top w:val="single" w:sz="8" w:color="0000FF"/>
            </w:tcBorders>
            <w:gridSpan w:val="26"/>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80" w:type="dxa"/>
            <w:vAlign w:val="bottom"/>
            <w:tcBorders>
              <w:bottom w:val="single" w:sz="8" w:color="0000FF"/>
            </w:tcBorders>
            <w:gridSpan w:val="31"/>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Form of Transfer Application (incorporated by reference to Exhibit 4.4 to Icahn Enterprises' Form 10-K for the year ended December 31,</w:t>
              </w:r>
            </w:hyperlink>
          </w:p>
        </w:tc>
        <w:tc>
          <w:tcPr>
            <w:tcW w:w="120" w:type="dxa"/>
            <w:vAlign w:val="bottom"/>
            <w:gridSpan w:val="3"/>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2004 (SEC File No. 1-9516), filed on March 16, 2005).</w:t>
              </w:r>
            </w:hyperlink>
          </w:p>
        </w:tc>
        <w:tc>
          <w:tcPr>
            <w:tcW w:w="6020" w:type="dxa"/>
            <w:vAlign w:val="bottom"/>
            <w:gridSpan w:val="24"/>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34"/>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Specimen Depositary Receipt (incorporated by reference to Exhibit 4.3 to Icahn Enterprises' Form 10-K for the year ended December 31,</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2014 (SEC File No. 1-9516), filed on March 16, 2005).</w:t>
              </w:r>
            </w:hyperlink>
          </w:p>
        </w:tc>
        <w:tc>
          <w:tcPr>
            <w:tcW w:w="5900" w:type="dxa"/>
            <w:vAlign w:val="bottom"/>
            <w:tcBorders>
              <w:top w:val="single" w:sz="8" w:color="0000FF"/>
            </w:tcBorders>
            <w:gridSpan w:val="21"/>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34"/>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Specimen Depositary Certificate (incorporated by reference to Exhibit 4.1 to Icahn Enterprises' Form 10-Q for the quarterly period ended</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June 30, 2016 (SEC File No. 1-9516), filed on August 4, 2016).</w:t>
              </w:r>
            </w:hyperlink>
          </w:p>
        </w:tc>
        <w:tc>
          <w:tcPr>
            <w:tcW w:w="12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gridSpan w:val="6"/>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420" w:type="dxa"/>
            <w:vAlign w:val="bottom"/>
            <w:gridSpan w:val="23"/>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20" w:type="dxa"/>
            <w:vAlign w:val="bottom"/>
            <w:tcBorders>
              <w:bottom w:val="single" w:sz="8" w:color="0000FF"/>
            </w:tcBorders>
            <w:gridSpan w:val="25"/>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Specimen Certificate representing preferred units (incorporated by reference to Exhibit 4.9 to Icahn Enterprises' Form S-3/A (SEC File</w:t>
              </w:r>
            </w:hyperlink>
          </w:p>
        </w:tc>
        <w:tc>
          <w:tcPr>
            <w:tcW w:w="280" w:type="dxa"/>
            <w:vAlign w:val="bottom"/>
            <w:gridSpan w:val="9"/>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No. 33-54767), filed on February 22, 1995).</w:t>
              </w:r>
            </w:hyperlink>
          </w:p>
        </w:tc>
        <w:tc>
          <w:tcPr>
            <w:tcW w:w="6820" w:type="dxa"/>
            <w:vAlign w:val="bottom"/>
            <w:gridSpan w:val="28"/>
          </w:tcPr>
          <w:p>
            <w:pPr>
              <w:spacing w:after="0"/>
              <w:rPr>
                <w:sz w:val="17"/>
                <w:szCs w:val="17"/>
                <w:color w:val="auto"/>
              </w:rPr>
            </w:pPr>
          </w:p>
        </w:tc>
      </w:tr>
      <w:tr>
        <w:trPr>
          <w:trHeight w:val="507"/>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12"/>
          </w:tcPr>
          <w:p>
            <w:pPr>
              <w:jc w:val="right"/>
              <w:ind w:right="70"/>
              <w:spacing w:after="0"/>
              <w:rPr>
                <w:sz w:val="20"/>
                <w:szCs w:val="20"/>
                <w:color w:val="auto"/>
              </w:rPr>
            </w:pPr>
            <w:r>
              <w:rPr>
                <w:rFonts w:ascii="Arial" w:cs="Arial" w:eastAsia="Arial" w:hAnsi="Arial"/>
                <w:sz w:val="18"/>
                <w:szCs w:val="18"/>
                <w:color w:val="auto"/>
              </w:rPr>
              <w:t>140</w:t>
            </w: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jc w:val="center"/>
              <w:ind w:right="550"/>
              <w:spacing w:after="0"/>
              <w:rPr>
                <w:sz w:val="20"/>
                <w:szCs w:val="20"/>
                <w:color w:val="auto"/>
              </w:rPr>
            </w:pPr>
            <w:r>
              <w:rPr>
                <w:rFonts w:ascii="Arial" w:cs="Arial" w:eastAsia="Arial" w:hAnsi="Arial"/>
                <w:sz w:val="18"/>
                <w:szCs w:val="18"/>
                <w:color w:val="auto"/>
                <w:w w:val="87"/>
              </w:rPr>
              <w:t>4.5</w:t>
            </w:r>
          </w:p>
        </w:tc>
        <w:tc>
          <w:tcPr>
            <w:tcW w:w="9980" w:type="dxa"/>
            <w:vAlign w:val="bottom"/>
            <w:gridSpan w:val="38"/>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Registration Rights Agreement between Icahn Enterprises and High Coast Limited Partnership (f/k/a X LP) (incorporated by reference to</w:t>
              </w:r>
            </w:hyperlink>
          </w:p>
        </w:tc>
      </w:tr>
      <w:tr>
        <w:trPr>
          <w:trHeight w:val="196"/>
        </w:trPr>
        <w:tc>
          <w:tcPr>
            <w:tcW w:w="940" w:type="dxa"/>
            <w:vAlign w:val="bottom"/>
          </w:tcPr>
          <w:p>
            <w:pPr>
              <w:spacing w:after="0"/>
              <w:rPr>
                <w:sz w:val="17"/>
                <w:szCs w:val="17"/>
                <w:color w:val="auto"/>
              </w:rPr>
            </w:pPr>
          </w:p>
        </w:tc>
        <w:tc>
          <w:tcPr>
            <w:tcW w:w="970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Exhibit 10.2 to Icahn Enterprises' Form 10-K for the year ended December 31, 2004 (SEC File No. 1-9516), filed on March 16, 2005).</w:t>
              </w:r>
            </w:hyperlink>
          </w:p>
        </w:tc>
        <w:tc>
          <w:tcPr>
            <w:tcW w:w="180" w:type="dxa"/>
            <w:vAlign w:val="bottom"/>
            <w:tcBorders>
              <w:top w:val="single" w:sz="8" w:color="0000FF"/>
            </w:tcBorders>
            <w:gridSpan w:val="9"/>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331"/>
        </w:trPr>
        <w:tc>
          <w:tcPr>
            <w:tcW w:w="940" w:type="dxa"/>
            <w:vAlign w:val="bottom"/>
          </w:tcPr>
          <w:p>
            <w:pPr>
              <w:jc w:val="center"/>
              <w:ind w:right="550"/>
              <w:spacing w:after="0"/>
              <w:rPr>
                <w:sz w:val="20"/>
                <w:szCs w:val="20"/>
                <w:color w:val="auto"/>
              </w:rPr>
            </w:pPr>
            <w:r>
              <w:rPr>
                <w:rFonts w:ascii="Arial" w:cs="Arial" w:eastAsia="Arial" w:hAnsi="Arial"/>
                <w:sz w:val="18"/>
                <w:szCs w:val="18"/>
                <w:color w:val="auto"/>
                <w:w w:val="87"/>
              </w:rPr>
              <w:t>4.6</w:t>
            </w:r>
          </w:p>
        </w:tc>
        <w:tc>
          <w:tcPr>
            <w:tcW w:w="9980" w:type="dxa"/>
            <w:vAlign w:val="bottom"/>
            <w:gridSpan w:val="38"/>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Registration Rights Agreement, dated June 30, 2005 between Icahn Enterprises and Highcrest Investors Corp., Amos Corp., Cyprus, LLC</w:t>
              </w:r>
            </w:hyperlink>
          </w:p>
        </w:tc>
      </w:tr>
      <w:tr>
        <w:trPr>
          <w:trHeight w:val="196"/>
        </w:trPr>
        <w:tc>
          <w:tcPr>
            <w:tcW w:w="940" w:type="dxa"/>
            <w:vAlign w:val="bottom"/>
          </w:tcPr>
          <w:p>
            <w:pPr>
              <w:spacing w:after="0"/>
              <w:rPr>
                <w:sz w:val="17"/>
                <w:szCs w:val="17"/>
                <w:color w:val="auto"/>
              </w:rPr>
            </w:pPr>
          </w:p>
        </w:tc>
        <w:tc>
          <w:tcPr>
            <w:tcW w:w="9820" w:type="dxa"/>
            <w:vAlign w:val="bottom"/>
            <w:tcBorders>
              <w:top w:val="single" w:sz="8" w:color="0000FF"/>
              <w:bottom w:val="single" w:sz="8" w:color="0000FF"/>
            </w:tcBorders>
            <w:gridSpan w:val="30"/>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and Gascon Partners (incorporated by reference to Exhibit 10.6 to Icahn Enterprises' Form 10-Q (SEC File No. 1-9516), filed on August</w:t>
              </w:r>
            </w:hyperlink>
          </w:p>
        </w:tc>
        <w:tc>
          <w:tcPr>
            <w:tcW w:w="100" w:type="dxa"/>
            <w:vAlign w:val="bottom"/>
            <w:tcBorders>
              <w:top w:val="single" w:sz="8" w:color="0000FF"/>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40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9, 2005), as amended by Amendment No. 1 thereto, dated as of August 8, 2007 (incorporated by reference to Exhibit 10.5 to Icahn</w:t>
              </w:r>
            </w:hyperlink>
          </w:p>
        </w:tc>
        <w:tc>
          <w:tcPr>
            <w:tcW w:w="580" w:type="dxa"/>
            <w:vAlign w:val="bottom"/>
            <w:gridSpan w:val="22"/>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Enterprises' Form 10-Q for the quarter ended June 30, 2007 (SEC File No. 1-9516), filed on August 9, 2007).</w:t>
              </w:r>
            </w:hyperlink>
          </w:p>
        </w:tc>
      </w:tr>
      <w:tr>
        <w:trPr>
          <w:trHeight w:val="20"/>
        </w:trPr>
        <w:tc>
          <w:tcPr>
            <w:tcW w:w="9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40" w:type="dxa"/>
            <w:vAlign w:val="bottom"/>
          </w:tcPr>
          <w:p>
            <w:pPr>
              <w:jc w:val="center"/>
              <w:ind w:right="550"/>
              <w:spacing w:after="0"/>
              <w:rPr>
                <w:sz w:val="20"/>
                <w:szCs w:val="20"/>
                <w:color w:val="auto"/>
              </w:rPr>
            </w:pPr>
            <w:r>
              <w:rPr>
                <w:rFonts w:ascii="Arial" w:cs="Arial" w:eastAsia="Arial" w:hAnsi="Arial"/>
                <w:sz w:val="18"/>
                <w:szCs w:val="18"/>
                <w:color w:val="auto"/>
                <w:w w:val="87"/>
              </w:rPr>
              <w:t>4.7</w:t>
            </w:r>
          </w:p>
        </w:tc>
        <w:tc>
          <w:tcPr>
            <w:tcW w:w="9980" w:type="dxa"/>
            <w:vAlign w:val="bottom"/>
            <w:tcBorders>
              <w:bottom w:val="single" w:sz="8" w:color="0000FF"/>
            </w:tcBorders>
            <w:gridSpan w:val="38"/>
          </w:tcPr>
          <w:p>
            <w:pPr>
              <w:spacing w:after="0"/>
              <w:rPr>
                <w:rFonts w:ascii="Arial" w:cs="Arial" w:eastAsia="Arial" w:hAnsi="Arial"/>
                <w:sz w:val="18"/>
                <w:szCs w:val="18"/>
                <w:color w:val="0000FF"/>
                <w:w w:val="89"/>
              </w:rPr>
            </w:pPr>
            <w:hyperlink r:id="rId63">
              <w:r>
                <w:rPr>
                  <w:rFonts w:ascii="Arial" w:cs="Arial" w:eastAsia="Arial" w:hAnsi="Arial"/>
                  <w:sz w:val="18"/>
                  <w:szCs w:val="18"/>
                  <w:color w:val="0000FF"/>
                  <w:w w:val="89"/>
                </w:rPr>
                <w:t>Amended and Restated Depositary Agreement among Icahn Enterprises, Icahn Enterprises GP and Registrar and Transfer Company, dated</w:t>
              </w:r>
            </w:hyperlink>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as of August 23, 2013 (incorporated by reference to Exhibit 10.1 to Icahn Enterprises' Form 8-K (SEC File No. 1-9516), filed on August</w:t>
              </w:r>
            </w:hyperlink>
          </w:p>
        </w:tc>
      </w:tr>
      <w:tr>
        <w:trPr>
          <w:trHeight w:val="196"/>
        </w:trPr>
        <w:tc>
          <w:tcPr>
            <w:tcW w:w="940" w:type="dxa"/>
            <w:vAlign w:val="bottom"/>
          </w:tcPr>
          <w:p>
            <w:pPr>
              <w:spacing w:after="0"/>
              <w:rPr>
                <w:sz w:val="17"/>
                <w:szCs w:val="17"/>
                <w:color w:val="auto"/>
              </w:rPr>
            </w:pPr>
          </w:p>
        </w:tc>
        <w:tc>
          <w:tcPr>
            <w:tcW w:w="134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23, 2013).</w:t>
              </w:r>
            </w:hyperlink>
          </w:p>
        </w:tc>
        <w:tc>
          <w:tcPr>
            <w:tcW w:w="8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jc w:val="center"/>
              <w:ind w:right="550"/>
              <w:spacing w:after="0"/>
              <w:rPr>
                <w:sz w:val="20"/>
                <w:szCs w:val="20"/>
                <w:color w:val="auto"/>
              </w:rPr>
            </w:pPr>
            <w:r>
              <w:rPr>
                <w:rFonts w:ascii="Arial" w:cs="Arial" w:eastAsia="Arial" w:hAnsi="Arial"/>
                <w:sz w:val="18"/>
                <w:szCs w:val="18"/>
                <w:color w:val="auto"/>
                <w:w w:val="87"/>
              </w:rPr>
              <w:t>4.8</w:t>
            </w:r>
          </w:p>
        </w:tc>
        <w:tc>
          <w:tcPr>
            <w:tcW w:w="9960" w:type="dxa"/>
            <w:vAlign w:val="bottom"/>
            <w:tcBorders>
              <w:bottom w:val="single" w:sz="8" w:color="0000FF"/>
            </w:tcBorders>
            <w:gridSpan w:val="37"/>
          </w:tcPr>
          <w:p>
            <w:pPr>
              <w:spacing w:after="0"/>
              <w:rPr>
                <w:rFonts w:ascii="Arial" w:cs="Arial" w:eastAsia="Arial" w:hAnsi="Arial"/>
                <w:sz w:val="18"/>
                <w:szCs w:val="18"/>
                <w:color w:val="0000FF"/>
                <w:w w:val="89"/>
              </w:rPr>
            </w:pPr>
            <w:hyperlink r:id="rId64">
              <w:r>
                <w:rPr>
                  <w:rFonts w:ascii="Arial" w:cs="Arial" w:eastAsia="Arial" w:hAnsi="Arial"/>
                  <w:sz w:val="18"/>
                  <w:szCs w:val="18"/>
                  <w:color w:val="0000FF"/>
                  <w:w w:val="89"/>
                </w:rPr>
                <w:t>Indenture, dated as of August 1, 2013, among Icahn Enterprises, Icahn Enterprises Finance, Icahn Enterprises Holdings, as Guarantor, and</w:t>
              </w:r>
            </w:hyperlink>
          </w:p>
        </w:tc>
        <w:tc>
          <w:tcPr>
            <w:tcW w:w="2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82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Wilmington Trust Company, as Trustee relating to the 6.000% Senior Notes Due 2020 (incorporated by reference to Exhibit 4.1 to Icahn</w:t>
              </w:r>
            </w:hyperlink>
          </w:p>
        </w:tc>
        <w:tc>
          <w:tcPr>
            <w:tcW w:w="160" w:type="dxa"/>
            <w:vAlign w:val="bottom"/>
            <w:gridSpan w:val="8"/>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Enterprises' and Icahn Enterprises Holdings' joint Form 8-K (SEC File Nos. 1-9516 and 333-118021-01, respectively), filed on August 1,</w:t>
              </w:r>
            </w:hyperlink>
          </w:p>
        </w:tc>
      </w:tr>
      <w:tr>
        <w:trPr>
          <w:trHeight w:val="196"/>
        </w:trPr>
        <w:tc>
          <w:tcPr>
            <w:tcW w:w="9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64">
              <w:r>
                <w:rPr>
                  <w:rFonts w:ascii="Arial" w:cs="Arial" w:eastAsia="Arial" w:hAnsi="Arial"/>
                  <w:sz w:val="18"/>
                  <w:szCs w:val="18"/>
                  <w:color w:val="0000FF"/>
                  <w:w w:val="86"/>
                </w:rPr>
                <w:t>2013).</w:t>
              </w:r>
            </w:hyperlink>
          </w:p>
        </w:tc>
        <w:tc>
          <w:tcPr>
            <w:tcW w:w="2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40" w:type="dxa"/>
            <w:vAlign w:val="bottom"/>
          </w:tcPr>
          <w:p>
            <w:pPr>
              <w:jc w:val="center"/>
              <w:ind w:right="550"/>
              <w:spacing w:after="0"/>
              <w:rPr>
                <w:sz w:val="20"/>
                <w:szCs w:val="20"/>
                <w:color w:val="auto"/>
              </w:rPr>
            </w:pPr>
            <w:r>
              <w:rPr>
                <w:rFonts w:ascii="Arial" w:cs="Arial" w:eastAsia="Arial" w:hAnsi="Arial"/>
                <w:sz w:val="18"/>
                <w:szCs w:val="18"/>
                <w:color w:val="auto"/>
                <w:w w:val="87"/>
              </w:rPr>
              <w:t>4.9</w:t>
            </w:r>
          </w:p>
        </w:tc>
        <w:tc>
          <w:tcPr>
            <w:tcW w:w="9780" w:type="dxa"/>
            <w:vAlign w:val="bottom"/>
            <w:tcBorders>
              <w:bottom w:val="single" w:sz="8" w:color="0000FF"/>
            </w:tcBorders>
            <w:gridSpan w:val="28"/>
          </w:tcPr>
          <w:p>
            <w:pPr>
              <w:spacing w:after="0"/>
              <w:rPr>
                <w:rFonts w:ascii="Arial" w:cs="Arial" w:eastAsia="Arial" w:hAnsi="Arial"/>
                <w:sz w:val="18"/>
                <w:szCs w:val="18"/>
                <w:color w:val="0000FF"/>
                <w:w w:val="89"/>
              </w:rPr>
            </w:pPr>
            <w:hyperlink r:id="rId65">
              <w:r>
                <w:rPr>
                  <w:rFonts w:ascii="Arial" w:cs="Arial" w:eastAsia="Arial" w:hAnsi="Arial"/>
                  <w:sz w:val="18"/>
                  <w:szCs w:val="18"/>
                  <w:color w:val="0000FF"/>
                  <w:w w:val="89"/>
                </w:rPr>
                <w:t>Indenture, dated as of January 29, 2014, among Icahn Enterprises, Icahn Enterprises Finance, Icahn Enterprises Holdings, as Guarantor,</w:t>
              </w:r>
            </w:hyperlink>
          </w:p>
        </w:tc>
        <w:tc>
          <w:tcPr>
            <w:tcW w:w="200" w:type="dxa"/>
            <w:vAlign w:val="bottom"/>
            <w:gridSpan w:val="10"/>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68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and Wilmington Trust Company, as Trustee relating to the 5.875% Senior Notes Due 2022 (incorporated by reference to Exhibit 4.1 to</w:t>
              </w:r>
            </w:hyperlink>
          </w:p>
        </w:tc>
        <w:tc>
          <w:tcPr>
            <w:tcW w:w="300" w:type="dxa"/>
            <w:vAlign w:val="bottom"/>
            <w:gridSpan w:val="15"/>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Icahn Enterprises' and Icahn Enterprises Holdings' joint Form 8-K/A (SEC File Nos. 1-9516 and 333-118021-01, respectively), filed on</w:t>
              </w:r>
            </w:hyperlink>
          </w:p>
        </w:tc>
      </w:tr>
      <w:tr>
        <w:trPr>
          <w:trHeight w:val="196"/>
        </w:trPr>
        <w:tc>
          <w:tcPr>
            <w:tcW w:w="940" w:type="dxa"/>
            <w:vAlign w:val="bottom"/>
          </w:tcPr>
          <w:p>
            <w:pPr>
              <w:spacing w:after="0"/>
              <w:rPr>
                <w:sz w:val="17"/>
                <w:szCs w:val="17"/>
                <w:color w:val="auto"/>
              </w:rPr>
            </w:pPr>
          </w:p>
        </w:tc>
        <w:tc>
          <w:tcPr>
            <w:tcW w:w="13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7"/>
              </w:rPr>
            </w:pPr>
            <w:hyperlink r:id="rId65">
              <w:r>
                <w:rPr>
                  <w:rFonts w:ascii="Arial" w:cs="Arial" w:eastAsia="Arial" w:hAnsi="Arial"/>
                  <w:sz w:val="18"/>
                  <w:szCs w:val="18"/>
                  <w:color w:val="0000FF"/>
                  <w:w w:val="87"/>
                </w:rPr>
                <w:t>January 30, 2014).</w:t>
              </w:r>
            </w:hyperlink>
          </w:p>
        </w:tc>
        <w:tc>
          <w:tcPr>
            <w:tcW w:w="8400" w:type="dxa"/>
            <w:vAlign w:val="bottom"/>
            <w:tcBorders>
              <w:top w:val="single" w:sz="8" w:color="0000FF"/>
            </w:tcBorders>
            <w:gridSpan w:val="23"/>
          </w:tcPr>
          <w:p>
            <w:pPr>
              <w:spacing w:after="0"/>
              <w:rPr>
                <w:sz w:val="17"/>
                <w:szCs w:val="17"/>
                <w:color w:val="auto"/>
              </w:rPr>
            </w:pPr>
          </w:p>
        </w:tc>
        <w:tc>
          <w:tcPr>
            <w:tcW w:w="240" w:type="dxa"/>
            <w:vAlign w:val="bottom"/>
            <w:gridSpan w:val="12"/>
          </w:tcPr>
          <w:p>
            <w:pPr>
              <w:spacing w:after="0"/>
              <w:rPr>
                <w:sz w:val="17"/>
                <w:szCs w:val="17"/>
                <w:color w:val="auto"/>
              </w:rPr>
            </w:pPr>
          </w:p>
        </w:tc>
      </w:tr>
      <w:tr>
        <w:trPr>
          <w:trHeight w:val="250"/>
        </w:trPr>
        <w:tc>
          <w:tcPr>
            <w:tcW w:w="940" w:type="dxa"/>
            <w:vAlign w:val="bottom"/>
          </w:tcPr>
          <w:p>
            <w:pPr>
              <w:jc w:val="center"/>
              <w:ind w:right="530"/>
              <w:spacing w:after="0"/>
              <w:rPr>
                <w:sz w:val="20"/>
                <w:szCs w:val="20"/>
                <w:color w:val="auto"/>
              </w:rPr>
            </w:pPr>
            <w:r>
              <w:rPr>
                <w:rFonts w:ascii="Arial" w:cs="Arial" w:eastAsia="Arial" w:hAnsi="Arial"/>
                <w:sz w:val="18"/>
                <w:szCs w:val="18"/>
                <w:color w:val="auto"/>
                <w:w w:val="91"/>
              </w:rPr>
              <w:t>4.10</w:t>
            </w:r>
          </w:p>
        </w:tc>
        <w:tc>
          <w:tcPr>
            <w:tcW w:w="9780" w:type="dxa"/>
            <w:vAlign w:val="bottom"/>
            <w:tcBorders>
              <w:bottom w:val="single" w:sz="8" w:color="0000FF"/>
            </w:tcBorders>
            <w:gridSpan w:val="28"/>
          </w:tcPr>
          <w:p>
            <w:pPr>
              <w:spacing w:after="0"/>
              <w:rPr>
                <w:rFonts w:ascii="Arial" w:cs="Arial" w:eastAsia="Arial" w:hAnsi="Arial"/>
                <w:sz w:val="18"/>
                <w:szCs w:val="18"/>
                <w:color w:val="0000FF"/>
                <w:w w:val="89"/>
              </w:rPr>
            </w:pPr>
            <w:hyperlink r:id="rId66">
              <w:r>
                <w:rPr>
                  <w:rFonts w:ascii="Arial" w:cs="Arial" w:eastAsia="Arial" w:hAnsi="Arial"/>
                  <w:sz w:val="18"/>
                  <w:szCs w:val="18"/>
                  <w:color w:val="0000FF"/>
                  <w:w w:val="89"/>
                </w:rPr>
                <w:t>Indenture, dated as of January 18, 2017, among Icahn Enterprises, Icahn Enterprises Finance, Icahn Enterprises Holdings, as Guarantor,</w:t>
              </w:r>
            </w:hyperlink>
          </w:p>
        </w:tc>
        <w:tc>
          <w:tcPr>
            <w:tcW w:w="200" w:type="dxa"/>
            <w:vAlign w:val="bottom"/>
            <w:gridSpan w:val="10"/>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1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and Wilmington Trust Company, as Trustee relating to the 6.250% Senior Notes Due 2022 and 6.750% Senior Notes Due 2024</w:t>
              </w:r>
            </w:hyperlink>
          </w:p>
        </w:tc>
        <w:tc>
          <w:tcPr>
            <w:tcW w:w="840" w:type="dxa"/>
            <w:vAlign w:val="bottom"/>
            <w:gridSpan w:val="24"/>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940" w:type="dxa"/>
            <w:vAlign w:val="bottom"/>
            <w:tcBorders>
              <w:bottom w:val="single" w:sz="8" w:color="0000FF"/>
            </w:tcBorders>
            <w:gridSpan w:val="36"/>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(incorporated by reference to Exhibit 4.1 to Icahn Enterprises' and Icahn Enterprises Holdings' joint Form 8-K (SEC File Nos. 1-9516 and</w:t>
              </w:r>
            </w:hyperlink>
          </w:p>
        </w:tc>
        <w:tc>
          <w:tcPr>
            <w:tcW w:w="40" w:type="dxa"/>
            <w:vAlign w:val="bottom"/>
            <w:gridSpan w:val="2"/>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333-118021-01, respectively), filed on January 18, 2017).</w:t>
              </w:r>
            </w:hyperlink>
          </w:p>
        </w:tc>
      </w:tr>
      <w:tr>
        <w:trPr>
          <w:trHeight w:val="20"/>
        </w:trPr>
        <w:tc>
          <w:tcPr>
            <w:tcW w:w="940" w:type="dxa"/>
            <w:vAlign w:val="bottom"/>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jc w:val="center"/>
              <w:ind w:right="530"/>
              <w:spacing w:after="0"/>
              <w:rPr>
                <w:sz w:val="20"/>
                <w:szCs w:val="20"/>
                <w:color w:val="auto"/>
              </w:rPr>
            </w:pPr>
            <w:r>
              <w:rPr>
                <w:rFonts w:ascii="Arial" w:cs="Arial" w:eastAsia="Arial" w:hAnsi="Arial"/>
                <w:sz w:val="18"/>
                <w:szCs w:val="18"/>
                <w:color w:val="auto"/>
                <w:w w:val="91"/>
              </w:rPr>
              <w:t>4.11</w:t>
            </w:r>
          </w:p>
        </w:tc>
        <w:tc>
          <w:tcPr>
            <w:tcW w:w="9980" w:type="dxa"/>
            <w:vAlign w:val="bottom"/>
            <w:gridSpan w:val="38"/>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Indenture, dated as of December 6, 2017, among Icahn Enterprises, Icahn Enterprises Finance, Icahn Enterprises Holdings, as Guarantor,</w:t>
              </w:r>
            </w:hyperlink>
          </w:p>
        </w:tc>
      </w:tr>
      <w:tr>
        <w:trPr>
          <w:trHeight w:val="196"/>
        </w:trPr>
        <w:tc>
          <w:tcPr>
            <w:tcW w:w="94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and Wilmington Trust Company, as Trustee relating to the 6.375% Senior Notes Due 2025 incorporated by reference to Exhibit 4.1 to</w:t>
              </w:r>
            </w:hyperlink>
          </w:p>
        </w:tc>
        <w:tc>
          <w:tcPr>
            <w:tcW w:w="240" w:type="dxa"/>
            <w:vAlign w:val="bottom"/>
            <w:tcBorders>
              <w:top w:val="single" w:sz="8" w:color="0000FF"/>
            </w:tcBorders>
            <w:gridSpan w:val="11"/>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5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Icahn Enterprises' and Icahn Enterprises Holdings' joint Form 8-K (SEC File Nos. 1-9516 and 333-118021-01, respectively), filed on</w:t>
              </w:r>
            </w:hyperlink>
          </w:p>
        </w:tc>
        <w:tc>
          <w:tcPr>
            <w:tcW w:w="400" w:type="dxa"/>
            <w:vAlign w:val="bottom"/>
            <w:gridSpan w:val="19"/>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December 6, 2017).</w:t>
              </w:r>
            </w:hyperlink>
          </w:p>
        </w:tc>
      </w:tr>
      <w:tr>
        <w:trPr>
          <w:trHeight w:val="20"/>
        </w:trPr>
        <w:tc>
          <w:tcPr>
            <w:tcW w:w="940" w:type="dxa"/>
            <w:vAlign w:val="bottom"/>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jc w:val="center"/>
              <w:ind w:right="530"/>
              <w:spacing w:after="0"/>
              <w:rPr>
                <w:sz w:val="20"/>
                <w:szCs w:val="20"/>
                <w:color w:val="auto"/>
              </w:rPr>
            </w:pPr>
            <w:r>
              <w:rPr>
                <w:rFonts w:ascii="Arial" w:cs="Arial" w:eastAsia="Arial" w:hAnsi="Arial"/>
                <w:sz w:val="18"/>
                <w:szCs w:val="18"/>
                <w:color w:val="auto"/>
                <w:w w:val="91"/>
              </w:rPr>
              <w:t>4.12</w:t>
            </w:r>
          </w:p>
        </w:tc>
        <w:tc>
          <w:tcPr>
            <w:tcW w:w="9980" w:type="dxa"/>
            <w:vAlign w:val="bottom"/>
            <w:gridSpan w:val="38"/>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Shareholders Agreement, dated as of October 1, 2018, by and among Icahn Enterprises L.P., Icahn Enterprises Holdings L.P., American</w:t>
              </w:r>
            </w:hyperlink>
          </w:p>
        </w:tc>
      </w:tr>
      <w:tr>
        <w:trPr>
          <w:trHeight w:val="196"/>
        </w:trPr>
        <w:tc>
          <w:tcPr>
            <w:tcW w:w="94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Entertainment Properties Corp. and Tenneco Inc. (incorporated by reference to Exhibit 4.1 to Icahn Enterprises' and Icahn Enterprises</w:t>
              </w:r>
            </w:hyperlink>
          </w:p>
        </w:tc>
        <w:tc>
          <w:tcPr>
            <w:tcW w:w="140" w:type="dxa"/>
            <w:vAlign w:val="bottom"/>
            <w:tcBorders>
              <w:top w:val="single" w:sz="8" w:color="0000FF"/>
            </w:tcBorders>
            <w:gridSpan w:val="6"/>
          </w:tcPr>
          <w:p>
            <w:pPr>
              <w:spacing w:after="0"/>
              <w:rPr>
                <w:sz w:val="17"/>
                <w:szCs w:val="17"/>
                <w:color w:val="auto"/>
              </w:rPr>
            </w:pPr>
          </w:p>
        </w:tc>
        <w:tc>
          <w:tcPr>
            <w:tcW w:w="220" w:type="dxa"/>
            <w:vAlign w:val="bottom"/>
            <w:gridSpan w:val="11"/>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Holdings' joint Form 8-K (SEC File Nos. 1-9516 and 333-118021-01, respectively) file October 2, 2018).</w:t>
              </w:r>
            </w:hyperlink>
          </w:p>
        </w:tc>
      </w:tr>
      <w:tr>
        <w:trPr>
          <w:trHeight w:val="20"/>
        </w:trPr>
        <w:tc>
          <w:tcPr>
            <w:tcW w:w="940" w:type="dxa"/>
            <w:vAlign w:val="bottom"/>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jc w:val="center"/>
              <w:ind w:right="530"/>
              <w:spacing w:after="0"/>
              <w:rPr>
                <w:sz w:val="20"/>
                <w:szCs w:val="20"/>
                <w:color w:val="auto"/>
              </w:rPr>
            </w:pPr>
            <w:r>
              <w:rPr>
                <w:rFonts w:ascii="Arial" w:cs="Arial" w:eastAsia="Arial" w:hAnsi="Arial"/>
                <w:sz w:val="18"/>
                <w:szCs w:val="18"/>
                <w:color w:val="auto"/>
                <w:w w:val="91"/>
              </w:rPr>
              <w:t>10.1</w:t>
            </w:r>
          </w:p>
        </w:tc>
        <w:tc>
          <w:tcPr>
            <w:tcW w:w="9520" w:type="dxa"/>
            <w:vAlign w:val="bottom"/>
            <w:tcBorders>
              <w:bottom w:val="single" w:sz="8" w:color="0000FF"/>
            </w:tcBorders>
            <w:gridSpan w:val="17"/>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Amended and Restated Agency Agreement (incorporated by reference to Exhibit 10.12 to Icahn Enterprises' Form 10-K for the year</w:t>
              </w:r>
            </w:hyperlink>
          </w:p>
        </w:tc>
        <w:tc>
          <w:tcPr>
            <w:tcW w:w="460" w:type="dxa"/>
            <w:vAlign w:val="bottom"/>
            <w:gridSpan w:val="21"/>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ended December 31, 1994 (SEC File No. 1-9516), filed on March 31, 1995).</w:t>
              </w:r>
            </w:hyperlink>
          </w:p>
        </w:tc>
      </w:tr>
      <w:tr>
        <w:trPr>
          <w:trHeight w:val="20"/>
        </w:trPr>
        <w:tc>
          <w:tcPr>
            <w:tcW w:w="940" w:type="dxa"/>
            <w:vAlign w:val="bottom"/>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jc w:val="center"/>
              <w:ind w:right="530"/>
              <w:spacing w:after="0"/>
              <w:rPr>
                <w:sz w:val="20"/>
                <w:szCs w:val="20"/>
                <w:color w:val="auto"/>
              </w:rPr>
            </w:pPr>
            <w:r>
              <w:rPr>
                <w:rFonts w:ascii="Arial" w:cs="Arial" w:eastAsia="Arial" w:hAnsi="Arial"/>
                <w:sz w:val="18"/>
                <w:szCs w:val="18"/>
                <w:color w:val="auto"/>
                <w:w w:val="91"/>
              </w:rPr>
              <w:t>10.2</w:t>
            </w:r>
          </w:p>
        </w:tc>
        <w:tc>
          <w:tcPr>
            <w:tcW w:w="9280" w:type="dxa"/>
            <w:vAlign w:val="bottom"/>
            <w:tcBorders>
              <w:bottom w:val="single" w:sz="8" w:color="0000FF"/>
            </w:tcBorders>
            <w:gridSpan w:val="15"/>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Undertaking, dated November 20, 1998, by Starfire Holding Corporation, for the benefit of Icahn Enterprises and its subsidiaries</w:t>
              </w:r>
            </w:hyperlink>
          </w:p>
        </w:tc>
        <w:tc>
          <w:tcPr>
            <w:tcW w:w="700" w:type="dxa"/>
            <w:vAlign w:val="bottom"/>
            <w:gridSpan w:val="23"/>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5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(incorporated by reference to Exhibit 10.42 to Icahn Enterprises' Form 10-K for the year ended December 31, 2005 (SEC File No. 1-</w:t>
              </w:r>
            </w:hyperlink>
          </w:p>
        </w:tc>
        <w:tc>
          <w:tcPr>
            <w:tcW w:w="420" w:type="dxa"/>
            <w:vAlign w:val="bottom"/>
            <w:gridSpan w:val="20"/>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3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9516)</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 xml:space="preserve"> filed on March 16, 2006).</w:t>
              </w:r>
            </w:hyperlink>
          </w:p>
        </w:tc>
        <w:tc>
          <w:tcPr>
            <w:tcW w:w="7620" w:type="dxa"/>
            <w:vAlign w:val="bottom"/>
            <w:gridSpan w:val="33"/>
          </w:tcPr>
          <w:p>
            <w:pPr>
              <w:spacing w:after="0"/>
              <w:rPr>
                <w:sz w:val="17"/>
                <w:szCs w:val="17"/>
                <w:color w:val="auto"/>
              </w:rPr>
            </w:pPr>
          </w:p>
        </w:tc>
      </w:tr>
      <w:tr>
        <w:trPr>
          <w:trHeight w:val="250"/>
        </w:trPr>
        <w:tc>
          <w:tcPr>
            <w:tcW w:w="940" w:type="dxa"/>
            <w:vAlign w:val="bottom"/>
          </w:tcPr>
          <w:p>
            <w:pPr>
              <w:jc w:val="center"/>
              <w:ind w:right="530"/>
              <w:spacing w:after="0"/>
              <w:rPr>
                <w:sz w:val="20"/>
                <w:szCs w:val="20"/>
                <w:color w:val="auto"/>
              </w:rPr>
            </w:pPr>
            <w:r>
              <w:rPr>
                <w:rFonts w:ascii="Arial" w:cs="Arial" w:eastAsia="Arial" w:hAnsi="Arial"/>
                <w:sz w:val="18"/>
                <w:szCs w:val="18"/>
                <w:color w:val="auto"/>
                <w:w w:val="91"/>
              </w:rPr>
              <w:t>10.3</w:t>
            </w:r>
          </w:p>
        </w:tc>
        <w:tc>
          <w:tcPr>
            <w:tcW w:w="9720" w:type="dxa"/>
            <w:vAlign w:val="bottom"/>
            <w:tcBorders>
              <w:bottom w:val="single" w:sz="8" w:color="0000FF"/>
            </w:tcBorders>
            <w:gridSpan w:val="25"/>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Covered Affiliate and Shared Expenses Agreement by and among Icahn Enterprises, Icahn Partners LP, Icahn Fund Ltd., Icahn Fund II</w:t>
              </w:r>
            </w:hyperlink>
          </w:p>
        </w:tc>
        <w:tc>
          <w:tcPr>
            <w:tcW w:w="260" w:type="dxa"/>
            <w:vAlign w:val="bottom"/>
            <w:gridSpan w:val="13"/>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Ltd., Icahn Fund III Ltd., Icahn Partners Master Fund L.P., Icahn Partners Master Fund II L.P., Icahn Partners Master Fund III L.P., Icahn</w:t>
              </w:r>
            </w:hyperlink>
          </w:p>
        </w:tc>
      </w:tr>
      <w:tr>
        <w:trPr>
          <w:trHeight w:val="20"/>
        </w:trPr>
        <w:tc>
          <w:tcPr>
            <w:tcW w:w="94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Cayman Partners, L.P. and Icahn Partners Master Fund II Feeder LP (incorporated by reference to Exhibit 10.4 to Icahn Enterprises' Form</w:t>
              </w:r>
            </w:hyperlink>
          </w:p>
        </w:tc>
      </w:tr>
      <w:tr>
        <w:trPr>
          <w:trHeight w:val="196"/>
        </w:trPr>
        <w:tc>
          <w:tcPr>
            <w:tcW w:w="940" w:type="dxa"/>
            <w:vAlign w:val="bottom"/>
          </w:tcPr>
          <w:p>
            <w:pPr>
              <w:spacing w:after="0"/>
              <w:rPr>
                <w:sz w:val="17"/>
                <w:szCs w:val="17"/>
                <w:color w:val="auto"/>
              </w:rPr>
            </w:pPr>
          </w:p>
        </w:tc>
        <w:tc>
          <w:tcPr>
            <w:tcW w:w="9920" w:type="dxa"/>
            <w:vAlign w:val="bottom"/>
            <w:tcBorders>
              <w:top w:val="single" w:sz="8" w:color="0000FF"/>
            </w:tcBorders>
            <w:gridSpan w:val="35"/>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10-Q for the quarter ended June 30, 2007 (SEC File No. 1-9516), filed on August 9, 2007).</w:t>
              </w:r>
            </w:hyperlink>
          </w:p>
        </w:tc>
        <w:tc>
          <w:tcPr>
            <w:tcW w:w="60" w:type="dxa"/>
            <w:vAlign w:val="bottom"/>
            <w:gridSpan w:val="3"/>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jc w:val="center"/>
              <w:ind w:right="530"/>
              <w:spacing w:after="0"/>
              <w:rPr>
                <w:sz w:val="20"/>
                <w:szCs w:val="20"/>
                <w:color w:val="auto"/>
              </w:rPr>
            </w:pPr>
            <w:r>
              <w:rPr>
                <w:rFonts w:ascii="Arial" w:cs="Arial" w:eastAsia="Arial" w:hAnsi="Arial"/>
                <w:sz w:val="18"/>
                <w:szCs w:val="18"/>
                <w:color w:val="auto"/>
                <w:w w:val="91"/>
              </w:rPr>
              <w:t>10.4</w:t>
            </w:r>
          </w:p>
        </w:tc>
        <w:tc>
          <w:tcPr>
            <w:tcW w:w="9980" w:type="dxa"/>
            <w:vAlign w:val="bottom"/>
            <w:gridSpan w:val="38"/>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Agreement dated as of March 31, 2011 among Icahn Enterprises L.P., Icahn Enterprises Holdings L.P. and Icahn Enterprises G.P. Inc.,</w:t>
              </w:r>
            </w:hyperlink>
          </w:p>
        </w:tc>
      </w:tr>
      <w:tr>
        <w:trPr>
          <w:trHeight w:val="196"/>
        </w:trPr>
        <w:tc>
          <w:tcPr>
            <w:tcW w:w="940" w:type="dxa"/>
            <w:vAlign w:val="bottom"/>
          </w:tcPr>
          <w:p>
            <w:pPr>
              <w:spacing w:after="0"/>
              <w:rPr>
                <w:sz w:val="17"/>
                <w:szCs w:val="17"/>
                <w:color w:val="auto"/>
              </w:rPr>
            </w:pPr>
          </w:p>
        </w:tc>
        <w:tc>
          <w:tcPr>
            <w:tcW w:w="9640" w:type="dxa"/>
            <w:vAlign w:val="bottom"/>
            <w:tcBorders>
              <w:top w:val="single" w:sz="8" w:color="0000FF"/>
            </w:tcBorders>
            <w:gridSpan w:val="22"/>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Icahn Onshore LP, Icahn Offshore LP and Icahn Capital LP, Icahn Partners LP, Icahn Partners Master Fund LP, Icahn Partners Master</w:t>
              </w:r>
            </w:hyperlink>
          </w:p>
        </w:tc>
        <w:tc>
          <w:tcPr>
            <w:tcW w:w="340" w:type="dxa"/>
            <w:vAlign w:val="bottom"/>
            <w:gridSpan w:val="16"/>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52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Fund II LP, Icahn Partners Master Fund III LP, Carl C. Icahn, Brett Icahn, Samuel Merksamer, David Schechter, Vincent Intrieri and</w:t>
              </w:r>
            </w:hyperlink>
          </w:p>
        </w:tc>
        <w:tc>
          <w:tcPr>
            <w:tcW w:w="80" w:type="dxa"/>
            <w:vAlign w:val="bottom"/>
            <w:tcBorders>
              <w:top w:val="single" w:sz="8" w:color="0000FF"/>
            </w:tcBorders>
            <w:gridSpan w:val="3"/>
          </w:tcPr>
          <w:p>
            <w:pPr>
              <w:spacing w:after="0"/>
              <w:rPr>
                <w:sz w:val="17"/>
                <w:szCs w:val="17"/>
                <w:color w:val="auto"/>
              </w:rPr>
            </w:pPr>
          </w:p>
        </w:tc>
        <w:tc>
          <w:tcPr>
            <w:tcW w:w="380" w:type="dxa"/>
            <w:vAlign w:val="bottom"/>
            <w:gridSpan w:val="18"/>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David Yim (incorporated by reference to Exhibit 10.2 to Icahn Enterprises' Form 10-Q (SEC File No. 1-9516), filed on August 9, 2011).</w:t>
              </w:r>
            </w:hyperlink>
          </w:p>
        </w:tc>
      </w:tr>
      <w:tr>
        <w:trPr>
          <w:trHeight w:val="250"/>
        </w:trPr>
        <w:tc>
          <w:tcPr>
            <w:tcW w:w="940" w:type="dxa"/>
            <w:vAlign w:val="bottom"/>
          </w:tcPr>
          <w:p>
            <w:pPr>
              <w:jc w:val="center"/>
              <w:ind w:right="530"/>
              <w:spacing w:after="0"/>
              <w:rPr>
                <w:sz w:val="20"/>
                <w:szCs w:val="20"/>
                <w:color w:val="auto"/>
              </w:rPr>
            </w:pPr>
            <w:r>
              <w:rPr>
                <w:rFonts w:ascii="Arial" w:cs="Arial" w:eastAsia="Arial" w:hAnsi="Arial"/>
                <w:sz w:val="18"/>
                <w:szCs w:val="18"/>
                <w:color w:val="auto"/>
                <w:w w:val="91"/>
              </w:rPr>
              <w:t>10.5</w:t>
            </w:r>
          </w:p>
        </w:tc>
        <w:tc>
          <w:tcPr>
            <w:tcW w:w="9800" w:type="dxa"/>
            <w:vAlign w:val="bottom"/>
            <w:tcBorders>
              <w:top w:val="single" w:sz="8" w:color="0000FF"/>
            </w:tcBorders>
            <w:gridSpan w:val="29"/>
          </w:tcPr>
          <w:p>
            <w:pPr>
              <w:spacing w:after="0"/>
              <w:rPr>
                <w:rFonts w:ascii="Arial" w:cs="Arial" w:eastAsia="Arial" w:hAnsi="Arial"/>
                <w:sz w:val="18"/>
                <w:szCs w:val="18"/>
                <w:color w:val="0000FF"/>
                <w:w w:val="92"/>
              </w:rPr>
            </w:pPr>
            <w:hyperlink r:id="rId73">
              <w:r>
                <w:rPr>
                  <w:rFonts w:ascii="Arial" w:cs="Arial" w:eastAsia="Arial" w:hAnsi="Arial"/>
                  <w:sz w:val="18"/>
                  <w:szCs w:val="18"/>
                  <w:color w:val="0000FF"/>
                  <w:w w:val="92"/>
                </w:rPr>
                <w:t>Contribution Agreement, dated February 29, 2016, among Icahn Enterprises L.P. and IRL Holding LLC (incorporated by reference to</w:t>
              </w:r>
            </w:hyperlink>
          </w:p>
        </w:tc>
        <w:tc>
          <w:tcPr>
            <w:tcW w:w="180" w:type="dxa"/>
            <w:vAlign w:val="bottom"/>
            <w:gridSpan w:val="9"/>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6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Exhibit 1 to Icahn Enterprises' Form 8-K (SEC File No. 1-9516), filed on March 1, 2016).</w:t>
              </w:r>
            </w:hyperlink>
          </w:p>
        </w:tc>
        <w:tc>
          <w:tcPr>
            <w:tcW w:w="380" w:type="dxa"/>
            <w:vAlign w:val="bottom"/>
            <w:gridSpan w:val="18"/>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jc w:val="center"/>
              <w:ind w:right="530"/>
              <w:spacing w:after="0"/>
              <w:rPr>
                <w:sz w:val="20"/>
                <w:szCs w:val="20"/>
                <w:color w:val="auto"/>
              </w:rPr>
            </w:pPr>
            <w:r>
              <w:rPr>
                <w:rFonts w:ascii="Arial" w:cs="Arial" w:eastAsia="Arial" w:hAnsi="Arial"/>
                <w:sz w:val="18"/>
                <w:szCs w:val="18"/>
                <w:color w:val="auto"/>
                <w:w w:val="91"/>
              </w:rPr>
              <w:t>10.6</w:t>
            </w:r>
          </w:p>
        </w:tc>
        <w:tc>
          <w:tcPr>
            <w:tcW w:w="9980" w:type="dxa"/>
            <w:vAlign w:val="bottom"/>
            <w:gridSpan w:val="38"/>
          </w:tcPr>
          <w:p>
            <w:pPr>
              <w:spacing w:after="0"/>
              <w:rPr>
                <w:rFonts w:ascii="Arial" w:cs="Arial" w:eastAsia="Arial" w:hAnsi="Arial"/>
                <w:sz w:val="18"/>
                <w:szCs w:val="18"/>
                <w:color w:val="0000FF"/>
                <w:w w:val="93"/>
              </w:rPr>
            </w:pPr>
            <w:hyperlink r:id="rId74">
              <w:r>
                <w:rPr>
                  <w:rFonts w:ascii="Arial" w:cs="Arial" w:eastAsia="Arial" w:hAnsi="Arial"/>
                  <w:sz w:val="18"/>
                  <w:szCs w:val="18"/>
                  <w:color w:val="0000FF"/>
                  <w:w w:val="93"/>
                </w:rPr>
                <w:t>Senior Term Loan Credit Agreement, dated April 1, 2016, by and among CVR Partners, LP, as Borrower, and American Entertainment</w:t>
              </w:r>
            </w:hyperlink>
          </w:p>
        </w:tc>
      </w:tr>
      <w:tr>
        <w:trPr>
          <w:trHeight w:val="20"/>
        </w:trPr>
        <w:tc>
          <w:tcPr>
            <w:tcW w:w="94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520" w:type="dxa"/>
            <w:vAlign w:val="bottom"/>
            <w:gridSpan w:val="10"/>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Properties Corp., as Lender (incorporated by reference to Exhibit 10.1 to Icahn Enterprises' and Icahn Enterprises Holdings' joint Form 8-</w:t>
              </w:r>
            </w:hyperlink>
          </w:p>
        </w:tc>
      </w:tr>
      <w:tr>
        <w:trPr>
          <w:trHeight w:val="196"/>
        </w:trPr>
        <w:tc>
          <w:tcPr>
            <w:tcW w:w="940" w:type="dxa"/>
            <w:vAlign w:val="bottom"/>
          </w:tcPr>
          <w:p>
            <w:pPr>
              <w:spacing w:after="0"/>
              <w:rPr>
                <w:sz w:val="17"/>
                <w:szCs w:val="17"/>
                <w:color w:val="auto"/>
              </w:rPr>
            </w:pPr>
          </w:p>
        </w:tc>
        <w:tc>
          <w:tcPr>
            <w:tcW w:w="60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K (SEC File Nos. 1-9516 and 333-118021-01, respectively), filed on April 7, 2016).</w:t>
              </w:r>
            </w:hyperlink>
          </w:p>
        </w:tc>
        <w:tc>
          <w:tcPr>
            <w:tcW w:w="3840" w:type="dxa"/>
            <w:vAlign w:val="bottom"/>
            <w:tcBorders>
              <w:top w:val="single" w:sz="8" w:color="0000FF"/>
            </w:tcBorders>
            <w:gridSpan w:val="25"/>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50"/>
        </w:trPr>
        <w:tc>
          <w:tcPr>
            <w:tcW w:w="940" w:type="dxa"/>
            <w:vAlign w:val="bottom"/>
          </w:tcPr>
          <w:p>
            <w:pPr>
              <w:jc w:val="center"/>
              <w:ind w:right="530"/>
              <w:spacing w:after="0"/>
              <w:rPr>
                <w:sz w:val="20"/>
                <w:szCs w:val="20"/>
                <w:color w:val="auto"/>
              </w:rPr>
            </w:pPr>
            <w:r>
              <w:rPr>
                <w:rFonts w:ascii="Arial" w:cs="Arial" w:eastAsia="Arial" w:hAnsi="Arial"/>
                <w:sz w:val="18"/>
                <w:szCs w:val="18"/>
                <w:color w:val="auto"/>
                <w:w w:val="91"/>
              </w:rPr>
              <w:t>10.7</w:t>
            </w:r>
          </w:p>
        </w:tc>
        <w:tc>
          <w:tcPr>
            <w:tcW w:w="9580" w:type="dxa"/>
            <w:vAlign w:val="bottom"/>
            <w:tcBorders>
              <w:bottom w:val="single" w:sz="8" w:color="0000FF"/>
            </w:tcBorders>
            <w:gridSpan w:val="19"/>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Senior Term Loan Credit Agreement, dated April 1, 2016, by and among CVR Partners, LP, as Borrower, and Coffeyville Resources,</w:t>
              </w:r>
            </w:hyperlink>
          </w:p>
        </w:tc>
        <w:tc>
          <w:tcPr>
            <w:tcW w:w="400" w:type="dxa"/>
            <w:vAlign w:val="bottom"/>
            <w:gridSpan w:val="19"/>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960" w:type="dxa"/>
            <w:vAlign w:val="bottom"/>
            <w:tcBorders>
              <w:bottom w:val="single" w:sz="8" w:color="0000FF"/>
            </w:tcBorders>
            <w:gridSpan w:val="37"/>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LLC, as Lender (incorporated by reference to Exhibit 10.2 to Icahn Enterprises' and Icahn Enterprises Holdings' joint Form 8-K (SEC File</w:t>
              </w:r>
            </w:hyperlink>
          </w:p>
        </w:tc>
        <w:tc>
          <w:tcPr>
            <w:tcW w:w="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980" w:type="dxa"/>
            <w:vAlign w:val="bottom"/>
            <w:gridSpan w:val="38"/>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Nos. 1-9516 and 333-118021-01, respectively), filed on April 7, 2016).</w:t>
              </w:r>
            </w:hyperlink>
          </w:p>
        </w:tc>
      </w:tr>
      <w:tr>
        <w:trPr>
          <w:trHeight w:val="507"/>
        </w:trPr>
        <w:tc>
          <w:tcPr>
            <w:tcW w:w="940" w:type="dxa"/>
            <w:vAlign w:val="bottom"/>
          </w:tcPr>
          <w:p>
            <w:pPr>
              <w:spacing w:after="0"/>
              <w:rPr>
                <w:sz w:val="24"/>
                <w:szCs w:val="24"/>
                <w:color w:val="auto"/>
              </w:rPr>
            </w:pPr>
          </w:p>
        </w:tc>
        <w:tc>
          <w:tcPr>
            <w:tcW w:w="5120" w:type="dxa"/>
            <w:vAlign w:val="bottom"/>
            <w:tcBorders>
              <w:top w:val="single" w:sz="8" w:color="0000FF"/>
            </w:tcBorders>
            <w:gridSpan w:val="7"/>
          </w:tcPr>
          <w:p>
            <w:pPr>
              <w:ind w:left="4160"/>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20"/>
          </w:cols>
          <w:pgMar w:left="720" w:top="513" w:right="25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center"/>
              <w:ind w:right="350"/>
              <w:spacing w:after="0"/>
              <w:rPr>
                <w:sz w:val="20"/>
                <w:szCs w:val="20"/>
                <w:color w:val="auto"/>
              </w:rPr>
            </w:pPr>
            <w:r>
              <w:rPr>
                <w:rFonts w:ascii="Arial" w:cs="Arial" w:eastAsia="Arial" w:hAnsi="Arial"/>
                <w:sz w:val="18"/>
                <w:szCs w:val="18"/>
                <w:color w:val="auto"/>
                <w:w w:val="91"/>
              </w:rPr>
              <w:t>10.8</w:t>
            </w:r>
          </w:p>
        </w:tc>
        <w:tc>
          <w:tcPr>
            <w:tcW w:w="9920" w:type="dxa"/>
            <w:vAlign w:val="bottom"/>
            <w:tcBorders>
              <w:bottom w:val="single" w:sz="8" w:color="0000FF"/>
            </w:tcBorders>
            <w:gridSpan w:val="19"/>
          </w:tcPr>
          <w:p>
            <w:pPr>
              <w:spacing w:after="0"/>
              <w:rPr>
                <w:rFonts w:ascii="Arial" w:cs="Arial" w:eastAsia="Arial" w:hAnsi="Arial"/>
                <w:sz w:val="18"/>
                <w:szCs w:val="18"/>
                <w:color w:val="0000FF"/>
                <w:w w:val="89"/>
              </w:rPr>
            </w:pPr>
            <w:hyperlink r:id="rId76">
              <w:r>
                <w:rPr>
                  <w:rFonts w:ascii="Arial" w:cs="Arial" w:eastAsia="Arial" w:hAnsi="Arial"/>
                  <w:sz w:val="18"/>
                  <w:szCs w:val="18"/>
                  <w:color w:val="0000FF"/>
                  <w:w w:val="89"/>
                </w:rPr>
                <w:t>Registration Rights Agreement, dated January 18, 2017, among Icahn Enterprises, Icahn Enterprises Finance, Icahn Enterprises Holdings,</w:t>
              </w:r>
            </w:hyperlink>
          </w:p>
        </w:tc>
      </w:tr>
      <w:tr>
        <w:trPr>
          <w:trHeight w:val="196"/>
        </w:trPr>
        <w:tc>
          <w:tcPr>
            <w:tcW w:w="1120" w:type="dxa"/>
            <w:vAlign w:val="bottom"/>
          </w:tcPr>
          <w:p>
            <w:pPr>
              <w:spacing w:after="0"/>
              <w:rPr>
                <w:sz w:val="17"/>
                <w:szCs w:val="17"/>
                <w:color w:val="auto"/>
              </w:rPr>
            </w:pPr>
          </w:p>
        </w:tc>
        <w:tc>
          <w:tcPr>
            <w:tcW w:w="93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as Guarantor, and Jefferies LLC, as the Initial Purchaser (incorporated by reference to Exhibit 10.1 to Icahn Enterprises' and Icahn</w:t>
              </w:r>
            </w:hyperlink>
          </w:p>
        </w:tc>
        <w:tc>
          <w:tcPr>
            <w:tcW w:w="54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8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Enterprises Holdings' joint Form 8-K (SEC File Nos. 1-9516 and 333-118021-01, respectively), filed on January 18, 2017).</w:t>
              </w:r>
            </w:hyperlink>
          </w:p>
        </w:tc>
        <w:tc>
          <w:tcPr>
            <w:tcW w:w="1040" w:type="dxa"/>
            <w:vAlign w:val="bottom"/>
            <w:gridSpan w:val="11"/>
          </w:tcPr>
          <w:p>
            <w:pPr>
              <w:spacing w:after="0"/>
              <w:rPr>
                <w:sz w:val="17"/>
                <w:szCs w:val="17"/>
                <w:color w:val="auto"/>
              </w:rPr>
            </w:pPr>
          </w:p>
        </w:tc>
      </w:tr>
      <w:tr>
        <w:trPr>
          <w:trHeight w:val="250"/>
        </w:trPr>
        <w:tc>
          <w:tcPr>
            <w:tcW w:w="1120" w:type="dxa"/>
            <w:vAlign w:val="bottom"/>
          </w:tcPr>
          <w:p>
            <w:pPr>
              <w:jc w:val="center"/>
              <w:ind w:right="350"/>
              <w:spacing w:after="0"/>
              <w:rPr>
                <w:sz w:val="20"/>
                <w:szCs w:val="20"/>
                <w:color w:val="auto"/>
              </w:rPr>
            </w:pPr>
            <w:r>
              <w:rPr>
                <w:rFonts w:ascii="Arial" w:cs="Arial" w:eastAsia="Arial" w:hAnsi="Arial"/>
                <w:sz w:val="18"/>
                <w:szCs w:val="18"/>
                <w:color w:val="auto"/>
                <w:w w:val="91"/>
              </w:rPr>
              <w:t>10.9</w:t>
            </w:r>
          </w:p>
        </w:tc>
        <w:tc>
          <w:tcPr>
            <w:tcW w:w="9920" w:type="dxa"/>
            <w:vAlign w:val="bottom"/>
            <w:gridSpan w:val="19"/>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Registration Rights Agreement, dated December 6, 2017, among Icahn Enterprises, Icahn Enterprises Finance, Icahn Enterprises</w:t>
              </w:r>
            </w:hyperlink>
          </w:p>
        </w:tc>
      </w:tr>
      <w:tr>
        <w:trPr>
          <w:trHeight w:val="20"/>
        </w:trPr>
        <w:tc>
          <w:tcPr>
            <w:tcW w:w="11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6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Holdings, as Guarantor, and Jefferies LLC, as the Initial Purchaser (incorporated by reference to Exhibit 10.1 to Icahn Enterprises' and</w:t>
              </w:r>
            </w:hyperlink>
          </w:p>
        </w:tc>
        <w:tc>
          <w:tcPr>
            <w:tcW w:w="24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FF"/>
                <w:w w:val="96"/>
              </w:rPr>
            </w:pPr>
            <w:hyperlink r:id="rId77">
              <w:r>
                <w:rPr>
                  <w:rFonts w:ascii="Arial" w:cs="Arial" w:eastAsia="Arial" w:hAnsi="Arial"/>
                  <w:sz w:val="18"/>
                  <w:szCs w:val="18"/>
                  <w:color w:val="0000FF"/>
                  <w:w w:val="96"/>
                </w:rPr>
                <w:t>Icahn Enterprises Holdings' joint Form 8-K (SEC File Nos. 1-9516 and 333-118021-01, respectively), filed on December 6, 2017).</w:t>
              </w:r>
            </w:hyperlink>
          </w:p>
        </w:tc>
      </w:tr>
      <w:tr>
        <w:trPr>
          <w:trHeight w:val="20"/>
        </w:trPr>
        <w:tc>
          <w:tcPr>
            <w:tcW w:w="11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120" w:type="dxa"/>
            <w:vAlign w:val="bottom"/>
          </w:tcPr>
          <w:p>
            <w:pPr>
              <w:jc w:val="center"/>
              <w:ind w:right="350"/>
              <w:spacing w:after="0"/>
              <w:rPr>
                <w:sz w:val="20"/>
                <w:szCs w:val="20"/>
                <w:color w:val="auto"/>
              </w:rPr>
            </w:pPr>
            <w:r>
              <w:rPr>
                <w:rFonts w:ascii="Arial" w:cs="Arial" w:eastAsia="Arial" w:hAnsi="Arial"/>
                <w:sz w:val="18"/>
                <w:szCs w:val="18"/>
                <w:color w:val="auto"/>
                <w:w w:val="88"/>
              </w:rPr>
              <w:t>10.10</w:t>
            </w:r>
          </w:p>
        </w:tc>
        <w:tc>
          <w:tcPr>
            <w:tcW w:w="9920" w:type="dxa"/>
            <w:vAlign w:val="bottom"/>
            <w:gridSpan w:val="19"/>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Amendment No. 1 and Joinder to Purchase and Sale Agreement, dated October 1, 2018, by and among Tropicana Entertainment Inc.,</w:t>
              </w:r>
            </w:hyperlink>
          </w:p>
        </w:tc>
      </w:tr>
      <w:tr>
        <w:trPr>
          <w:trHeight w:val="196"/>
        </w:trPr>
        <w:tc>
          <w:tcPr>
            <w:tcW w:w="1120" w:type="dxa"/>
            <w:vAlign w:val="bottom"/>
          </w:tcPr>
          <w:p>
            <w:pPr>
              <w:spacing w:after="0"/>
              <w:rPr>
                <w:sz w:val="17"/>
                <w:szCs w:val="17"/>
                <w:color w:val="auto"/>
              </w:rPr>
            </w:pPr>
          </w:p>
        </w:tc>
        <w:tc>
          <w:tcPr>
            <w:tcW w:w="9580" w:type="dxa"/>
            <w:vAlign w:val="bottom"/>
            <w:tcBorders>
              <w:top w:val="single" w:sz="8" w:color="0000FF"/>
            </w:tcBorders>
            <w:gridSpan w:val="16"/>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GLP Capital, L.P. and Eldorado Resorts, Inc. (incorporated by reference to Exhibit 10.1 to Icahn Enterprises' and Icahn Enterprises</w:t>
              </w:r>
            </w:hyperlink>
          </w:p>
        </w:tc>
        <w:tc>
          <w:tcPr>
            <w:tcW w:w="34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42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Holdings' joint Form 8-K (SEC File Nos. 1-9516 and 333-118021-01, respectively) file October 2, 2018).</w:t>
              </w:r>
            </w:hyperlink>
          </w:p>
        </w:tc>
        <w:tc>
          <w:tcPr>
            <w:tcW w:w="500" w:type="dxa"/>
            <w:vAlign w:val="bottom"/>
            <w:gridSpan w:val="6"/>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120" w:type="dxa"/>
            <w:vAlign w:val="bottom"/>
          </w:tcPr>
          <w:p>
            <w:pPr>
              <w:jc w:val="center"/>
              <w:ind w:right="350"/>
              <w:spacing w:after="0"/>
              <w:rPr>
                <w:sz w:val="20"/>
                <w:szCs w:val="20"/>
                <w:color w:val="auto"/>
              </w:rPr>
            </w:pPr>
            <w:r>
              <w:rPr>
                <w:rFonts w:ascii="Arial" w:cs="Arial" w:eastAsia="Arial" w:hAnsi="Arial"/>
                <w:sz w:val="18"/>
                <w:szCs w:val="18"/>
                <w:color w:val="auto"/>
                <w:w w:val="91"/>
              </w:rPr>
              <w:t>14.1</w:t>
            </w:r>
          </w:p>
        </w:tc>
        <w:tc>
          <w:tcPr>
            <w:tcW w:w="9700" w:type="dxa"/>
            <w:vAlign w:val="bottom"/>
            <w:tcBorders>
              <w:bottom w:val="single" w:sz="8" w:color="0000FF"/>
            </w:tcBorders>
            <w:gridSpan w:val="18"/>
          </w:tcPr>
          <w:p>
            <w:pPr>
              <w:spacing w:after="0"/>
              <w:rPr>
                <w:rFonts w:ascii="Arial" w:cs="Arial" w:eastAsia="Arial" w:hAnsi="Arial"/>
                <w:sz w:val="18"/>
                <w:szCs w:val="18"/>
                <w:color w:val="0000FF"/>
                <w:w w:val="90"/>
              </w:rPr>
            </w:pPr>
            <w:hyperlink r:id="rId79">
              <w:r>
                <w:rPr>
                  <w:rFonts w:ascii="Arial" w:cs="Arial" w:eastAsia="Arial" w:hAnsi="Arial"/>
                  <w:sz w:val="18"/>
                  <w:szCs w:val="18"/>
                  <w:color w:val="0000FF"/>
                  <w:w w:val="90"/>
                </w:rPr>
                <w:t>Code of Business Conduct and Ethics (incorporated by reference to Exhibit 14.1 to Icahn Enterprises' Form 10-Q for the quarter ended</w:t>
              </w:r>
            </w:hyperlink>
          </w:p>
        </w:tc>
        <w:tc>
          <w:tcPr>
            <w:tcW w:w="22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September 30, 2012 (SEC File No. 1-9516), filed on November 7, 2012).</w:t>
              </w:r>
            </w:hyperlink>
          </w:p>
        </w:tc>
      </w:tr>
      <w:tr>
        <w:trPr>
          <w:trHeight w:val="20"/>
        </w:trPr>
        <w:tc>
          <w:tcPr>
            <w:tcW w:w="11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50"/>
        </w:trPr>
        <w:tc>
          <w:tcPr>
            <w:tcW w:w="1120" w:type="dxa"/>
            <w:vAlign w:val="bottom"/>
          </w:tcPr>
          <w:p>
            <w:pPr>
              <w:jc w:val="center"/>
              <w:ind w:right="350"/>
              <w:spacing w:after="0"/>
              <w:rPr>
                <w:sz w:val="20"/>
                <w:szCs w:val="20"/>
                <w:color w:val="auto"/>
              </w:rPr>
            </w:pPr>
            <w:r>
              <w:rPr>
                <w:rFonts w:ascii="Arial" w:cs="Arial" w:eastAsia="Arial" w:hAnsi="Arial"/>
                <w:sz w:val="18"/>
                <w:szCs w:val="18"/>
                <w:color w:val="auto"/>
                <w:w w:val="91"/>
              </w:rPr>
              <w:t>18.1</w:t>
            </w:r>
          </w:p>
        </w:tc>
        <w:tc>
          <w:tcPr>
            <w:tcW w:w="9920" w:type="dxa"/>
            <w:vAlign w:val="bottom"/>
            <w:gridSpan w:val="19"/>
          </w:tcPr>
          <w:p>
            <w:pPr>
              <w:spacing w:after="0"/>
              <w:rPr>
                <w:rFonts w:ascii="Arial" w:cs="Arial" w:eastAsia="Arial" w:hAnsi="Arial"/>
                <w:sz w:val="18"/>
                <w:szCs w:val="18"/>
                <w:color w:val="0000FF"/>
                <w:w w:val="96"/>
              </w:rPr>
            </w:pPr>
            <w:hyperlink r:id="rId80">
              <w:r>
                <w:rPr>
                  <w:rFonts w:ascii="Arial" w:cs="Arial" w:eastAsia="Arial" w:hAnsi="Arial"/>
                  <w:sz w:val="18"/>
                  <w:szCs w:val="18"/>
                  <w:color w:val="0000FF"/>
                  <w:w w:val="96"/>
                </w:rPr>
                <w:t>Preferability letter received from Grant Thornton LLP, dated November 7, 2007 (incorporated by reference to Exhibit 18.1 to Icahn</w:t>
              </w:r>
            </w:hyperlink>
          </w:p>
        </w:tc>
      </w:tr>
      <w:tr>
        <w:trPr>
          <w:trHeight w:val="196"/>
        </w:trPr>
        <w:tc>
          <w:tcPr>
            <w:tcW w:w="1120" w:type="dxa"/>
            <w:vAlign w:val="bottom"/>
          </w:tcPr>
          <w:p>
            <w:pPr>
              <w:spacing w:after="0"/>
              <w:rPr>
                <w:sz w:val="17"/>
                <w:szCs w:val="17"/>
                <w:color w:val="auto"/>
              </w:rPr>
            </w:pPr>
          </w:p>
        </w:tc>
        <w:tc>
          <w:tcPr>
            <w:tcW w:w="94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Enterprises' Form 10-Q for the quarter ended September 30, 2007 (SEC File No. 1-9516), filed on November 9, 2007).</w:t>
              </w:r>
            </w:hyperlink>
          </w:p>
        </w:tc>
        <w:tc>
          <w:tcPr>
            <w:tcW w:w="480" w:type="dxa"/>
            <w:vAlign w:val="bottom"/>
            <w:gridSpan w:val="5"/>
          </w:tcPr>
          <w:p>
            <w:pPr>
              <w:spacing w:after="0"/>
              <w:rPr>
                <w:sz w:val="17"/>
                <w:szCs w:val="17"/>
                <w:color w:val="auto"/>
              </w:rPr>
            </w:pPr>
          </w:p>
        </w:tc>
      </w:tr>
      <w:tr>
        <w:trPr>
          <w:trHeight w:val="250"/>
        </w:trPr>
        <w:tc>
          <w:tcPr>
            <w:tcW w:w="1120" w:type="dxa"/>
            <w:vAlign w:val="bottom"/>
          </w:tcPr>
          <w:p>
            <w:pPr>
              <w:jc w:val="center"/>
              <w:ind w:right="350"/>
              <w:spacing w:after="0"/>
              <w:rPr>
                <w:sz w:val="20"/>
                <w:szCs w:val="20"/>
                <w:color w:val="auto"/>
              </w:rPr>
            </w:pPr>
            <w:r>
              <w:rPr>
                <w:rFonts w:ascii="Arial" w:cs="Arial" w:eastAsia="Arial" w:hAnsi="Arial"/>
                <w:sz w:val="18"/>
                <w:szCs w:val="18"/>
                <w:color w:val="auto"/>
                <w:w w:val="91"/>
              </w:rPr>
              <w:t>21.1</w:t>
            </w:r>
          </w:p>
        </w:tc>
        <w:tc>
          <w:tcPr>
            <w:tcW w:w="224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148">
              <w:r>
                <w:rPr>
                  <w:rFonts w:ascii="Arial" w:cs="Arial" w:eastAsia="Arial" w:hAnsi="Arial"/>
                  <w:sz w:val="18"/>
                  <w:szCs w:val="18"/>
                  <w:color w:val="0000FF"/>
                  <w:w w:val="89"/>
                </w:rPr>
                <w:t>Subsidiaries of the Registrants.</w:t>
              </w:r>
            </w:hyperlink>
          </w:p>
        </w:tc>
        <w:tc>
          <w:tcPr>
            <w:tcW w:w="6300" w:type="dxa"/>
            <w:vAlign w:val="bottom"/>
            <w:tcBorders>
              <w:top w:val="single" w:sz="8" w:color="0000FF"/>
            </w:tcBorders>
            <w:gridSpan w:val="6"/>
          </w:tcPr>
          <w:p>
            <w:pPr>
              <w:spacing w:after="0"/>
              <w:rPr>
                <w:sz w:val="21"/>
                <w:szCs w:val="21"/>
                <w:color w:val="auto"/>
              </w:rPr>
            </w:pPr>
          </w:p>
        </w:tc>
        <w:tc>
          <w:tcPr>
            <w:tcW w:w="1380" w:type="dxa"/>
            <w:vAlign w:val="bottom"/>
            <w:gridSpan w:val="12"/>
          </w:tcPr>
          <w:p>
            <w:pPr>
              <w:spacing w:after="0"/>
              <w:rPr>
                <w:sz w:val="21"/>
                <w:szCs w:val="21"/>
                <w:color w:val="auto"/>
              </w:rPr>
            </w:pPr>
          </w:p>
        </w:tc>
      </w:tr>
      <w:tr>
        <w:trPr>
          <w:trHeight w:val="250"/>
        </w:trPr>
        <w:tc>
          <w:tcPr>
            <w:tcW w:w="1120" w:type="dxa"/>
            <w:vAlign w:val="bottom"/>
          </w:tcPr>
          <w:p>
            <w:pPr>
              <w:jc w:val="center"/>
              <w:ind w:right="350"/>
              <w:spacing w:after="0"/>
              <w:rPr>
                <w:sz w:val="20"/>
                <w:szCs w:val="20"/>
                <w:color w:val="auto"/>
              </w:rPr>
            </w:pPr>
            <w:r>
              <w:rPr>
                <w:rFonts w:ascii="Arial" w:cs="Arial" w:eastAsia="Arial" w:hAnsi="Arial"/>
                <w:sz w:val="18"/>
                <w:szCs w:val="18"/>
                <w:color w:val="auto"/>
                <w:w w:val="91"/>
              </w:rPr>
              <w:t>23.1</w:t>
            </w:r>
          </w:p>
        </w:tc>
        <w:tc>
          <w:tcPr>
            <w:tcW w:w="234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54">
              <w:r>
                <w:rPr>
                  <w:rFonts w:ascii="Arial" w:cs="Arial" w:eastAsia="Arial" w:hAnsi="Arial"/>
                  <w:sz w:val="18"/>
                  <w:szCs w:val="18"/>
                  <w:color w:val="0000FF"/>
                  <w:w w:val="90"/>
                </w:rPr>
                <w:t>Consent of Grant Thornton LLP.</w:t>
              </w:r>
            </w:hyperlink>
          </w:p>
        </w:tc>
        <w:tc>
          <w:tcPr>
            <w:tcW w:w="7580" w:type="dxa"/>
            <w:vAlign w:val="bottom"/>
            <w:gridSpan w:val="17"/>
          </w:tcPr>
          <w:p>
            <w:pPr>
              <w:spacing w:after="0"/>
              <w:rPr>
                <w:sz w:val="21"/>
                <w:szCs w:val="21"/>
                <w:color w:val="auto"/>
              </w:rPr>
            </w:pPr>
          </w:p>
        </w:tc>
      </w:tr>
      <w:tr>
        <w:trPr>
          <w:trHeight w:val="250"/>
        </w:trPr>
        <w:tc>
          <w:tcPr>
            <w:tcW w:w="1120" w:type="dxa"/>
            <w:vAlign w:val="bottom"/>
          </w:tcPr>
          <w:p>
            <w:pPr>
              <w:jc w:val="center"/>
              <w:ind w:right="350"/>
              <w:spacing w:after="0"/>
              <w:rPr>
                <w:sz w:val="20"/>
                <w:szCs w:val="20"/>
                <w:color w:val="auto"/>
              </w:rPr>
            </w:pPr>
            <w:r>
              <w:rPr>
                <w:rFonts w:ascii="Arial" w:cs="Arial" w:eastAsia="Arial" w:hAnsi="Arial"/>
                <w:sz w:val="18"/>
                <w:szCs w:val="18"/>
                <w:color w:val="auto"/>
                <w:w w:val="91"/>
              </w:rPr>
              <w:t>31.1</w:t>
            </w:r>
          </w:p>
        </w:tc>
        <w:tc>
          <w:tcPr>
            <w:tcW w:w="928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155">
              <w:r>
                <w:rPr>
                  <w:rFonts w:ascii="Arial" w:cs="Arial" w:eastAsia="Arial" w:hAnsi="Arial"/>
                  <w:sz w:val="18"/>
                  <w:szCs w:val="18"/>
                  <w:color w:val="0000FF"/>
                  <w:w w:val="91"/>
                </w:rPr>
                <w:t>Certification of Chief Executive Officer pursuant to Section 302(a) of the Sarbanes-Oxley Act of 2002 and Rule 13a-14(a) of the</w:t>
              </w:r>
            </w:hyperlink>
          </w:p>
        </w:tc>
        <w:tc>
          <w:tcPr>
            <w:tcW w:w="640" w:type="dxa"/>
            <w:vAlign w:val="bottom"/>
            <w:gridSpan w:val="9"/>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FF"/>
              </w:rPr>
            </w:pPr>
            <w:hyperlink w:anchor="page155">
              <w:r>
                <w:rPr>
                  <w:rFonts w:ascii="Arial" w:cs="Arial" w:eastAsia="Arial" w:hAnsi="Arial"/>
                  <w:sz w:val="18"/>
                  <w:szCs w:val="18"/>
                  <w:color w:val="0000FF"/>
                </w:rPr>
                <w:t>Securities Exchange Act of 1934.</w:t>
              </w:r>
            </w:hyperlink>
          </w:p>
        </w:tc>
      </w:tr>
      <w:tr>
        <w:trPr>
          <w:trHeight w:val="20"/>
        </w:trPr>
        <w:tc>
          <w:tcPr>
            <w:tcW w:w="112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50"/>
        </w:trPr>
        <w:tc>
          <w:tcPr>
            <w:tcW w:w="1120" w:type="dxa"/>
            <w:vAlign w:val="bottom"/>
          </w:tcPr>
          <w:p>
            <w:pPr>
              <w:jc w:val="center"/>
              <w:ind w:right="350"/>
              <w:spacing w:after="0"/>
              <w:rPr>
                <w:sz w:val="20"/>
                <w:szCs w:val="20"/>
                <w:color w:val="auto"/>
              </w:rPr>
            </w:pPr>
            <w:r>
              <w:rPr>
                <w:rFonts w:ascii="Arial" w:cs="Arial" w:eastAsia="Arial" w:hAnsi="Arial"/>
                <w:sz w:val="18"/>
                <w:szCs w:val="18"/>
                <w:color w:val="auto"/>
                <w:w w:val="91"/>
              </w:rPr>
              <w:t>31.2</w:t>
            </w:r>
          </w:p>
        </w:tc>
        <w:tc>
          <w:tcPr>
            <w:tcW w:w="9920" w:type="dxa"/>
            <w:vAlign w:val="bottom"/>
            <w:gridSpan w:val="19"/>
          </w:tcPr>
          <w:p>
            <w:pPr>
              <w:spacing w:after="0"/>
              <w:rPr>
                <w:rFonts w:ascii="Arial" w:cs="Arial" w:eastAsia="Arial" w:hAnsi="Arial"/>
                <w:sz w:val="18"/>
                <w:szCs w:val="18"/>
                <w:color w:val="0000FF"/>
                <w:w w:val="98"/>
              </w:rPr>
            </w:pPr>
            <w:hyperlink w:anchor="page156">
              <w:r>
                <w:rPr>
                  <w:rFonts w:ascii="Arial" w:cs="Arial" w:eastAsia="Arial" w:hAnsi="Arial"/>
                  <w:sz w:val="18"/>
                  <w:szCs w:val="18"/>
                  <w:color w:val="0000FF"/>
                  <w:w w:val="98"/>
                </w:rPr>
                <w:t>Certification of Chief Financial Officer pursuant to Section 302(a) of the Sarbanes-Oxley Act of 2002 and Rule 13a-14(a) of the</w:t>
              </w:r>
            </w:hyperlink>
          </w:p>
        </w:tc>
      </w:tr>
      <w:tr>
        <w:trPr>
          <w:trHeight w:val="196"/>
        </w:trPr>
        <w:tc>
          <w:tcPr>
            <w:tcW w:w="1120" w:type="dxa"/>
            <w:vAlign w:val="bottom"/>
          </w:tcPr>
          <w:p>
            <w:pPr>
              <w:spacing w:after="0"/>
              <w:rPr>
                <w:sz w:val="17"/>
                <w:szCs w:val="17"/>
                <w:color w:val="auto"/>
              </w:rPr>
            </w:pPr>
          </w:p>
        </w:tc>
        <w:tc>
          <w:tcPr>
            <w:tcW w:w="92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156">
              <w:r>
                <w:rPr>
                  <w:rFonts w:ascii="Arial" w:cs="Arial" w:eastAsia="Arial" w:hAnsi="Arial"/>
                  <w:sz w:val="18"/>
                  <w:szCs w:val="18"/>
                  <w:color w:val="0000FF"/>
                </w:rPr>
                <w:t>Securities Exchange Act of 1934.</w:t>
              </w:r>
            </w:hyperlink>
          </w:p>
        </w:tc>
        <w:tc>
          <w:tcPr>
            <w:tcW w:w="660" w:type="dxa"/>
            <w:vAlign w:val="bottom"/>
            <w:gridSpan w:val="10"/>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50"/>
        </w:trPr>
        <w:tc>
          <w:tcPr>
            <w:tcW w:w="1120" w:type="dxa"/>
            <w:vAlign w:val="bottom"/>
          </w:tcPr>
          <w:p>
            <w:pPr>
              <w:jc w:val="center"/>
              <w:ind w:right="350"/>
              <w:spacing w:after="0"/>
              <w:rPr>
                <w:sz w:val="20"/>
                <w:szCs w:val="20"/>
                <w:color w:val="auto"/>
              </w:rPr>
            </w:pPr>
            <w:r>
              <w:rPr>
                <w:rFonts w:ascii="Arial" w:cs="Arial" w:eastAsia="Arial" w:hAnsi="Arial"/>
                <w:sz w:val="18"/>
                <w:szCs w:val="18"/>
                <w:color w:val="auto"/>
                <w:w w:val="91"/>
              </w:rPr>
              <w:t>32.1</w:t>
            </w:r>
          </w:p>
        </w:tc>
        <w:tc>
          <w:tcPr>
            <w:tcW w:w="9920" w:type="dxa"/>
            <w:vAlign w:val="bottom"/>
            <w:gridSpan w:val="19"/>
          </w:tcPr>
          <w:p>
            <w:pPr>
              <w:spacing w:after="0"/>
              <w:rPr>
                <w:rFonts w:ascii="Arial" w:cs="Arial" w:eastAsia="Arial" w:hAnsi="Arial"/>
                <w:sz w:val="18"/>
                <w:szCs w:val="18"/>
                <w:color w:val="0000FF"/>
                <w:w w:val="96"/>
              </w:rPr>
            </w:pPr>
            <w:hyperlink w:anchor="page157">
              <w:r>
                <w:rPr>
                  <w:rFonts w:ascii="Arial" w:cs="Arial" w:eastAsia="Arial" w:hAnsi="Arial"/>
                  <w:sz w:val="18"/>
                  <w:szCs w:val="18"/>
                  <w:color w:val="0000FF"/>
                  <w:w w:val="96"/>
                </w:rPr>
                <w:t>Certification of Chief Executive Officer and Chief Financial Officer pursuant to Section 906 of the Sarbanes-Oxley Act of 2002 (18</w:t>
              </w:r>
            </w:hyperlink>
          </w:p>
        </w:tc>
      </w:tr>
      <w:tr>
        <w:trPr>
          <w:trHeight w:val="196"/>
        </w:trPr>
        <w:tc>
          <w:tcPr>
            <w:tcW w:w="1120" w:type="dxa"/>
            <w:vAlign w:val="bottom"/>
          </w:tcPr>
          <w:p>
            <w:pPr>
              <w:spacing w:after="0"/>
              <w:rPr>
                <w:sz w:val="17"/>
                <w:szCs w:val="17"/>
                <w:color w:val="auto"/>
              </w:rPr>
            </w:pPr>
          </w:p>
        </w:tc>
        <w:tc>
          <w:tcPr>
            <w:tcW w:w="94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w:anchor="page157">
              <w:r>
                <w:rPr>
                  <w:rFonts w:ascii="Arial" w:cs="Arial" w:eastAsia="Arial" w:hAnsi="Arial"/>
                  <w:sz w:val="18"/>
                  <w:szCs w:val="18"/>
                  <w:color w:val="0000FF"/>
                </w:rPr>
                <w:t>U.S.C. 1350) and Rule 13a-14(b) of the Securities Exchange Act of 1934.</w:t>
              </w:r>
            </w:hyperlink>
          </w:p>
        </w:tc>
        <w:tc>
          <w:tcPr>
            <w:tcW w:w="440" w:type="dxa"/>
            <w:vAlign w:val="bottom"/>
            <w:gridSpan w:val="4"/>
          </w:tcPr>
          <w:p>
            <w:pPr>
              <w:spacing w:after="0"/>
              <w:rPr>
                <w:sz w:val="17"/>
                <w:szCs w:val="17"/>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53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4620" w:type="dxa"/>
            <w:vAlign w:val="bottom"/>
            <w:gridSpan w:val="14"/>
          </w:tcPr>
          <w:p>
            <w:pPr>
              <w:spacing w:after="0"/>
              <w:rPr>
                <w:sz w:val="24"/>
                <w:szCs w:val="24"/>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120" w:type="dxa"/>
            <w:vAlign w:val="bottom"/>
          </w:tcPr>
          <w:p>
            <w:pPr>
              <w:ind w:left="20"/>
              <w:spacing w:after="0"/>
              <w:rPr>
                <w:sz w:val="20"/>
                <w:szCs w:val="20"/>
                <w:color w:val="auto"/>
              </w:rPr>
            </w:pPr>
            <w:r>
              <w:rPr>
                <w:rFonts w:ascii="Arial" w:cs="Arial" w:eastAsia="Arial" w:hAnsi="Arial"/>
                <w:sz w:val="18"/>
                <w:szCs w:val="18"/>
                <w:color w:val="auto"/>
              </w:rPr>
              <w:t>101.PRE</w:t>
            </w:r>
          </w:p>
        </w:tc>
        <w:tc>
          <w:tcPr>
            <w:tcW w:w="992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40"/>
          </w:cols>
          <w:pgMar w:left="540" w:top="513" w:right="3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2"/>
          </w:tcPr>
          <w:p>
            <w:pPr>
              <w:ind w:left="1480"/>
              <w:spacing w:after="0"/>
              <w:rPr>
                <w:sz w:val="20"/>
                <w:szCs w:val="20"/>
                <w:color w:val="auto"/>
              </w:rPr>
            </w:pPr>
            <w:r>
              <w:rPr>
                <w:rFonts w:ascii="Arial" w:cs="Arial" w:eastAsia="Arial" w:hAnsi="Arial"/>
                <w:sz w:val="18"/>
                <w:szCs w:val="18"/>
                <w:b w:val="1"/>
                <w:bCs w:val="1"/>
                <w:color w:val="auto"/>
              </w:rPr>
              <w:t>EXHIBIT 21.1</w:t>
            </w:r>
          </w:p>
        </w:tc>
      </w:tr>
      <w:tr>
        <w:trPr>
          <w:trHeight w:val="234"/>
        </w:trPr>
        <w:tc>
          <w:tcPr>
            <w:tcW w:w="4120" w:type="dxa"/>
            <w:vAlign w:val="bottom"/>
          </w:tcPr>
          <w:p>
            <w:pPr>
              <w:spacing w:after="0"/>
              <w:rPr>
                <w:sz w:val="20"/>
                <w:szCs w:val="20"/>
                <w:color w:val="auto"/>
              </w:rPr>
            </w:pPr>
          </w:p>
        </w:tc>
        <w:tc>
          <w:tcPr>
            <w:tcW w:w="7280" w:type="dxa"/>
            <w:vAlign w:val="bottom"/>
            <w:gridSpan w:val="4"/>
          </w:tcPr>
          <w:p>
            <w:pPr>
              <w:ind w:left="400"/>
              <w:spacing w:after="0"/>
              <w:rPr>
                <w:sz w:val="20"/>
                <w:szCs w:val="20"/>
                <w:color w:val="auto"/>
              </w:rPr>
            </w:pPr>
            <w:r>
              <w:rPr>
                <w:rFonts w:ascii="Arial" w:cs="Arial" w:eastAsia="Arial" w:hAnsi="Arial"/>
                <w:sz w:val="18"/>
                <w:szCs w:val="18"/>
                <w:b w:val="1"/>
                <w:bCs w:val="1"/>
                <w:color w:val="auto"/>
              </w:rPr>
              <w:t>Subsidiaries of the Registrants</w:t>
            </w:r>
          </w:p>
        </w:tc>
      </w:tr>
      <w:tr>
        <w:trPr>
          <w:trHeight w:val="554"/>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Entity</w:t>
            </w: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Jurisdiction of Formation</w:t>
            </w:r>
          </w:p>
        </w:tc>
      </w:tr>
      <w:tr>
        <w:trPr>
          <w:trHeight w:val="27"/>
        </w:trPr>
        <w:tc>
          <w:tcPr>
            <w:tcW w:w="41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76"/>
        </w:trPr>
        <w:tc>
          <w:tcPr>
            <w:tcW w:w="4120" w:type="dxa"/>
            <w:vAlign w:val="bottom"/>
          </w:tcPr>
          <w:p>
            <w:pPr>
              <w:ind w:left="20"/>
              <w:spacing w:after="0" w:line="276" w:lineRule="exact"/>
              <w:rPr>
                <w:sz w:val="20"/>
                <w:szCs w:val="20"/>
                <w:color w:val="auto"/>
              </w:rPr>
            </w:pPr>
            <w:r>
              <w:rPr>
                <w:rFonts w:ascii="Arial" w:cs="Arial" w:eastAsia="Arial" w:hAnsi="Arial"/>
                <w:sz w:val="18"/>
                <w:szCs w:val="18"/>
                <w:color w:val="auto"/>
              </w:rPr>
              <w:t>Icahn Enterprises Holdings L.P.</w:t>
            </w:r>
            <w:r>
              <w:rPr>
                <w:rFonts w:ascii="Arial" w:cs="Arial" w:eastAsia="Arial" w:hAnsi="Arial"/>
                <w:sz w:val="25"/>
                <w:szCs w:val="25"/>
                <w:color w:val="auto"/>
                <w:vertAlign w:val="superscript"/>
              </w:rPr>
              <w:t>(1)</w:t>
            </w: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American Entertainment Properties Corp.</w:t>
            </w: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ACE Nevada Corp.</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Nevada</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AEP Rail RemainCo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AEP Rail Corp.</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AEP Real Estate Holdings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AEP Serafima Manager Holding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AEPC RemainCo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AREH Oil &amp; Gas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AREP Debt HoldCo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AREP Florida Holdings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AREP KH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AREP New York Holdings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AREP Real Estate Holdings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AREP Sands Holding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Aretex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Atlantic Coast Entertainment Holdings, Inc.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Brokerage New York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Development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Falling Waters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Flat Pond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Hammond Ridge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Pondview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Baywater Cottages at New Seabury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Seaside II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Bio-Investor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GH Vero Beach Development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GH Vero Holdings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GHG Asset Management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Grand Harbor Golf &amp; Beach Club, Inc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Grand Harbor Golf Club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Grand Harbor North Land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Icahn Automotive Service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Icahn Automotive Group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767 Auto Leasing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Icahn Building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Icahn Enterprises Onshore/Offshore Investors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Icahn Nevada Gaming Acquisition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Icahn Strategy 2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Icahn Strategy Holding Corp.</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ICM GP Holdings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ARI Holdings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Auto Parts Holding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BioPharma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Chalmette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Coraopolis LLC</w:t>
            </w: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00"/>
          </w:cols>
          <w:pgMar w:left="260" w:top="580" w:right="23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IEH Gretna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IEH GH Management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IEH Investment I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IEH Loop Road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IEH Merger Sub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IEH Portland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IEH Sherman Drive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IEH SP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IEH Venture Investments I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IEH Viskase Holdings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IEH Warwick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IEP Energy Holding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IEP Energy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IEP Ferrous Brazil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IEP Ferrous Brazil Sub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IEP Morris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IEP AC Holdings LP</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IEP AC Plaza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New Jersey</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TERH LP, Inc.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TMA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New Jersey</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TTM Associates</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New Jersey</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TER Holdings I, Inc. f/k/a Trump Entertainment Resorts, Inc.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IEP Peachtree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IEP Valley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IEP Viga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New Seabury Development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New Seabury Golf Club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New Seabury Private Sewer Treatment Facility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New Seabury Properties L.L.C .</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New Seabury Real Estate Holdings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New Seabury Residential Properties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NS Beach Club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VB Community Management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Vero Beach Acquisition II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Vero Beach Acquisition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IEP Eagle Beach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Tropicana Ent. Cayman Holdings Co. Ltd.</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Cayman Islands</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Abura Development Corporation</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91"/>
              </w:rPr>
              <w:t>Aruba</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Eagle Aruba Casino Operating Corporation VBA</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91"/>
              </w:rPr>
              <w:t>Aruba</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Eagle Aruba Resort Operating Corporation VBA</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91"/>
              </w:rPr>
              <w:t>Aruba</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Federal-Mogul Ignition Company</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95"/>
              </w:rPr>
              <w:t>Missouri</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Federal-Mogul New Products Inc.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Icahn Agency Services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ICM GP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IPH GP LLC</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Icahn Capital Management LP</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Icahn Capital LP</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Icahn Onshore LP</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Icahn Offshore LP</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Icahn Partners LP</w:t>
            </w:r>
          </w:p>
        </w:tc>
        <w:tc>
          <w:tcPr>
            <w:tcW w:w="3680" w:type="dxa"/>
            <w:vAlign w:val="bottom"/>
          </w:tcPr>
          <w:p>
            <w:pPr>
              <w:jc w:val="center"/>
              <w:ind w:left="243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640"/>
          </w:cols>
          <w:pgMar w:left="280" w:top="746" w:right="97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Icahn Agency Services LLC</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IEH Investments I LLC</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Icahn Partners Master Fund LP</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The Pep Boys Manny Moe &amp; Jack (280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Pennsylvania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Tire Stores Holding Corp.</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Big 10 Tire Stores, LLC (79 "Big 10 Tires"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Pep Boys - Manny, Moe &amp; Jack of Puerto Rico, Inc. (28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Carrus Supply Corporation</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Florida LLC (1 "Pep Boys" store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Indiana LLC (3 "Pep Boys" store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North Carolina LLC (1 "Pep Boys" store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Tennessee LLC (2 "Pep Boys" store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Colchester Insurance Company</w:t>
            </w:r>
          </w:p>
        </w:tc>
        <w:tc>
          <w:tcPr>
            <w:tcW w:w="2720" w:type="dxa"/>
            <w:vAlign w:val="bottom"/>
          </w:tcPr>
          <w:p>
            <w:pPr>
              <w:jc w:val="center"/>
              <w:ind w:left="1690"/>
              <w:spacing w:after="0"/>
              <w:rPr>
                <w:sz w:val="20"/>
                <w:szCs w:val="20"/>
                <w:color w:val="auto"/>
              </w:rPr>
            </w:pPr>
            <w:r>
              <w:rPr>
                <w:rFonts w:ascii="Arial" w:cs="Arial" w:eastAsia="Arial" w:hAnsi="Arial"/>
                <w:sz w:val="18"/>
                <w:szCs w:val="18"/>
                <w:color w:val="auto"/>
                <w:w w:val="91"/>
              </w:rPr>
              <w:t>Vermont</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Pep Boys - Manny, Moe &amp; Jack of Delaware, Inc. (196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 Sales US LLC</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 Sales of New York LLC</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 Sales of California LLC</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 Sales of Georgia LLC</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 Sales of Pennsylvania LLC</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The Pep Boys - Manny, Moe &amp; Jack of California (236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94"/>
              </w:rPr>
              <w:t>California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San Diego LLC</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Arizona LLC (15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Alameda LLC (2 "Pep Boys" store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Minnesota LLC (2 "Pep Boys" store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Illinois LLC (1 "Pep Boys" store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Hartford LLC (2 "Pep Boys" store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Massachusettes LLC (2 "Pep Boys" store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Michigan LLC (6 "Pep Boys" store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Nassau LLC (4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PB Acquisition Company Washington LLC (11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JBRE Holdings, LLC</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JBRE, LLC</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JBRE CTEX LLC (15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JBRE CO LLC (14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JBRE AZ LLC (8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JBRE GA LLC (19 "Pep Boys" and 2 "Just Brakes"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JBRE NV LLC (9 "Pep Boys" and 2 "Just Brakes"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JBRE NTEX LLC (18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JBRE FL LLC (26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JBRE STEX LLC (13 "Pep Boys" stores omitted)</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Precision Auto Care, Inc. (54 "Precision Tune" stores omitted)</w:t>
            </w:r>
          </w:p>
        </w:tc>
        <w:tc>
          <w:tcPr>
            <w:tcW w:w="2720" w:type="dxa"/>
            <w:vAlign w:val="bottom"/>
          </w:tcPr>
          <w:p>
            <w:pPr>
              <w:jc w:val="center"/>
              <w:ind w:left="1690"/>
              <w:spacing w:after="0"/>
              <w:rPr>
                <w:sz w:val="20"/>
                <w:szCs w:val="20"/>
                <w:color w:val="auto"/>
              </w:rPr>
            </w:pPr>
            <w:r>
              <w:rPr>
                <w:rFonts w:ascii="Arial" w:cs="Arial" w:eastAsia="Arial" w:hAnsi="Arial"/>
                <w:sz w:val="18"/>
                <w:szCs w:val="18"/>
                <w:color w:val="auto"/>
                <w:w w:val="96"/>
              </w:rPr>
              <w:t>Virginia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Precision Printing, Inc.</w:t>
            </w:r>
          </w:p>
        </w:tc>
        <w:tc>
          <w:tcPr>
            <w:tcW w:w="2720" w:type="dxa"/>
            <w:vAlign w:val="bottom"/>
          </w:tcPr>
          <w:p>
            <w:pPr>
              <w:jc w:val="center"/>
              <w:ind w:left="1690"/>
              <w:spacing w:after="0"/>
              <w:rPr>
                <w:sz w:val="20"/>
                <w:szCs w:val="20"/>
                <w:color w:val="auto"/>
              </w:rPr>
            </w:pPr>
            <w:r>
              <w:rPr>
                <w:rFonts w:ascii="Arial" w:cs="Arial" w:eastAsia="Arial" w:hAnsi="Arial"/>
                <w:sz w:val="18"/>
                <w:szCs w:val="18"/>
                <w:color w:val="auto"/>
                <w:w w:val="96"/>
              </w:rPr>
              <w:t>Virginia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WE JAC Corporation</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Precision Tune Auto Care, Inc.</w:t>
            </w:r>
          </w:p>
        </w:tc>
        <w:tc>
          <w:tcPr>
            <w:tcW w:w="2720" w:type="dxa"/>
            <w:vAlign w:val="bottom"/>
          </w:tcPr>
          <w:p>
            <w:pPr>
              <w:jc w:val="center"/>
              <w:ind w:left="1690"/>
              <w:spacing w:after="0"/>
              <w:rPr>
                <w:sz w:val="20"/>
                <w:szCs w:val="20"/>
                <w:color w:val="auto"/>
              </w:rPr>
            </w:pPr>
            <w:r>
              <w:rPr>
                <w:rFonts w:ascii="Arial" w:cs="Arial" w:eastAsia="Arial" w:hAnsi="Arial"/>
                <w:sz w:val="18"/>
                <w:szCs w:val="18"/>
                <w:color w:val="auto"/>
                <w:w w:val="96"/>
              </w:rPr>
              <w:t>Virginia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PTAC Operating Centers, LLC</w:t>
            </w:r>
          </w:p>
        </w:tc>
        <w:tc>
          <w:tcPr>
            <w:tcW w:w="2720" w:type="dxa"/>
            <w:vAlign w:val="bottom"/>
          </w:tcPr>
          <w:p>
            <w:pPr>
              <w:jc w:val="center"/>
              <w:ind w:left="1690"/>
              <w:spacing w:after="0"/>
              <w:rPr>
                <w:sz w:val="20"/>
                <w:szCs w:val="20"/>
                <w:color w:val="auto"/>
              </w:rPr>
            </w:pPr>
            <w:r>
              <w:rPr>
                <w:rFonts w:ascii="Arial" w:cs="Arial" w:eastAsia="Arial" w:hAnsi="Arial"/>
                <w:sz w:val="18"/>
                <w:szCs w:val="18"/>
                <w:color w:val="auto"/>
                <w:w w:val="96"/>
              </w:rPr>
              <w:t>Virginia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PTW, Inc.</w:t>
            </w:r>
          </w:p>
        </w:tc>
        <w:tc>
          <w:tcPr>
            <w:tcW w:w="2720" w:type="dxa"/>
            <w:vAlign w:val="bottom"/>
          </w:tcPr>
          <w:p>
            <w:pPr>
              <w:jc w:val="center"/>
              <w:ind w:left="1690"/>
              <w:spacing w:after="0"/>
              <w:rPr>
                <w:sz w:val="20"/>
                <w:szCs w:val="20"/>
                <w:color w:val="auto"/>
              </w:rPr>
            </w:pPr>
            <w:r>
              <w:rPr>
                <w:rFonts w:ascii="Arial" w:cs="Arial" w:eastAsia="Arial" w:hAnsi="Arial"/>
                <w:sz w:val="18"/>
                <w:szCs w:val="18"/>
                <w:color w:val="auto"/>
                <w:w w:val="90"/>
              </w:rPr>
              <w:t>Washington</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Precision Franchising LLC</w:t>
            </w:r>
          </w:p>
        </w:tc>
        <w:tc>
          <w:tcPr>
            <w:tcW w:w="2720" w:type="dxa"/>
            <w:vAlign w:val="bottom"/>
          </w:tcPr>
          <w:p>
            <w:pPr>
              <w:jc w:val="center"/>
              <w:ind w:left="1690"/>
              <w:spacing w:after="0"/>
              <w:rPr>
                <w:sz w:val="20"/>
                <w:szCs w:val="20"/>
                <w:color w:val="auto"/>
              </w:rPr>
            </w:pPr>
            <w:r>
              <w:rPr>
                <w:rFonts w:ascii="Arial" w:cs="Arial" w:eastAsia="Arial" w:hAnsi="Arial"/>
                <w:sz w:val="18"/>
                <w:szCs w:val="18"/>
                <w:color w:val="auto"/>
                <w:w w:val="96"/>
              </w:rPr>
              <w:t>Virginia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PT Auto Care Canada, Inc</w:t>
            </w:r>
          </w:p>
        </w:tc>
        <w:tc>
          <w:tcPr>
            <w:tcW w:w="2720" w:type="dxa"/>
            <w:vAlign w:val="bottom"/>
          </w:tcPr>
          <w:p>
            <w:pPr>
              <w:jc w:val="center"/>
              <w:ind w:left="1690"/>
              <w:spacing w:after="0"/>
              <w:rPr>
                <w:sz w:val="20"/>
                <w:szCs w:val="20"/>
                <w:color w:val="auto"/>
              </w:rPr>
            </w:pPr>
            <w:r>
              <w:rPr>
                <w:rFonts w:ascii="Arial" w:cs="Arial" w:eastAsia="Arial" w:hAnsi="Arial"/>
                <w:sz w:val="18"/>
                <w:szCs w:val="18"/>
                <w:color w:val="auto"/>
                <w:w w:val="85"/>
              </w:rPr>
              <w:t>Canada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ACC-U-TUNE</w:t>
            </w:r>
          </w:p>
        </w:tc>
        <w:tc>
          <w:tcPr>
            <w:tcW w:w="2720" w:type="dxa"/>
            <w:vAlign w:val="bottom"/>
          </w:tcPr>
          <w:p>
            <w:pPr>
              <w:jc w:val="center"/>
              <w:ind w:left="1670"/>
              <w:spacing w:after="0"/>
              <w:rPr>
                <w:sz w:val="20"/>
                <w:szCs w:val="20"/>
                <w:color w:val="auto"/>
              </w:rPr>
            </w:pPr>
            <w:r>
              <w:rPr>
                <w:rFonts w:ascii="Arial" w:cs="Arial" w:eastAsia="Arial" w:hAnsi="Arial"/>
                <w:sz w:val="18"/>
                <w:szCs w:val="18"/>
                <w:color w:val="auto"/>
                <w:w w:val="94"/>
              </w:rPr>
              <w:t>California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National 60 Minute Tune, Inc</w:t>
            </w:r>
          </w:p>
        </w:tc>
        <w:tc>
          <w:tcPr>
            <w:tcW w:w="2720" w:type="dxa"/>
            <w:vAlign w:val="bottom"/>
          </w:tcPr>
          <w:p>
            <w:pPr>
              <w:jc w:val="center"/>
              <w:ind w:left="1690"/>
              <w:spacing w:after="0"/>
              <w:rPr>
                <w:sz w:val="20"/>
                <w:szCs w:val="20"/>
                <w:color w:val="auto"/>
              </w:rPr>
            </w:pPr>
            <w:r>
              <w:rPr>
                <w:rFonts w:ascii="Arial" w:cs="Arial" w:eastAsia="Arial" w:hAnsi="Arial"/>
                <w:sz w:val="18"/>
                <w:szCs w:val="18"/>
                <w:color w:val="auto"/>
                <w:w w:val="90"/>
              </w:rPr>
              <w:t>Washington</w:t>
            </w:r>
          </w:p>
        </w:tc>
      </w:tr>
    </w:tbl>
    <w:p>
      <w:pPr>
        <w:sectPr>
          <w:pgSz w:w="11900" w:h="16838" w:orient="portrait"/>
          <w:cols w:equalWidth="0" w:num="1">
            <w:col w:w="10540"/>
          </w:cols>
          <w:pgMar w:left="280" w:top="746" w:right="107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Colorado Tune,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3"/>
              </w:rPr>
              <w:t>Colorado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Miracle Industries,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4"/>
              </w:rPr>
              <w:t>Ohio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PAC Mexican Delaware Holding Company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Precision Auto Care Mexico II, S. de R.l.</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8"/>
              </w:rPr>
              <w:t>Mexico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Precision Auto Care Mexico I, S. de R.l.</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8"/>
              </w:rPr>
              <w:t>Mexico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Promotora de Franquicas Praxis, S.A. de C.V.</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8"/>
              </w:rPr>
              <w:t>Mexico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Praxis Afinaciones Puerto Rico,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8"/>
              </w:rPr>
              <w:t>Mexico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Sixar Afinaciones Puerto Rico,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8"/>
              </w:rPr>
              <w:t>Mexico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Praxis Autopartes S.S. de C.V.</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8"/>
              </w:rPr>
              <w:t>Mexico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Praxis Afinaciones S.A. de C.V.</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8"/>
              </w:rPr>
              <w:t>Mexico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Premier Accessories S.A. de C.V.</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8"/>
              </w:rPr>
              <w:t>Mexico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Sixar Afinaciones S.A. de C.V.</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8"/>
              </w:rPr>
              <w:t>Mexico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Sixar Guadalajara S.A. de C.V.</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8"/>
              </w:rPr>
              <w:t>Mexico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Sixar Occidente, S.A.</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98"/>
              </w:rPr>
              <w:t>Mexico</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Miracle Partners,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Precision Building Solutions,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IEH BA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IEH AIM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Icahn Automotive Service Partners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IEH Auto Parts LLC (312 "Auto Plus" stores omitted)</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AP Acquisition Company Clark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AP Acquisition Company Gordon LLC (1 "Auto Plus" store omitted)</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AP Acquisition Company Missouri LLC (1 "Auto Plus" store omitted)</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AP Acquisition Company Washington LLC (1 "Auto Plus" store omitted)</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AP Acquisition Company Massachusetts LLC (3 "Auto Plus" store omitted)</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AP Acquisition Company North Carolina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AP Acquisition Company New York LLC (2 "Auto Plus" store omitted)</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AAMCO Transmissions,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Pennsylvania</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AAMCO Canada, Inc.</w:t>
            </w:r>
          </w:p>
        </w:tc>
        <w:tc>
          <w:tcPr>
            <w:tcW w:w="3000" w:type="dxa"/>
            <w:vAlign w:val="bottom"/>
          </w:tcPr>
          <w:p>
            <w:pPr>
              <w:jc w:val="center"/>
              <w:ind w:left="1970"/>
              <w:spacing w:after="0"/>
              <w:rPr>
                <w:sz w:val="20"/>
                <w:szCs w:val="20"/>
                <w:color w:val="auto"/>
              </w:rPr>
            </w:pPr>
            <w:r>
              <w:rPr>
                <w:rFonts w:ascii="Arial" w:cs="Arial" w:eastAsia="Arial" w:hAnsi="Arial"/>
                <w:sz w:val="18"/>
                <w:szCs w:val="18"/>
                <w:color w:val="auto"/>
                <w:w w:val="85"/>
              </w:rPr>
              <w:t>Canada</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American Driveline Technical Services,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Pennsylvania</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American Driveline Centers,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Pennsylvania</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Cottman Transmission Systems,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Ross Advertising,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Pennsylvania</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AAMCO Retail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AAMCO Northeast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AAMCO Northwest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AAMCO Southeast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AAMCO Southwest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CVR Energy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Coffeyville Refining &amp; Marketing Holdings,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Coffeyville Refining &amp; Marketing,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Coffeyville Nitrogen Fertilizers,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Coffeyville Crude Transportation,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Coffeyville Terminal,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Coffeyville Pipeline, Inc.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CL JV Holdings,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Coffeyville Resources,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Coffeyville Resources Refining &amp; Marketing,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Coffeyville Resources Crude Transportation,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Coffeyville Resources Terminal, LLC</w:t>
            </w:r>
          </w:p>
        </w:tc>
        <w:tc>
          <w:tcPr>
            <w:tcW w:w="3000" w:type="dxa"/>
            <w:vAlign w:val="bottom"/>
          </w:tcPr>
          <w:p>
            <w:pPr>
              <w:jc w:val="center"/>
              <w:ind w:left="195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540"/>
          </w:cols>
          <w:pgMar w:left="280" w:top="746" w:right="1079"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Coffeyville Resources Pipeline,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GP,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Partners, LP</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Coffeyville Resources Nitrogen Fertilizers,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Coffeyville Finance Inc.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Wynnewood Energy Company,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Wynnewood Refining Company,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Refining Holdings,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Refining Holdings Sub,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Refining,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Wynnewood Insurance Corporation</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6"/>
              </w:rPr>
              <w:t>Hawaii</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Refining, LP</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Refining GP,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Nitrogen GP,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Nitrogen, LP</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Nitrogen Finance Corporation</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East Dubuque Nitrogen Fertlizers,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Aviation,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Logistics,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CVR Nitrogen Holdings,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M W Recycling, LLC (dba PSC Metals)</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TAP USA,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Carbon Plate Steel Products,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Akron,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Aliquippa,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Alliance,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Beaver Falls,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Canton,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CAW,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Chattanooga,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D&amp;L,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89"/>
              </w:rPr>
              <w:t>Pennsylvania</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Elyria,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Garn,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Joyce,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Knoxville,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Massillon,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Metallics,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Mitco,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New York, LLC</w:t>
            </w:r>
          </w:p>
        </w:tc>
        <w:tc>
          <w:tcPr>
            <w:tcW w:w="4780" w:type="dxa"/>
            <w:vAlign w:val="bottom"/>
          </w:tcPr>
          <w:p>
            <w:pPr>
              <w:jc w:val="center"/>
              <w:ind w:left="2710"/>
              <w:spacing w:after="0"/>
              <w:rPr>
                <w:sz w:val="20"/>
                <w:szCs w:val="20"/>
                <w:color w:val="auto"/>
              </w:rPr>
            </w:pPr>
            <w:r>
              <w:rPr>
                <w:rFonts w:ascii="Arial" w:cs="Arial" w:eastAsia="Arial" w:hAnsi="Arial"/>
                <w:sz w:val="18"/>
                <w:szCs w:val="18"/>
                <w:color w:val="auto"/>
                <w:w w:val="94"/>
              </w:rPr>
              <w:t>New York</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Newark,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Rockwood,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South Knoxville,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St. Louis,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Wooster, LLC</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Tennessee Gray, LLC</w:t>
            </w:r>
          </w:p>
        </w:tc>
        <w:tc>
          <w:tcPr>
            <w:tcW w:w="4780" w:type="dxa"/>
            <w:vAlign w:val="bottom"/>
          </w:tcPr>
          <w:p>
            <w:pPr>
              <w:jc w:val="center"/>
              <w:ind w:left="2710"/>
              <w:spacing w:after="0"/>
              <w:rPr>
                <w:sz w:val="20"/>
                <w:szCs w:val="20"/>
                <w:color w:val="auto"/>
              </w:rPr>
            </w:pPr>
            <w:r>
              <w:rPr>
                <w:rFonts w:ascii="Arial" w:cs="Arial" w:eastAsia="Arial" w:hAnsi="Arial"/>
                <w:sz w:val="18"/>
                <w:szCs w:val="18"/>
                <w:color w:val="auto"/>
                <w:w w:val="83"/>
              </w:rPr>
              <w:t>Tennessee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CAPPCO Tubular Products Canada, Inc.</w:t>
            </w:r>
          </w:p>
        </w:tc>
        <w:tc>
          <w:tcPr>
            <w:tcW w:w="4780" w:type="dxa"/>
            <w:vAlign w:val="bottom"/>
          </w:tcPr>
          <w:p>
            <w:pPr>
              <w:jc w:val="center"/>
              <w:ind w:left="2710"/>
              <w:spacing w:after="0"/>
              <w:rPr>
                <w:sz w:val="20"/>
                <w:szCs w:val="20"/>
                <w:color w:val="auto"/>
              </w:rPr>
            </w:pPr>
            <w:r>
              <w:rPr>
                <w:rFonts w:ascii="Arial" w:cs="Arial" w:eastAsia="Arial" w:hAnsi="Arial"/>
                <w:sz w:val="18"/>
                <w:szCs w:val="18"/>
                <w:color w:val="auto"/>
                <w:w w:val="85"/>
              </w:rPr>
              <w:t>Canada</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CAPPCO Tubular Products USA, LLC</w:t>
            </w:r>
          </w:p>
        </w:tc>
        <w:tc>
          <w:tcPr>
            <w:tcW w:w="4780" w:type="dxa"/>
            <w:vAlign w:val="bottom"/>
          </w:tcPr>
          <w:p>
            <w:pPr>
              <w:jc w:val="center"/>
              <w:ind w:left="2710"/>
              <w:spacing w:after="0"/>
              <w:rPr>
                <w:sz w:val="20"/>
                <w:szCs w:val="20"/>
                <w:color w:val="auto"/>
              </w:rPr>
            </w:pPr>
            <w:r>
              <w:rPr>
                <w:rFonts w:ascii="Arial" w:cs="Arial" w:eastAsia="Arial" w:hAnsi="Arial"/>
                <w:sz w:val="18"/>
                <w:szCs w:val="18"/>
                <w:color w:val="auto"/>
                <w:w w:val="90"/>
              </w:rPr>
              <w:t>Georgia</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Ferrous Limited</w:t>
            </w:r>
          </w:p>
        </w:tc>
        <w:tc>
          <w:tcPr>
            <w:tcW w:w="4780" w:type="dxa"/>
            <w:vAlign w:val="bottom"/>
          </w:tcPr>
          <w:p>
            <w:pPr>
              <w:jc w:val="center"/>
              <w:ind w:left="2690"/>
              <w:spacing w:after="0"/>
              <w:rPr>
                <w:sz w:val="20"/>
                <w:szCs w:val="20"/>
                <w:color w:val="auto"/>
              </w:rPr>
            </w:pPr>
            <w:r>
              <w:rPr>
                <w:rFonts w:ascii="Arial" w:cs="Arial" w:eastAsia="Arial" w:hAnsi="Arial"/>
                <w:sz w:val="18"/>
                <w:szCs w:val="18"/>
                <w:color w:val="auto"/>
                <w:w w:val="95"/>
              </w:rPr>
              <w:t>Isle of Man</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Ferrous Resources Limited</w:t>
            </w:r>
          </w:p>
        </w:tc>
        <w:tc>
          <w:tcPr>
            <w:tcW w:w="4780" w:type="dxa"/>
            <w:vAlign w:val="bottom"/>
          </w:tcPr>
          <w:p>
            <w:pPr>
              <w:jc w:val="center"/>
              <w:ind w:left="2710"/>
              <w:spacing w:after="0"/>
              <w:rPr>
                <w:sz w:val="20"/>
                <w:szCs w:val="20"/>
                <w:color w:val="auto"/>
              </w:rPr>
            </w:pPr>
            <w:r>
              <w:rPr>
                <w:rFonts w:ascii="Arial" w:cs="Arial" w:eastAsia="Arial" w:hAnsi="Arial"/>
                <w:sz w:val="18"/>
                <w:szCs w:val="18"/>
                <w:color w:val="auto"/>
                <w:w w:val="93"/>
              </w:rPr>
              <w:t>United Kingdom (England)</w:t>
            </w:r>
          </w:p>
        </w:tc>
      </w:tr>
    </w:tbl>
    <w:p>
      <w:pPr>
        <w:sectPr>
          <w:pgSz w:w="11900" w:h="16838" w:orient="portrait"/>
          <w:cols w:equalWidth="0" w:num="1">
            <w:col w:w="11060"/>
          </w:cols>
          <w:pgMar w:left="280" w:top="746" w:right="559" w:bottom="1440" w:gutter="0" w:footer="0" w:header="0"/>
        </w:sectPr>
      </w:pPr>
    </w:p>
    <w:bookmarkStart w:id="152" w:name="page153"/>
    <w:bookmarkEnd w:id="152"/>
    <w:p>
      <w:pPr>
        <w:spacing w:after="0" w:line="1" w:lineRule="exact"/>
        <w:rPr>
          <w:sz w:val="20"/>
          <w:szCs w:val="20"/>
          <w:color w:val="auto"/>
        </w:rPr>
      </w:pPr>
    </w:p>
    <w:tbl>
      <w:tblPr>
        <w:tblLayout w:type="fixed"/>
        <w:tblInd w:w="32"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Mediterranean Iron Limited</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5"/>
              </w:rPr>
              <w:t>Malta</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Atlantic Iron Sarl</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1"/>
              </w:rPr>
              <w:t>Luxembourg</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Ferrous Resources Do Brasil S.A.</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7"/>
              </w:rPr>
              <w:t>Brazil</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Empresa de Mineracao Esperanca S.A.</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7"/>
              </w:rPr>
              <w:t>Brazil</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Mineracao Jacuipe Ltda</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7"/>
              </w:rPr>
              <w:t>Brazil</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Companies, Inc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WSC Corp.</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Films, Inc.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del Norte, S.A. de C.V.</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8"/>
              </w:rPr>
              <w:t>Mexico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Servicos Viskase del Norte, S.A. de C.V.</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8"/>
              </w:rPr>
              <w:t>Mexico</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S.A.S.</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5"/>
              </w:rPr>
              <w:t>France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SpA</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6"/>
              </w:rPr>
              <w:t>Italy</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Gmbh</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1"/>
              </w:rPr>
              <w:t>Germany</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Polska SP.ZO.O</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9"/>
              </w:rPr>
              <w:t>Poland</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Spain SL</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6"/>
              </w:rPr>
              <w:t>Spain</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Brasil Embalagens Ltda</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7"/>
              </w:rPr>
              <w:t>Brazil</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Asia Pacific Corp</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1"/>
              </w:rPr>
              <w:t>Philippines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Sales Philippines Inc.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1"/>
              </w:rPr>
              <w:t>Philippines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Holdings, Inc.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Darmex Casings SP.ZO.O</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9"/>
              </w:rPr>
              <w:t>Poland</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Walsroder Casings GmbH</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1"/>
              </w:rPr>
              <w:t>Germany</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Walsroder Casings Polska Sp.zo.o</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89"/>
              </w:rPr>
              <w:t>Poland</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CT Casings Beteiligungs GmbH</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1"/>
              </w:rPr>
              <w:t>Germany</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Netherlands Holding,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(Netherlands) Coopertief</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0"/>
              </w:rPr>
              <w:t>Netherlands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Asia Ltd.</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Pakistan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IP,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0"/>
              </w:rPr>
              <w:t>Nevada</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Trademarks,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Property Holdings I,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Property Holdings II,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Stores,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Sales, Inc.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WPH - Nostalgia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Lanier/Carter,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Lumberton,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Wagram,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Clemson,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Wagram Facility,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(Netherlands) B.V.</w:t>
            </w:r>
          </w:p>
        </w:tc>
        <w:tc>
          <w:tcPr>
            <w:tcW w:w="4600" w:type="dxa"/>
            <w:vAlign w:val="bottom"/>
          </w:tcPr>
          <w:p>
            <w:pPr>
              <w:jc w:val="center"/>
              <w:ind w:left="297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(Bahrain) W.L.L.</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0"/>
              </w:rPr>
              <w:t>Bahrain</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(Shanghai) Inc.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93"/>
              </w:rPr>
              <w:t>China</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Luxury Linens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Greenville,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LMP,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Opelika Lots,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Lakeview,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Transportation Center, LLC</w:t>
            </w:r>
          </w:p>
        </w:tc>
        <w:tc>
          <w:tcPr>
            <w:tcW w:w="4600" w:type="dxa"/>
            <w:vAlign w:val="bottom"/>
          </w:tcPr>
          <w:p>
            <w:pPr>
              <w:jc w:val="center"/>
              <w:ind w:left="2950"/>
              <w:spacing w:after="0"/>
              <w:rPr>
                <w:sz w:val="20"/>
                <w:szCs w:val="20"/>
                <w:color w:val="auto"/>
              </w:rPr>
            </w:pPr>
            <w:r>
              <w:rPr>
                <w:rFonts w:ascii="Arial" w:cs="Arial" w:eastAsia="Arial" w:hAnsi="Arial"/>
                <w:sz w:val="18"/>
                <w:szCs w:val="18"/>
                <w:color w:val="auto"/>
                <w:w w:val="89"/>
              </w:rPr>
              <w:t>Delaware</w:t>
            </w:r>
          </w:p>
        </w:tc>
      </w:tr>
    </w:tbl>
    <w:p>
      <w:pPr>
        <w:spacing w:after="0" w:line="35" w:lineRule="exact"/>
        <w:rPr>
          <w:sz w:val="20"/>
          <w:szCs w:val="20"/>
          <w:color w:val="auto"/>
        </w:rPr>
      </w:pPr>
    </w:p>
    <w:p>
      <w:pPr>
        <w:ind w:left="172" w:hanging="172"/>
        <w:spacing w:after="0" w:line="302" w:lineRule="auto"/>
        <w:tabs>
          <w:tab w:leader="none" w:pos="146" w:val="left"/>
        </w:tabs>
        <w:numPr>
          <w:ilvl w:val="0"/>
          <w:numId w:val="31"/>
        </w:numPr>
        <w:rPr>
          <w:rFonts w:ascii="Arial" w:cs="Arial" w:eastAsia="Arial" w:hAnsi="Arial"/>
          <w:sz w:val="17"/>
          <w:szCs w:val="17"/>
          <w:color w:val="auto"/>
          <w:vertAlign w:val="superscript"/>
        </w:rPr>
      </w:pPr>
      <w:r>
        <w:rPr>
          <w:rFonts w:ascii="Arial" w:cs="Arial" w:eastAsia="Arial" w:hAnsi="Arial"/>
          <w:sz w:val="14"/>
          <w:szCs w:val="14"/>
          <w:color w:val="auto"/>
        </w:rPr>
        <w:t>Icahn Enterprises Holdings L.P. is a 99% owned subsidiary of Icahn Enterprises L.P. All other subsidiaries listed above are subsidiaries of Icahn Enterprises Holdings L.P. and therefore are also subsidiaries of Icahn Enterprises L.P.</w:t>
      </w:r>
    </w:p>
    <w:p>
      <w:pPr>
        <w:sectPr>
          <w:pgSz w:w="11900" w:h="16838" w:orient="portrait"/>
          <w:cols w:equalWidth="0" w:num="1">
            <w:col w:w="11212"/>
          </w:cols>
          <w:pgMar w:left="248" w:top="746" w:right="4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March 1, 2019, with respect to the consolidated financial statements, schedule and internal control over financial reporting of Icahn Enterprises L.P. and subsidiaries included in the joint Annual Report of Icahn Enterprises L.P. and Icahn Enterprises Holdings L.P. on Form 10-K for the year ended December 31, 2018. We consent to the incorporation by reference of said reports in the Registration Statements of Icahn Enterprises L.P. and subsidiaries on Form S-3 (File No. 333-213563) and on Form S-8 (File No. 333-216934).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581"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joint annual report on Form 10-K of Icahn Enterprises L.P. and Icahn Enterprises Holdings L.P. for the year ended December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2018;</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ectPr>
          <w:pgSz w:w="11900" w:h="16838" w:orient="portrait"/>
          <w:cols w:equalWidth="0" w:num="1">
            <w:col w:w="11420"/>
          </w:cols>
          <w:pgMar w:left="240" w:top="5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joint annual report on Form 10-K of Icahn Enterprises L.P. and Icahn Enterprises Holdings L.P. for the year ended December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2018;</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ectPr>
          <w:pgSz w:w="11900" w:h="16838" w:orient="portrait"/>
          <w:cols w:equalWidth="0" w:num="1">
            <w:col w:w="11420"/>
          </w:cols>
          <w:pgMar w:left="240" w:top="5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connection with the joint annual report on Form 10-K of Icahn Enterprises L.P. and Icahn Enterprises Holdings L.P., for the year ended December 31, 2018, the undersigned certify that, to the best of his knowledge, based upon a review of the Icahn Enterprises L.P. and Icahn Enterprises Holdings L.P. joint annual report on Form 10-K for the year ended December 31, 2018:</w:t>
      </w:r>
    </w:p>
    <w:p>
      <w:pPr>
        <w:spacing w:after="0" w:line="181" w:lineRule="exact"/>
        <w:rPr>
          <w:sz w:val="20"/>
          <w:szCs w:val="20"/>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3">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lowerRoman"/>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2"/>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4"/>
    </w:lvl>
  </w:abstractNum>
  <w:abstractNum w:abstractNumId="15">
    <w:nsid w:val="79838CB2"/>
    <w:multiLevelType w:val="hybridMultilevel"/>
    <w:lvl w:ilvl="0">
      <w:lvlJc w:val="left"/>
      <w:lvlText w:val="%1."/>
      <w:numFmt w:val="decimal"/>
      <w:start w:val="5"/>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6"/>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8"/>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lvl w:ilvl="1">
      <w:lvlJc w:val="left"/>
      <w:lvlText w:val="(%2)"/>
      <w:numFmt w:val="decimal"/>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4"/>
    </w:lvl>
  </w:abstractNum>
  <w:abstractNum w:abstractNumId="27">
    <w:nsid w:val="7C3DBD3D"/>
    <w:multiLevelType w:val="hybridMultilevel"/>
    <w:lvl w:ilvl="0">
      <w:lvlJc w:val="left"/>
      <w:lvlText w:val="(%1)"/>
      <w:numFmt w:val="lowerLetter"/>
      <w:start w:val="1"/>
    </w:lvl>
    <w:lvl w:ilvl="1">
      <w:lvlJc w:val="left"/>
      <w:lvlText w:val="(%2)"/>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81" Type="http://schemas.openxmlformats.org/officeDocument/2006/relationships/image" Target="media/image37.png"/><Relationship Id="rId82" Type="http://schemas.openxmlformats.org/officeDocument/2006/relationships/image" Target="media/image38.png"/><Relationship Id="rId83" Type="http://schemas.openxmlformats.org/officeDocument/2006/relationships/image" Target="media/image39.png"/><Relationship Id="rId84" Type="http://schemas.openxmlformats.org/officeDocument/2006/relationships/image" Target="media/image40.png"/><Relationship Id="rId44" Type="http://schemas.openxmlformats.org/officeDocument/2006/relationships/hyperlink" Target="http://www.sec.gov/Archives/edgar/data/813762/000110465916143329/a16-17984_1ex2d1.htm" TargetMode="External"/><Relationship Id="rId45" Type="http://schemas.openxmlformats.org/officeDocument/2006/relationships/hyperlink" Target="http://www.sec.gov/Archives/edgar/data/813762/000114420416140174/v449727_ex2-1.htm" TargetMode="External"/><Relationship Id="rId46" Type="http://schemas.openxmlformats.org/officeDocument/2006/relationships/hyperlink" Target="http://www.sec.gov/Archives/edgar/data/813762/000119312518112277/d554615dex21.htm" TargetMode="External"/><Relationship Id="rId47" Type="http://schemas.openxmlformats.org/officeDocument/2006/relationships/hyperlink" Target="http://www.sec.gov/Archives/edgar/data/813762/000110465918024062/a18-11003_1ex2d1.htm" TargetMode="External"/><Relationship Id="rId48" Type="http://schemas.openxmlformats.org/officeDocument/2006/relationships/hyperlink" Target="http://www.sec.gov/Archives/edgar/data/813762/000114036118040981/s002486x3_ex2-1.htm" TargetMode="External"/><Relationship Id="rId49" Type="http://schemas.openxmlformats.org/officeDocument/2006/relationships/hyperlink" Target="http://www.sec.gov/Archives/edgar/data/813762/000114420407050385/v088216_ex3-1.htm" TargetMode="External"/><Relationship Id="rId50" Type="http://schemas.openxmlformats.org/officeDocument/2006/relationships/hyperlink" Target="http://www.sec.gov/Archives/edgar/data/813762/000114420408015862/v106776_ex3-9.htm" TargetMode="External"/><Relationship Id="rId51" Type="http://schemas.openxmlformats.org/officeDocument/2006/relationships/hyperlink" Target="http://www.sec.gov/Archives/edgar/data/813762/000081376216000089/iep-ex31_amendedandrestate.htm" TargetMode="External"/><Relationship Id="rId52" Type="http://schemas.openxmlformats.org/officeDocument/2006/relationships/hyperlink" Target="http://www.sec.gov/Archives/edgar/data/813762/000095012304006078/y97041exv3w5.txt" TargetMode="External"/><Relationship Id="rId53" Type="http://schemas.openxmlformats.org/officeDocument/2006/relationships/hyperlink" Target="http://www.sec.gov/Archives/edgar/data/813762/0000897204-96-000093-index.html" TargetMode="External"/><Relationship Id="rId54" Type="http://schemas.openxmlformats.org/officeDocument/2006/relationships/hyperlink" Target="http://www.sec.gov/Archives/edgar/data/813762/000095011703001233/ex3-9.txt" TargetMode="External"/><Relationship Id="rId55" Type="http://schemas.openxmlformats.org/officeDocument/2006/relationships/hyperlink" Target="http://www.sec.gov/Archives/edgar/data/813762/000095012305009643/y11364exv3w2.htm" TargetMode="External"/><Relationship Id="rId56" Type="http://schemas.openxmlformats.org/officeDocument/2006/relationships/hyperlink" Target="http://www.sec.gov/Archives/edgar/data/813762/000114420408015862/v106776_ex3-11.htm" TargetMode="External"/><Relationship Id="rId57" Type="http://schemas.openxmlformats.org/officeDocument/2006/relationships/hyperlink" Target="http://www.sec.gov/Archives/edgar/data/813762/000095012305003242/y06341exv4w4.htm" TargetMode="External"/><Relationship Id="rId58" Type="http://schemas.openxmlformats.org/officeDocument/2006/relationships/hyperlink" Target="http://www.sec.gov/Archives/edgar/data/813762/000095012305003242/y06341exv4w3.htm" TargetMode="External"/><Relationship Id="rId59" Type="http://schemas.openxmlformats.org/officeDocument/2006/relationships/hyperlink" Target="http://www.sec.gov/Archives/edgar/data/813762/000081376216000089/iep-ex41_certificatex8416.htm" TargetMode="External"/><Relationship Id="rId60" Type="http://schemas.openxmlformats.org/officeDocument/2006/relationships/hyperlink" Target="http://www.sec.gov/Archives/edgar/data/813762/0000897204-95-000016-index.html" TargetMode="External"/><Relationship Id="rId61" Type="http://schemas.openxmlformats.org/officeDocument/2006/relationships/hyperlink" Target="http://www.sec.gov/Archives/edgar/data/813762/000095012305003242/y06341exv10w2.htm" TargetMode="External"/><Relationship Id="rId62" Type="http://schemas.openxmlformats.org/officeDocument/2006/relationships/hyperlink" Target="http://www.sec.gov/Archives/edgar/data/813762/000114420407041620/v083035_ex10-5.htm" TargetMode="External"/><Relationship Id="rId63" Type="http://schemas.openxmlformats.org/officeDocument/2006/relationships/hyperlink" Target="http://www.sec.gov/Archives/edgar/data/813762/000114420413047710/v353661_ex10-1.htm" TargetMode="External"/><Relationship Id="rId64" Type="http://schemas.openxmlformats.org/officeDocument/2006/relationships/hyperlink" Target="http://www.sec.gov/Archives/edgar/data/813762/000114420413042533/v351461_ex4-1.htm" TargetMode="External"/><Relationship Id="rId65" Type="http://schemas.openxmlformats.org/officeDocument/2006/relationships/hyperlink" Target="http://www.sec.gov/Archives/edgar/data/813762/000114420414004986/v366725_ex4-1.htm" TargetMode="External"/><Relationship Id="rId66" Type="http://schemas.openxmlformats.org/officeDocument/2006/relationships/hyperlink" Target="http://www.sec.gov/Archives/edgar/data/813762/000114420417002748/v457095_ex4-1.htm" TargetMode="External"/><Relationship Id="rId67" Type="http://schemas.openxmlformats.org/officeDocument/2006/relationships/hyperlink" Target="http://www.sec.gov/Archives/edgar/data/813762/000114420417062610/tv480904_ex4-1.htm" TargetMode="External"/><Relationship Id="rId68" Type="http://schemas.openxmlformats.org/officeDocument/2006/relationships/hyperlink" Target="http://www.sec.gov/Archives/edgar/data/813762/000119312518290879/d629636dex41.htm" TargetMode="External"/><Relationship Id="rId69" Type="http://schemas.openxmlformats.org/officeDocument/2006/relationships/hyperlink" Target="http://www.sec.gov/Archives/edgar/data/813762/0000897204-95-000029-index.html" TargetMode="External"/><Relationship Id="rId70" Type="http://schemas.openxmlformats.org/officeDocument/2006/relationships/hyperlink" Target="http://www.sec.gov/Archives/edgar/data/813762/000095012306003289/y18546exv10w42.htm" TargetMode="External"/><Relationship Id="rId71" Type="http://schemas.openxmlformats.org/officeDocument/2006/relationships/hyperlink" Target="http://www.sec.gov/Archives/edgar/data/813762/000114420407041620/v083035_ex10-4.htm" TargetMode="External"/><Relationship Id="rId72" Type="http://schemas.openxmlformats.org/officeDocument/2006/relationships/hyperlink" Target="http://www.sec.gov/Archives/edgar/data/813762/000081376211000033/iepex102icahnagreement.htm" TargetMode="External"/><Relationship Id="rId73" Type="http://schemas.openxmlformats.org/officeDocument/2006/relationships/hyperlink" Target="http://www.sec.gov/Archives/edgar/data/813762/000092846416000156/iep8k030116ex1.htm" TargetMode="External"/><Relationship Id="rId74" Type="http://schemas.openxmlformats.org/officeDocument/2006/relationships/hyperlink" Target="http://www.sec.gov/Archives/edgar/data/813762/000114420416093293/v436021_ex10-1.htm" TargetMode="External"/><Relationship Id="rId75" Type="http://schemas.openxmlformats.org/officeDocument/2006/relationships/hyperlink" Target="http://www.sec.gov/Archives/edgar/data/813762/000114420416093293/v436021_ex10-2.htm" TargetMode="External"/><Relationship Id="rId76" Type="http://schemas.openxmlformats.org/officeDocument/2006/relationships/hyperlink" Target="http://www.sec.gov/Archives/edgar/data/813762/000114420417002748/v457095_ex10-1.htm" TargetMode="External"/><Relationship Id="rId77" Type="http://schemas.openxmlformats.org/officeDocument/2006/relationships/hyperlink" Target="http://www.sec.gov/Archives/edgar/data/813762/000114420417062610/tv480904_ex10-1.htm" TargetMode="External"/><Relationship Id="rId78" Type="http://schemas.openxmlformats.org/officeDocument/2006/relationships/hyperlink" Target="http://www.sec.gov/Archives/edgar/data/813762/000119312518290879/d629636dex101.htm" TargetMode="External"/><Relationship Id="rId79" Type="http://schemas.openxmlformats.org/officeDocument/2006/relationships/hyperlink" Target="http://www.sec.gov/Archives/edgar/data/813762/000081376212000064/iep-ex141_93012xcodeofethi.htm" TargetMode="External"/><Relationship Id="rId80" Type="http://schemas.openxmlformats.org/officeDocument/2006/relationships/hyperlink" Target="http://www.sec.gov/Archives/edgar/data/813762/000114420407059478/v092368_ex1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2019-12-28T15:24:11Z</dcterms:created>
  <dcterms:modified xsi:type="dcterms:W3CDTF">2019-12-28T15:24:11Z</dcterms:modified>
</cp:coreProperties>
</file>