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4"/>
          <w:szCs w:val="24"/>
          <w:color w:val="auto"/>
        </w:rPr>
      </w:pPr>
    </w:p>
    <w:p>
      <w:pPr>
        <w:spacing w:after="0" w:line="34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UNITED STATES SECURITIES AND EXCHANGE COMMISSION</w:t>
      </w:r>
    </w:p>
    <w:p>
      <w:pPr>
        <w:spacing w:after="0" w:line="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9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(Mark one)</w:t>
      </w:r>
    </w:p>
    <w:p>
      <w:pPr>
        <w:spacing w:after="0" w:line="107" w:lineRule="exact"/>
        <w:rPr>
          <w:sz w:val="24"/>
          <w:szCs w:val="24"/>
          <w:color w:val="auto"/>
        </w:rPr>
      </w:pPr>
    </w:p>
    <w:p>
      <w:pPr>
        <w:ind w:left="3710" w:right="2920" w:hanging="3710"/>
        <w:spacing w:after="0" w:line="357" w:lineRule="auto"/>
        <w:tabs>
          <w:tab w:leader="none" w:pos="278"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2020</w:t>
      </w:r>
    </w:p>
    <w:p>
      <w:pPr>
        <w:spacing w:after="0" w:line="22" w:lineRule="exact"/>
        <w:rPr>
          <w:sz w:val="24"/>
          <w:szCs w:val="24"/>
          <w:color w:val="auto"/>
        </w:rPr>
      </w:pPr>
    </w:p>
    <w:p>
      <w:pPr>
        <w:ind w:left="210" w:hanging="210"/>
        <w:spacing w:after="0"/>
        <w:tabs>
          <w:tab w:leader="none" w:pos="21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w:t>
            </w:r>
          </w:p>
        </w:tc>
        <w:tc>
          <w:tcPr>
            <w:tcW w:w="1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(State or Other</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720" w:type="dxa"/>
            <w:vAlign w:val="bottom"/>
            <w:gridSpan w:val="5"/>
          </w:tcPr>
          <w:p>
            <w:pPr>
              <w:jc w:val="center"/>
              <w:ind w:right="448"/>
              <w:spacing w:after="0" w:line="158" w:lineRule="exact"/>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800" w:type="dxa"/>
            <w:vAlign w:val="bottom"/>
          </w:tcPr>
          <w:p>
            <w:pPr>
              <w:jc w:val="center"/>
              <w:ind w:left="228"/>
              <w:spacing w:after="0" w:line="158" w:lineRule="exact"/>
              <w:rPr>
                <w:sz w:val="20"/>
                <w:szCs w:val="20"/>
                <w:color w:val="auto"/>
              </w:rPr>
            </w:pPr>
            <w:r>
              <w:rPr>
                <w:rFonts w:ascii="Times New Roman" w:cs="Times New Roman" w:eastAsia="Times New Roman" w:hAnsi="Times New Roman"/>
                <w:sz w:val="14"/>
                <w:szCs w:val="14"/>
                <w:color w:val="auto"/>
              </w:rPr>
              <w:t>Jurisdiction of</w:t>
            </w:r>
          </w:p>
        </w:tc>
        <w:tc>
          <w:tcPr>
            <w:tcW w:w="11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(Commission File Number)</w:t>
            </w:r>
          </w:p>
        </w:tc>
        <w:tc>
          <w:tcPr>
            <w:tcW w:w="360" w:type="dxa"/>
            <w:vAlign w:val="bottom"/>
          </w:tcPr>
          <w:p>
            <w:pPr>
              <w:spacing w:after="0"/>
              <w:rPr>
                <w:sz w:val="12"/>
                <w:szCs w:val="12"/>
                <w:color w:val="auto"/>
              </w:rPr>
            </w:pPr>
          </w:p>
        </w:tc>
        <w:tc>
          <w:tcPr>
            <w:tcW w:w="3720" w:type="dxa"/>
            <w:vAlign w:val="bottom"/>
            <w:gridSpan w:val="5"/>
          </w:tcPr>
          <w:p>
            <w:pPr>
              <w:jc w:val="center"/>
              <w:ind w:right="46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8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(Telephone Number)</w:t>
            </w:r>
          </w:p>
        </w:tc>
        <w:tc>
          <w:tcPr>
            <w:tcW w:w="920" w:type="dxa"/>
            <w:vAlign w:val="bottom"/>
          </w:tcPr>
          <w:p>
            <w:pPr>
              <w:spacing w:after="0"/>
              <w:rPr>
                <w:sz w:val="16"/>
                <w:szCs w:val="16"/>
                <w:color w:val="auto"/>
              </w:rPr>
            </w:pPr>
          </w:p>
        </w:tc>
        <w:tc>
          <w:tcPr>
            <w:tcW w:w="18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Organization)</w:t>
            </w:r>
          </w:p>
        </w:tc>
        <w:tc>
          <w:tcPr>
            <w:tcW w:w="11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96"/>
        </w:trPr>
        <w:tc>
          <w:tcPr>
            <w:tcW w:w="3160" w:type="dxa"/>
            <w:vAlign w:val="bottom"/>
            <w:gridSpan w:val="2"/>
          </w:tcPr>
          <w:p>
            <w:pPr>
              <w:jc w:val="right"/>
              <w:ind w:right="1609"/>
              <w:spacing w:after="0"/>
              <w:rPr>
                <w:sz w:val="20"/>
                <w:szCs w:val="20"/>
                <w:color w:val="auto"/>
              </w:rPr>
            </w:pPr>
            <w:r>
              <w:rPr>
                <w:rFonts w:ascii="Times New Roman" w:cs="Times New Roman" w:eastAsia="Times New Roman" w:hAnsi="Times New Roman"/>
                <w:sz w:val="14"/>
                <w:szCs w:val="14"/>
                <w:b w:val="1"/>
                <w:bCs w:val="1"/>
                <w:color w:val="auto"/>
              </w:rPr>
              <w:t>1-9516</w:t>
            </w:r>
          </w:p>
        </w:tc>
        <w:tc>
          <w:tcPr>
            <w:tcW w:w="360" w:type="dxa"/>
            <w:vAlign w:val="bottom"/>
          </w:tcPr>
          <w:p>
            <w:pPr>
              <w:spacing w:after="0"/>
              <w:rPr>
                <w:sz w:val="24"/>
                <w:szCs w:val="24"/>
                <w:color w:val="auto"/>
              </w:rPr>
            </w:pPr>
          </w:p>
        </w:tc>
        <w:tc>
          <w:tcPr>
            <w:tcW w:w="3720" w:type="dxa"/>
            <w:vAlign w:val="bottom"/>
            <w:gridSpan w:val="5"/>
          </w:tcPr>
          <w:p>
            <w:pPr>
              <w:jc w:val="center"/>
              <w:ind w:right="468"/>
              <w:spacing w:after="0"/>
              <w:rPr>
                <w:sz w:val="20"/>
                <w:szCs w:val="20"/>
                <w:color w:val="auto"/>
              </w:rPr>
            </w:pPr>
            <w:r>
              <w:rPr>
                <w:rFonts w:ascii="Times New Roman" w:cs="Times New Roman" w:eastAsia="Times New Roman" w:hAnsi="Times New Roman"/>
                <w:sz w:val="22"/>
                <w:szCs w:val="22"/>
                <w:b w:val="1"/>
                <w:bCs w:val="1"/>
                <w:color w:val="auto"/>
                <w:w w:val="97"/>
              </w:rPr>
              <w:t>ICAHN ENTERPRISES L.P.</w:t>
            </w:r>
          </w:p>
        </w:tc>
        <w:tc>
          <w:tcPr>
            <w:tcW w:w="18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1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13-3398766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16690 Collins Avenue, PH-1</w:t>
            </w:r>
          </w:p>
        </w:tc>
        <w:tc>
          <w:tcPr>
            <w:tcW w:w="9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Sunny Isles Beach, FL 33160</w:t>
            </w:r>
          </w:p>
        </w:tc>
        <w:tc>
          <w:tcPr>
            <w:tcW w:w="9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(305) 422-4100</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3160" w:type="dxa"/>
            <w:vAlign w:val="bottom"/>
            <w:gridSpan w:val="2"/>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333-118021-01</w:t>
            </w:r>
          </w:p>
        </w:tc>
        <w:tc>
          <w:tcPr>
            <w:tcW w:w="4080" w:type="dxa"/>
            <w:vAlign w:val="bottom"/>
            <w:gridSpan w:val="6"/>
          </w:tcPr>
          <w:p>
            <w:pPr>
              <w:jc w:val="center"/>
              <w:ind w:right="108"/>
              <w:spacing w:after="0"/>
              <w:rPr>
                <w:sz w:val="20"/>
                <w:szCs w:val="20"/>
                <w:color w:val="auto"/>
              </w:rPr>
            </w:pPr>
            <w:r>
              <w:rPr>
                <w:rFonts w:ascii="Times New Roman" w:cs="Times New Roman" w:eastAsia="Times New Roman" w:hAnsi="Times New Roman"/>
                <w:sz w:val="22"/>
                <w:szCs w:val="22"/>
                <w:b w:val="1"/>
                <w:bCs w:val="1"/>
                <w:color w:val="auto"/>
                <w:w w:val="97"/>
              </w:rPr>
              <w:t>ICAHN ENTERPRISES HOLDINGS L.P.</w:t>
            </w:r>
          </w:p>
        </w:tc>
        <w:tc>
          <w:tcPr>
            <w:tcW w:w="18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1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13-3398767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16690 Collins Avenue, PH-1</w:t>
            </w:r>
          </w:p>
        </w:tc>
        <w:tc>
          <w:tcPr>
            <w:tcW w:w="9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Sunny Isles Beach, FL 33160</w:t>
            </w:r>
          </w:p>
        </w:tc>
        <w:tc>
          <w:tcPr>
            <w:tcW w:w="9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(305) 422-4100</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080" w:type="dxa"/>
            <w:vAlign w:val="bottom"/>
            <w:gridSpan w:val="6"/>
          </w:tcPr>
          <w:p>
            <w:pPr>
              <w:jc w:val="center"/>
              <w:ind w:right="1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40" w:type="dxa"/>
            <w:vAlign w:val="bottom"/>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3140" w:type="dxa"/>
            <w:vAlign w:val="bottom"/>
          </w:tcPr>
          <w:p>
            <w:pPr>
              <w:jc w:val="center"/>
              <w:ind w:left="609"/>
              <w:spacing w:after="0" w:line="119" w:lineRule="exact"/>
              <w:rPr>
                <w:sz w:val="20"/>
                <w:szCs w:val="20"/>
                <w:color w:val="auto"/>
              </w:rPr>
            </w:pPr>
            <w:r>
              <w:rPr>
                <w:rFonts w:ascii="Times New Roman" w:cs="Times New Roman" w:eastAsia="Times New Roman" w:hAnsi="Times New Roman"/>
                <w:sz w:val="13"/>
                <w:szCs w:val="13"/>
                <w:color w:val="auto"/>
              </w:rPr>
              <w:t>Depositary Units of Icahn Enterprises L.P.</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IEP</w:t>
            </w:r>
          </w:p>
        </w:tc>
        <w:tc>
          <w:tcPr>
            <w:tcW w:w="920" w:type="dxa"/>
            <w:vAlign w:val="bottom"/>
          </w:tcPr>
          <w:p>
            <w:pPr>
              <w:spacing w:after="0"/>
              <w:rPr>
                <w:sz w:val="10"/>
                <w:szCs w:val="10"/>
                <w:color w:val="auto"/>
              </w:rPr>
            </w:pPr>
          </w:p>
        </w:tc>
        <w:tc>
          <w:tcPr>
            <w:tcW w:w="2980" w:type="dxa"/>
            <w:vAlign w:val="bottom"/>
            <w:gridSpan w:val="2"/>
            <w:vMerge w:val="restart"/>
          </w:tcPr>
          <w:p>
            <w:pPr>
              <w:jc w:val="center"/>
              <w:ind w:right="84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40" w:type="dxa"/>
            <w:vAlign w:val="bottom"/>
            <w:vMerge w:val="restart"/>
          </w:tcPr>
          <w:p>
            <w:pPr>
              <w:jc w:val="center"/>
              <w:ind w:left="649"/>
              <w:spacing w:after="0"/>
              <w:rPr>
                <w:sz w:val="20"/>
                <w:szCs w:val="20"/>
                <w:color w:val="auto"/>
              </w:rPr>
            </w:pPr>
            <w:r>
              <w:rPr>
                <w:rFonts w:ascii="Times New Roman" w:cs="Times New Roman" w:eastAsia="Times New Roman" w:hAnsi="Times New Roman"/>
                <w:sz w:val="14"/>
                <w:szCs w:val="14"/>
                <w:color w:val="auto"/>
              </w:rPr>
              <w:t>Representing Limited Partner Interests</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080" w:type="dxa"/>
            <w:vAlign w:val="bottom"/>
            <w:gridSpan w:val="6"/>
          </w:tcPr>
          <w:p>
            <w:pPr>
              <w:jc w:val="center"/>
              <w:ind w:right="128"/>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by Rule 405 of the Securities Act.</w:t>
            </w:r>
          </w:p>
        </w:tc>
        <w:tc>
          <w:tcPr>
            <w:tcW w:w="1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500" w:type="dxa"/>
            <w:vAlign w:val="bottom"/>
            <w:gridSpan w:val="2"/>
          </w:tcPr>
          <w:p>
            <w:pPr>
              <w:ind w:left="1320"/>
              <w:spacing w:after="0" w:line="188" w:lineRule="exact"/>
              <w:rPr>
                <w:sz w:val="20"/>
                <w:szCs w:val="20"/>
                <w:color w:val="auto"/>
              </w:rPr>
            </w:pPr>
            <w:r>
              <w:rPr>
                <w:rFonts w:ascii="Times New Roman" w:cs="Times New Roman" w:eastAsia="Times New Roman" w:hAnsi="Times New Roman"/>
                <w:sz w:val="14"/>
                <w:szCs w:val="14"/>
                <w:color w:val="auto"/>
              </w:rPr>
              <w:t xml:space="preserve">Icahn Enterprises L.P.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Icahn Enterprises Holdings L.P.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Exchange Act.</w:t>
            </w:r>
          </w:p>
        </w:tc>
        <w:tc>
          <w:tcPr>
            <w:tcW w:w="1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00" w:type="dxa"/>
            <w:vAlign w:val="bottom"/>
            <w:gridSpan w:val="2"/>
          </w:tcPr>
          <w:p>
            <w:pPr>
              <w:ind w:left="1340"/>
              <w:spacing w:after="0" w:line="188" w:lineRule="exact"/>
              <w:rPr>
                <w:sz w:val="20"/>
                <w:szCs w:val="20"/>
                <w:color w:val="auto"/>
              </w:rPr>
            </w:pPr>
            <w:r>
              <w:rPr>
                <w:rFonts w:ascii="Times New Roman" w:cs="Times New Roman" w:eastAsia="Times New Roman" w:hAnsi="Times New Roman"/>
                <w:sz w:val="14"/>
                <w:szCs w:val="14"/>
                <w:color w:val="auto"/>
              </w:rPr>
              <w:t xml:space="preserve">Icahn Enterprises L.P.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4"/>
                <w:szCs w:val="14"/>
                <w:color w:val="auto"/>
              </w:rPr>
              <w:t xml:space="preserve">Icahn Enterprises Holdings L.P.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left="10" w:right="2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9" w:lineRule="exact"/>
        <w:rPr>
          <w:sz w:val="24"/>
          <w:szCs w:val="24"/>
          <w:color w:val="auto"/>
        </w:rPr>
      </w:pPr>
    </w:p>
    <w:p>
      <w:pPr>
        <w:ind w:left="1370"/>
        <w:spacing w:after="0" w:line="188" w:lineRule="exact"/>
        <w:tabs>
          <w:tab w:leader="none" w:pos="6350" w:val="left"/>
        </w:tabs>
        <w:rPr>
          <w:sz w:val="20"/>
          <w:szCs w:val="20"/>
          <w:color w:val="auto"/>
        </w:rPr>
      </w:pPr>
      <w:r>
        <w:rPr>
          <w:rFonts w:ascii="Times New Roman" w:cs="Times New Roman" w:eastAsia="Times New Roman" w:hAnsi="Times New Roman"/>
          <w:sz w:val="14"/>
          <w:szCs w:val="14"/>
          <w:color w:val="auto"/>
        </w:rPr>
        <w:t xml:space="preserve">Icahn Enterprises L.P.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Icahn Enterprises Holdings L.P.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19" w:lineRule="exact"/>
        <w:rPr>
          <w:sz w:val="24"/>
          <w:szCs w:val="24"/>
          <w:color w:val="auto"/>
        </w:rPr>
      </w:pPr>
    </w:p>
    <w:p>
      <w:pPr>
        <w:ind w:left="10" w:right="6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59" w:lineRule="exact"/>
        <w:rPr>
          <w:sz w:val="24"/>
          <w:szCs w:val="24"/>
          <w:color w:val="auto"/>
        </w:rPr>
      </w:pPr>
    </w:p>
    <w:p>
      <w:pPr>
        <w:ind w:left="1430"/>
        <w:spacing w:after="0" w:line="188" w:lineRule="exact"/>
        <w:tabs>
          <w:tab w:leader="none" w:pos="6410" w:val="left"/>
        </w:tabs>
        <w:rPr>
          <w:sz w:val="20"/>
          <w:szCs w:val="20"/>
          <w:color w:val="auto"/>
        </w:rPr>
      </w:pPr>
      <w:r>
        <w:rPr>
          <w:rFonts w:ascii="Times New Roman" w:cs="Times New Roman" w:eastAsia="Times New Roman" w:hAnsi="Times New Roman"/>
          <w:sz w:val="14"/>
          <w:szCs w:val="14"/>
          <w:color w:val="auto"/>
        </w:rPr>
        <w:t xml:space="preserve">Icahn Enterprises L.P.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Icahn Enterprises Holdings L.P.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19" w:lineRule="exact"/>
        <w:rPr>
          <w:sz w:val="24"/>
          <w:szCs w:val="24"/>
          <w:color w:val="auto"/>
        </w:rPr>
      </w:pPr>
    </w:p>
    <w:p>
      <w:pPr>
        <w:ind w:left="10" w:right="16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6"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52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Icahn Enterprises L.P.</w:t>
            </w:r>
          </w:p>
        </w:tc>
        <w:tc>
          <w:tcPr>
            <w:tcW w:w="49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Icahn Enterprises Holdings L.P.</w:t>
            </w:r>
          </w:p>
        </w:tc>
      </w:tr>
      <w:tr>
        <w:trPr>
          <w:trHeight w:val="136"/>
        </w:trPr>
        <w:tc>
          <w:tcPr>
            <w:tcW w:w="2900" w:type="dxa"/>
            <w:vAlign w:val="bottom"/>
            <w:tcBorders>
              <w:top w:val="single" w:sz="8" w:color="auto"/>
            </w:tcBorders>
          </w:tcPr>
          <w:p>
            <w:pPr>
              <w:ind w:left="1120"/>
              <w:spacing w:after="0" w:line="137" w:lineRule="exact"/>
              <w:rPr>
                <w:sz w:val="20"/>
                <w:szCs w:val="20"/>
                <w:color w:val="auto"/>
              </w:rPr>
            </w:pPr>
            <w:r>
              <w:rPr>
                <w:rFonts w:ascii="Times New Roman" w:cs="Times New Roman" w:eastAsia="Times New Roman" w:hAnsi="Times New Roman"/>
                <w:sz w:val="13"/>
                <w:szCs w:val="13"/>
                <w:color w:val="auto"/>
              </w:rPr>
              <w:t>Large Accelerated Filer</w:t>
            </w:r>
            <w:r>
              <w:rPr>
                <w:rFonts w:ascii="Arial Unicode MS" w:cs="Arial Unicode MS" w:eastAsia="Arial Unicode MS" w:hAnsi="Arial Unicode MS"/>
                <w:sz w:val="13"/>
                <w:szCs w:val="13"/>
                <w:color w:val="auto"/>
              </w:rPr>
              <w:t>⌧</w:t>
            </w:r>
          </w:p>
        </w:tc>
        <w:tc>
          <w:tcPr>
            <w:tcW w:w="2160" w:type="dxa"/>
            <w:vAlign w:val="bottom"/>
            <w:tcBorders>
              <w:top w:val="single" w:sz="8" w:color="auto"/>
            </w:tcBorders>
          </w:tcPr>
          <w:p>
            <w:pPr>
              <w:ind w:left="640"/>
              <w:spacing w:after="0" w:line="137" w:lineRule="exact"/>
              <w:rPr>
                <w:sz w:val="20"/>
                <w:szCs w:val="20"/>
                <w:color w:val="auto"/>
              </w:rPr>
            </w:pPr>
            <w:r>
              <w:rPr>
                <w:rFonts w:ascii="Times New Roman" w:cs="Times New Roman" w:eastAsia="Times New Roman" w:hAnsi="Times New Roman"/>
                <w:sz w:val="13"/>
                <w:szCs w:val="13"/>
                <w:color w:val="auto"/>
              </w:rPr>
              <w:t>Accelerated Filer</w:t>
            </w:r>
            <w:r>
              <w:rPr>
                <w:rFonts w:ascii="Arial Unicode MS" w:cs="Arial Unicode MS" w:eastAsia="Arial Unicode MS" w:hAnsi="Arial Unicode MS"/>
                <w:sz w:val="13"/>
                <w:szCs w:val="13"/>
                <w:color w:val="auto"/>
              </w:rPr>
              <w:t>☐</w:t>
            </w:r>
          </w:p>
        </w:tc>
        <w:tc>
          <w:tcPr>
            <w:tcW w:w="220" w:type="dxa"/>
            <w:vAlign w:val="bottom"/>
          </w:tcPr>
          <w:p>
            <w:pPr>
              <w:spacing w:after="0"/>
              <w:rPr>
                <w:sz w:val="11"/>
                <w:szCs w:val="11"/>
                <w:color w:val="auto"/>
              </w:rPr>
            </w:pPr>
          </w:p>
        </w:tc>
        <w:tc>
          <w:tcPr>
            <w:tcW w:w="2820" w:type="dxa"/>
            <w:vAlign w:val="bottom"/>
            <w:tcBorders>
              <w:top w:val="single" w:sz="8" w:color="auto"/>
            </w:tcBorders>
          </w:tcPr>
          <w:p>
            <w:pPr>
              <w:ind w:left="1100"/>
              <w:spacing w:after="0" w:line="137" w:lineRule="exact"/>
              <w:rPr>
                <w:sz w:val="20"/>
                <w:szCs w:val="20"/>
                <w:color w:val="auto"/>
              </w:rPr>
            </w:pPr>
            <w:r>
              <w:rPr>
                <w:rFonts w:ascii="Times New Roman" w:cs="Times New Roman" w:eastAsia="Times New Roman" w:hAnsi="Times New Roman"/>
                <w:sz w:val="13"/>
                <w:szCs w:val="13"/>
                <w:color w:val="auto"/>
              </w:rPr>
              <w:t>Large Accelerated Filer</w:t>
            </w:r>
            <w:r>
              <w:rPr>
                <w:rFonts w:ascii="Arial Unicode MS" w:cs="Arial Unicode MS" w:eastAsia="Arial Unicode MS" w:hAnsi="Arial Unicode MS"/>
                <w:sz w:val="13"/>
                <w:szCs w:val="13"/>
                <w:color w:val="auto"/>
              </w:rPr>
              <w:t>☐</w:t>
            </w:r>
          </w:p>
        </w:tc>
        <w:tc>
          <w:tcPr>
            <w:tcW w:w="2120" w:type="dxa"/>
            <w:vAlign w:val="bottom"/>
            <w:tcBorders>
              <w:top w:val="single" w:sz="8" w:color="auto"/>
            </w:tcBorders>
          </w:tcPr>
          <w:p>
            <w:pPr>
              <w:ind w:left="600"/>
              <w:spacing w:after="0" w:line="137" w:lineRule="exact"/>
              <w:rPr>
                <w:sz w:val="20"/>
                <w:szCs w:val="20"/>
                <w:color w:val="auto"/>
              </w:rPr>
            </w:pPr>
            <w:r>
              <w:rPr>
                <w:rFonts w:ascii="Times New Roman" w:cs="Times New Roman" w:eastAsia="Times New Roman" w:hAnsi="Times New Roman"/>
                <w:sz w:val="13"/>
                <w:szCs w:val="13"/>
                <w:color w:val="auto"/>
              </w:rPr>
              <w:t>Accelerated Filer</w:t>
            </w:r>
            <w:r>
              <w:rPr>
                <w:rFonts w:ascii="Arial Unicode MS" w:cs="Arial Unicode MS" w:eastAsia="Arial Unicode MS" w:hAnsi="Arial Unicode MS"/>
                <w:sz w:val="13"/>
                <w:szCs w:val="13"/>
                <w:color w:val="auto"/>
              </w:rPr>
              <w:t>☐</w:t>
            </w:r>
          </w:p>
        </w:tc>
      </w:tr>
      <w:tr>
        <w:trPr>
          <w:trHeight w:val="175"/>
        </w:trPr>
        <w:tc>
          <w:tcPr>
            <w:tcW w:w="2900" w:type="dxa"/>
            <w:vAlign w:val="bottom"/>
          </w:tcPr>
          <w:p>
            <w:pPr>
              <w:ind w:left="1220"/>
              <w:spacing w:after="0" w:line="176" w:lineRule="exact"/>
              <w:rPr>
                <w:sz w:val="20"/>
                <w:szCs w:val="20"/>
                <w:color w:val="auto"/>
              </w:rPr>
            </w:pPr>
            <w:r>
              <w:rPr>
                <w:rFonts w:ascii="Times New Roman" w:cs="Times New Roman" w:eastAsia="Times New Roman" w:hAnsi="Times New Roman"/>
                <w:sz w:val="14"/>
                <w:szCs w:val="14"/>
                <w:color w:val="auto"/>
              </w:rPr>
              <w:t>Non-accelerated Filer</w:t>
            </w:r>
            <w:r>
              <w:rPr>
                <w:rFonts w:ascii="Arial Unicode MS" w:cs="Arial Unicode MS" w:eastAsia="Arial Unicode MS" w:hAnsi="Arial Unicode MS"/>
                <w:sz w:val="14"/>
                <w:szCs w:val="14"/>
                <w:color w:val="auto"/>
              </w:rPr>
              <w:t>☐</w:t>
            </w:r>
          </w:p>
        </w:tc>
        <w:tc>
          <w:tcPr>
            <w:tcW w:w="238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4"/>
                <w:szCs w:val="14"/>
                <w:color w:val="auto"/>
              </w:rPr>
              <w:t>Smaller Reporting Company</w:t>
            </w:r>
            <w:r>
              <w:rPr>
                <w:rFonts w:ascii="Arial Unicode MS" w:cs="Arial Unicode MS" w:eastAsia="Arial Unicode MS" w:hAnsi="Arial Unicode MS"/>
                <w:sz w:val="14"/>
                <w:szCs w:val="14"/>
                <w:color w:val="auto"/>
              </w:rPr>
              <w:t>☐</w:t>
            </w:r>
          </w:p>
        </w:tc>
        <w:tc>
          <w:tcPr>
            <w:tcW w:w="2820" w:type="dxa"/>
            <w:vAlign w:val="bottom"/>
          </w:tcPr>
          <w:p>
            <w:pPr>
              <w:ind w:left="1220"/>
              <w:spacing w:after="0" w:line="176" w:lineRule="exact"/>
              <w:rPr>
                <w:sz w:val="20"/>
                <w:szCs w:val="20"/>
                <w:color w:val="auto"/>
              </w:rPr>
            </w:pPr>
            <w:r>
              <w:rPr>
                <w:rFonts w:ascii="Times New Roman" w:cs="Times New Roman" w:eastAsia="Times New Roman" w:hAnsi="Times New Roman"/>
                <w:sz w:val="14"/>
                <w:szCs w:val="14"/>
                <w:color w:val="auto"/>
              </w:rPr>
              <w:t>Non-accelerated Filer</w:t>
            </w:r>
            <w:r>
              <w:rPr>
                <w:rFonts w:ascii="Arial Unicode MS" w:cs="Arial Unicode MS" w:eastAsia="Arial Unicode MS" w:hAnsi="Arial Unicode MS"/>
                <w:sz w:val="14"/>
                <w:szCs w:val="14"/>
                <w:color w:val="auto"/>
              </w:rPr>
              <w:t>⌧</w:t>
            </w:r>
          </w:p>
        </w:tc>
        <w:tc>
          <w:tcPr>
            <w:tcW w:w="2120" w:type="dxa"/>
            <w:vAlign w:val="bottom"/>
          </w:tcPr>
          <w:p>
            <w:pPr>
              <w:ind w:left="180"/>
              <w:spacing w:after="0" w:line="176" w:lineRule="exact"/>
              <w:rPr>
                <w:sz w:val="20"/>
                <w:szCs w:val="20"/>
                <w:color w:val="auto"/>
              </w:rPr>
            </w:pPr>
            <w:r>
              <w:rPr>
                <w:rFonts w:ascii="Times New Roman" w:cs="Times New Roman" w:eastAsia="Times New Roman" w:hAnsi="Times New Roman"/>
                <w:sz w:val="14"/>
                <w:szCs w:val="14"/>
                <w:color w:val="auto"/>
              </w:rPr>
              <w:t>Smaller Reporting Company</w:t>
            </w:r>
            <w:r>
              <w:rPr>
                <w:rFonts w:ascii="Arial Unicode MS" w:cs="Arial Unicode MS" w:eastAsia="Arial Unicode MS" w:hAnsi="Arial Unicode MS"/>
                <w:sz w:val="14"/>
                <w:szCs w:val="14"/>
                <w:color w:val="auto"/>
              </w:rPr>
              <w:t>☐</w:t>
            </w:r>
          </w:p>
        </w:tc>
      </w:tr>
      <w:tr>
        <w:trPr>
          <w:trHeight w:val="226"/>
        </w:trPr>
        <w:tc>
          <w:tcPr>
            <w:tcW w:w="528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4"/>
                <w:szCs w:val="14"/>
                <w:color w:val="auto"/>
              </w:rPr>
              <w:t>Emerging Growth Company</w:t>
            </w:r>
            <w:r>
              <w:rPr>
                <w:rFonts w:ascii="Arial Unicode MS" w:cs="Arial Unicode MS" w:eastAsia="Arial Unicode MS" w:hAnsi="Arial Unicode MS"/>
                <w:sz w:val="14"/>
                <w:szCs w:val="14"/>
                <w:color w:val="auto"/>
              </w:rPr>
              <w:t>☐</w:t>
            </w:r>
          </w:p>
        </w:tc>
        <w:tc>
          <w:tcPr>
            <w:tcW w:w="49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4"/>
                <w:szCs w:val="14"/>
                <w:color w:val="auto"/>
              </w:rPr>
              <w:t>Emerging Growth Company</w:t>
            </w:r>
            <w:r>
              <w:rPr>
                <w:rFonts w:ascii="Arial Unicode MS" w:cs="Arial Unicode MS" w:eastAsia="Arial Unicode MS" w:hAnsi="Arial Unicode MS"/>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1586865</wp:posOffset>
            </wp:positionH>
            <wp:positionV relativeFrom="paragraph">
              <wp:posOffset>-332105</wp:posOffset>
            </wp:positionV>
            <wp:extent cx="95250" cy="73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250" cy="7302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-329565</wp:posOffset>
            </wp:positionV>
            <wp:extent cx="69215" cy="70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4931410</wp:posOffset>
            </wp:positionH>
            <wp:positionV relativeFrom="paragraph">
              <wp:posOffset>-329565</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-329565</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1588135</wp:posOffset>
            </wp:positionH>
            <wp:positionV relativeFrom="paragraph">
              <wp:posOffset>-217805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-217805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6329045</wp:posOffset>
            </wp:positionH>
            <wp:positionV relativeFrom="paragraph">
              <wp:posOffset>-217805</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-106680</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-106680</wp:posOffset>
            </wp:positionV>
            <wp:extent cx="69215" cy="7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6" w:lineRule="exact"/>
        <w:rPr>
          <w:sz w:val="24"/>
          <w:szCs w:val="24"/>
          <w:color w:val="auto"/>
        </w:rPr>
      </w:pPr>
    </w:p>
    <w:p>
      <w:pPr>
        <w:ind w:left="10" w:right="2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69" w:lineRule="exact"/>
        <w:rPr>
          <w:sz w:val="24"/>
          <w:szCs w:val="24"/>
          <w:color w:val="auto"/>
        </w:rPr>
      </w:pPr>
    </w:p>
    <w:p>
      <w:pPr>
        <w:ind w:left="10" w:right="4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6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99" w:lineRule="exact"/>
        <w:rPr>
          <w:sz w:val="24"/>
          <w:szCs w:val="24"/>
          <w:color w:val="auto"/>
        </w:rPr>
      </w:pPr>
    </w:p>
    <w:p>
      <w:pPr>
        <w:ind w:left="1130"/>
        <w:spacing w:after="0" w:line="188" w:lineRule="exact"/>
        <w:tabs>
          <w:tab w:leader="none" w:pos="6310" w:val="left"/>
        </w:tabs>
        <w:rPr>
          <w:sz w:val="20"/>
          <w:szCs w:val="20"/>
          <w:color w:val="auto"/>
        </w:rPr>
      </w:pPr>
      <w:r>
        <w:rPr>
          <w:rFonts w:ascii="Times New Roman" w:cs="Times New Roman" w:eastAsia="Times New Roman" w:hAnsi="Times New Roman"/>
          <w:sz w:val="14"/>
          <w:szCs w:val="14"/>
          <w:color w:val="auto"/>
        </w:rPr>
        <w:t xml:space="preserve">Icahn Enterprises L.P.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Icahn Enterprises Holdings L.P.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19" w:lineRule="exact"/>
        <w:rPr>
          <w:sz w:val="24"/>
          <w:szCs w:val="24"/>
          <w:color w:val="auto"/>
        </w:rPr>
      </w:pPr>
    </w:p>
    <w:p>
      <w:pPr>
        <w:ind w:left="10" w:right="100"/>
        <w:spacing w:after="0" w:line="241" w:lineRule="auto"/>
        <w:rPr>
          <w:sz w:val="20"/>
          <w:szCs w:val="20"/>
          <w:color w:val="auto"/>
        </w:rPr>
      </w:pPr>
      <w:r>
        <w:rPr>
          <w:rFonts w:ascii="Times New Roman" w:cs="Times New Roman" w:eastAsia="Times New Roman" w:hAnsi="Times New Roman"/>
          <w:sz w:val="14"/>
          <w:szCs w:val="14"/>
          <w:color w:val="auto"/>
        </w:rPr>
        <w:t>The aggregate market value of Icahn Enterprises’ depositary units held by non-affiliates of the registrant as of June 30, 2020, the last business day of the registrant’s most recently completed second fiscal quarter, based upon the closing price of depositary units on the Nasdaq Global Select Market (“Nasdaq”) on such date was $860 million. As of February 26, 2021, there were 241,338,835 of Icahn Enterprises’ depositary units outstanding</w:t>
      </w:r>
      <w:r>
        <w:rPr>
          <w:rFonts w:ascii="Times New Roman" w:cs="Times New Roman" w:eastAsia="Times New Roman" w:hAnsi="Times New Roman"/>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478155</wp:posOffset>
            </wp:positionV>
            <wp:extent cx="64979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57785</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100965</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19" w:firstLine="324"/>
        <w:spacing w:after="0" w:line="269" w:lineRule="auto"/>
        <w:rPr>
          <w:sz w:val="20"/>
          <w:szCs w:val="20"/>
          <w:color w:val="auto"/>
        </w:rPr>
      </w:pPr>
      <w:r>
        <w:rPr>
          <w:rFonts w:ascii="Times New Roman" w:cs="Times New Roman" w:eastAsia="Times New Roman" w:hAnsi="Times New Roman"/>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8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include certain statements made under the caption, “Management’s Discussion and Analysis of Financial Condition and Results of Operations,” under Item 7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risks and uncertainties may include the risks and uncertainties described elsewhere in this Report, including under the caption “Risk Factors,” under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certain risks. Before investing in any of our securities, you should carefully consider the following summary of the principal factors that make an investment in our securities speculative or risky as well as the risks described under the caption “Risk Factors,” under Item 1A of this Report. If any of these risks actually occurs, it could have a material adverse effect on our businesses. The risks described below and under the caption “Risk Factors,” under Item 1A of this Report are not the only risks that affect our businesses. Additional risks that are unknown or not presently deemed significant may also have a material adverse effect on our businesses. The following is a summary of our risk factors that appear in Item 1A of this Report.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Structure</w:t>
      </w:r>
    </w:p>
    <w:p>
      <w:pPr>
        <w:spacing w:after="0" w:line="229"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its control person, has significant influence over us;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and in the future may engage, in transactions with our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becoming an investment company;</w:t>
      </w:r>
    </w:p>
    <w:p>
      <w:pPr>
        <w:spacing w:after="0" w:line="9"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structure transactions in a less advantageous manner to avoid becoming subject to the Investment Company Act;</w:t>
      </w:r>
    </w:p>
    <w:p>
      <w:pPr>
        <w:ind w:left="720" w:right="21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taxable as a corporation if we are no longer treated as a partnership for U.S. federal income tax purposes;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negatively impacted by the potential for changes in tax laws;</w:t>
      </w:r>
    </w:p>
    <w:p>
      <w:pPr>
        <w:spacing w:after="0" w:line="9" w:lineRule="exact"/>
        <w:rPr>
          <w:rFonts w:ascii="Times New Roman" w:cs="Times New Roman" w:eastAsia="Times New Roman" w:hAnsi="Times New Roman"/>
          <w:sz w:val="18"/>
          <w:szCs w:val="18"/>
          <w:color w:val="auto"/>
        </w:rPr>
      </w:pPr>
    </w:p>
    <w:p>
      <w:pPr>
        <w:ind w:left="720" w:right="2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depositary units may be required to pay tax on their share of our income even if they did not receive cash distributions from us;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gain or loss on the disposition of our depositary units could be more or less than expected;</w:t>
      </w:r>
    </w:p>
    <w:p>
      <w:pPr>
        <w:spacing w:after="0" w:line="9" w:lineRule="exact"/>
        <w:rPr>
          <w:rFonts w:ascii="Times New Roman" w:cs="Times New Roman" w:eastAsia="Times New Roman" w:hAnsi="Times New Roman"/>
          <w:sz w:val="18"/>
          <w:szCs w:val="18"/>
          <w:color w:val="auto"/>
        </w:rPr>
      </w:pPr>
    </w:p>
    <w:p>
      <w:pPr>
        <w:ind w:left="720" w:right="31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may recognize unrelated business taxable income they receive from holding our units, and may face other unique issues specific to their U.S. federal income tax classification;</w:t>
      </w:r>
    </w:p>
    <w:p>
      <w:pPr>
        <w:ind w:left="720" w:right="1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persons face unique tax issues from owning units that may result in adverse tax consequences to them, including being subject to withholding regimes and U.S. federal income tax on certain income they may earn from holding our units;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for any underwithholding by nominees of our distributions made after January 2022;</w:t>
      </w:r>
    </w:p>
    <w:p>
      <w:pPr>
        <w:spacing w:after="0" w:line="9"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unitholders likely will be subject to state and local taxes and return filing or withholding requirements in states in which they do not live as a result of investing in our units;</w:t>
      </w:r>
    </w:p>
    <w:p>
      <w:pPr>
        <w:jc w:val="both"/>
        <w:ind w:left="720" w:right="1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spacing w:after="0" w:line="1" w:lineRule="exact"/>
        <w:rPr>
          <w:rFonts w:ascii="Times New Roman" w:cs="Times New Roman" w:eastAsia="Times New Roman" w:hAnsi="Times New Roman"/>
          <w:sz w:val="18"/>
          <w:szCs w:val="18"/>
          <w:color w:val="auto"/>
        </w:rPr>
      </w:pPr>
    </w:p>
    <w:p>
      <w:pPr>
        <w:ind w:left="720" w:right="1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spacing w:after="0" w:line="1" w:lineRule="exact"/>
        <w:rPr>
          <w:rFonts w:ascii="Times New Roman" w:cs="Times New Roman" w:eastAsia="Times New Roman" w:hAnsi="Times New Roman"/>
          <w:sz w:val="18"/>
          <w:szCs w:val="18"/>
          <w:color w:val="auto"/>
        </w:rPr>
      </w:pPr>
    </w:p>
    <w:p>
      <w:pPr>
        <w:ind w:left="720" w:right="1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pension liabilities of our affiliates;</w:t>
      </w:r>
    </w:p>
    <w:p>
      <w:pPr>
        <w:spacing w:after="0" w:line="9" w:lineRule="exact"/>
        <w:rPr>
          <w:rFonts w:ascii="Times New Roman" w:cs="Times New Roman" w:eastAsia="Times New Roman" w:hAnsi="Times New Roman"/>
          <w:sz w:val="18"/>
          <w:szCs w:val="18"/>
          <w:color w:val="auto"/>
        </w:rPr>
      </w:pPr>
    </w:p>
    <w:p>
      <w:pPr>
        <w:ind w:left="720" w:right="11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limited partnership and a ‘‘controlled company’’ within the meaning of the Nasdaq rules and as such are exempt from certain corporate governance requirements;</w:t>
      </w:r>
    </w:p>
    <w:p>
      <w:pPr>
        <w:ind w:left="720" w:right="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our management team may be involved in other business activities that may involve conflicts of interest;</w:t>
      </w:r>
    </w:p>
    <w:p>
      <w:pPr>
        <w:ind w:left="720" w:right="3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Icahn Enterprises’ depositary units have limited voting rights, including rights to participate in our management;</w:t>
      </w:r>
    </w:p>
    <w:p>
      <w:pPr>
        <w:ind w:left="720" w:right="1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Icahn Enterprises’ depositary units may not have limited liability in certain circumstances and may be personally liable for the return of distributions that cause our liabilities to exceed our assets;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are a limited partnership, you may not be able to pursue legal claims against us in U.S. federal courts.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Liquidity and Capital Requirements</w:t>
      </w:r>
    </w:p>
    <w:p>
      <w:pPr>
        <w:spacing w:after="0" w:line="229"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depend on the businesses of our subsidiaries to satisfy our obligations;</w:t>
      </w:r>
    </w:p>
    <w:p>
      <w:pPr>
        <w:spacing w:after="0" w:line="27"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service our indebtedness, we will require a significant amount of cash. Our ability to maintain our current cash position or generate cash depends on many factors beyond our control;</w:t>
      </w:r>
    </w:p>
    <w:p>
      <w:pPr>
        <w:jc w:val="both"/>
        <w:ind w:left="720" w:right="25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contained under any of our debt instruments, including the indentures governing our senior unsecured notes (including our failure to comply as a result of events beyond our control), could result in an event of default that would materially and adversely affect our financial condition;</w:t>
      </w:r>
    </w:p>
    <w:p>
      <w:pPr>
        <w:spacing w:after="0" w:line="1" w:lineRule="exact"/>
        <w:rPr>
          <w:rFonts w:ascii="Times New Roman" w:cs="Times New Roman" w:eastAsia="Times New Roman" w:hAnsi="Times New Roman"/>
          <w:sz w:val="18"/>
          <w:szCs w:val="18"/>
          <w:color w:val="auto"/>
        </w:rPr>
      </w:pPr>
    </w:p>
    <w:p>
      <w:pPr>
        <w:ind w:left="720" w:right="53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funds necessary to finance a change of control offer that may be required by the indentures governing our senior notes;</w:t>
      </w:r>
    </w:p>
    <w:p>
      <w:pPr>
        <w:ind w:left="720" w:right="53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significant investments in the Investment Funds and negative performance of the Investment Funds may result in a significant decline in the value of our investments; and</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cash distributions to Icahn Enterprises’ unitholders, if any, can be affected by numerous factors.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Investment Segment</w:t>
      </w:r>
    </w:p>
    <w:p>
      <w:pPr>
        <w:spacing w:after="0" w:line="229" w:lineRule="exact"/>
        <w:rPr>
          <w:sz w:val="20"/>
          <w:szCs w:val="20"/>
          <w:color w:val="auto"/>
        </w:rPr>
      </w:pPr>
    </w:p>
    <w:p>
      <w:pPr>
        <w:ind w:left="800" w:hanging="3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may be subject to significant uncertainties;</w:t>
      </w:r>
    </w:p>
    <w:p>
      <w:pPr>
        <w:spacing w:after="0" w:line="27" w:lineRule="exact"/>
        <w:rPr>
          <w:rFonts w:ascii="Times New Roman" w:cs="Times New Roman" w:eastAsia="Times New Roman" w:hAnsi="Times New Roman"/>
          <w:sz w:val="18"/>
          <w:szCs w:val="18"/>
          <w:color w:val="auto"/>
        </w:rPr>
      </w:pPr>
    </w:p>
    <w:p>
      <w:pPr>
        <w:ind w:left="800" w:right="87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information for the Investment Funds is not necessarily indicative of its future performance;</w:t>
      </w:r>
    </w:p>
    <w:p>
      <w:pPr>
        <w:ind w:left="800" w:right="27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 w:lineRule="exact"/>
        <w:rPr>
          <w:rFonts w:ascii="Times New Roman" w:cs="Times New Roman" w:eastAsia="Times New Roman" w:hAnsi="Times New Roman"/>
          <w:sz w:val="18"/>
          <w:szCs w:val="18"/>
          <w:color w:val="auto"/>
        </w:rPr>
      </w:pPr>
    </w:p>
    <w:p>
      <w:pPr>
        <w:ind w:left="800" w:right="21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suitable investments, and our investments may not result in favorable returns or may result in losses;</w:t>
      </w:r>
    </w:p>
    <w:p>
      <w:pPr>
        <w:ind w:left="800" w:right="7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execution of our activist investment activities involves many risks, certain of which are outside of our control;</w:t>
      </w:r>
    </w:p>
    <w:p>
      <w:pPr>
        <w:ind w:left="800" w:hanging="3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make investments in companies we do not control;</w:t>
      </w:r>
    </w:p>
    <w:p>
      <w:pPr>
        <w:spacing w:after="0" w:line="9" w:lineRule="exact"/>
        <w:rPr>
          <w:rFonts w:ascii="Times New Roman" w:cs="Times New Roman" w:eastAsia="Times New Roman" w:hAnsi="Times New Roman"/>
          <w:sz w:val="18"/>
          <w:szCs w:val="18"/>
          <w:color w:val="auto"/>
        </w:rPr>
      </w:pPr>
    </w:p>
    <w:p>
      <w:pPr>
        <w:ind w:left="800" w:right="53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leverage in investments by the Investment Funds may pose a significant degree of risk and may enhance the possibility of significant loss in the value of the investments in the Investment Funds;</w:t>
      </w:r>
    </w:p>
    <w:p>
      <w:pPr>
        <w:ind w:left="800" w:hanging="3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increased regulation could result in additional burdens on our Investment segment;</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hedge investments successfully is subject to numerous risks;</w:t>
      </w:r>
    </w:p>
    <w:p>
      <w:pPr>
        <w:spacing w:after="0" w:line="9" w:lineRule="exact"/>
        <w:rPr>
          <w:rFonts w:ascii="Times New Roman" w:cs="Times New Roman" w:eastAsia="Times New Roman" w:hAnsi="Times New Roman"/>
          <w:sz w:val="18"/>
          <w:szCs w:val="18"/>
          <w:color w:val="auto"/>
        </w:rPr>
      </w:pPr>
    </w:p>
    <w:p>
      <w:pPr>
        <w:ind w:left="800" w:right="99" w:hanging="318"/>
        <w:spacing w:after="0" w:line="250"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invest in distressed securities, as well as bank loans, asset backed securities and mortgage backed securities; and</w:t>
      </w:r>
    </w:p>
    <w:p>
      <w:pPr>
        <w:jc w:val="both"/>
        <w:ind w:left="800" w:right="279" w:hanging="318"/>
        <w:spacing w:after="0" w:line="255"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Consolidated Operating Subsidiaries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operating subsidiaries are subject to various risks, including but not limited to:</w:t>
      </w:r>
    </w:p>
    <w:p>
      <w:pPr>
        <w:spacing w:after="0" w:line="27" w:lineRule="exact"/>
        <w:rPr>
          <w:sz w:val="20"/>
          <w:szCs w:val="20"/>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regulatory actions;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 damage to property, injury to persons or environmental and legal liability;</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commodity prices;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Environmental Protection Agency Renewable Fuel Standard;</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laws and regulations;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in foreign countries; and</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involving any of our businesses or one or more of their customers or suppliers.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2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ICAHN ENTERPRISES L.P.</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92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2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920" w:type="dxa"/>
            <w:vAlign w:val="bottom"/>
            <w:gridSpan w:val="3"/>
            <w:shd w:val="clear" w:color="auto" w:fill="CCEEFF"/>
          </w:tcPr>
          <w:p>
            <w:pPr>
              <w:jc w:val="center"/>
              <w:ind w:right="1320"/>
              <w:spacing w:after="0"/>
              <w:rPr>
                <w:rFonts w:ascii="Times New Roman" w:cs="Times New Roman" w:eastAsia="Times New Roman" w:hAnsi="Times New Roman"/>
                <w:sz w:val="18"/>
                <w:szCs w:val="18"/>
                <w:b w:val="1"/>
                <w:bCs w:val="1"/>
                <w:u w:val="single" w:color="auto"/>
                <w:color w:val="0000EE"/>
                <w:w w:val="99"/>
              </w:rPr>
            </w:pPr>
            <w:hyperlink w:anchor="page6">
              <w:r>
                <w:rPr>
                  <w:rFonts w:ascii="Times New Roman" w:cs="Times New Roman" w:eastAsia="Times New Roman" w:hAnsi="Times New Roman"/>
                  <w:sz w:val="18"/>
                  <w:szCs w:val="18"/>
                  <w:b w:val="1"/>
                  <w:bCs w:val="1"/>
                  <w:u w:val="single" w:color="auto"/>
                  <w:color w:val="0000EE"/>
                  <w:w w:val="99"/>
                </w:rPr>
                <w:t>PART I</w:t>
              </w:r>
            </w:hyperlink>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220" w:type="dxa"/>
            <w:vAlign w:val="bottom"/>
            <w:gridSpan w:val="6"/>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Business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72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Risk Factors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7220" w:type="dxa"/>
            <w:vAlign w:val="bottom"/>
            <w:gridSpan w:val="6"/>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Unresolved Staff Comments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72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Properties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220" w:type="dxa"/>
            <w:vAlign w:val="bottom"/>
            <w:gridSpan w:val="6"/>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Legal Proceedings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72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Mine Safety Disclosures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920" w:type="dxa"/>
            <w:vAlign w:val="bottom"/>
            <w:gridSpan w:val="3"/>
            <w:shd w:val="clear" w:color="auto" w:fill="CCEEFF"/>
          </w:tcPr>
          <w:p>
            <w:pPr>
              <w:jc w:val="center"/>
              <w:ind w:right="1320"/>
              <w:spacing w:after="0"/>
              <w:rPr>
                <w:rFonts w:ascii="Times New Roman" w:cs="Times New Roman" w:eastAsia="Times New Roman" w:hAnsi="Times New Roman"/>
                <w:sz w:val="18"/>
                <w:szCs w:val="18"/>
                <w:b w:val="1"/>
                <w:bCs w:val="1"/>
                <w:u w:val="single" w:color="auto"/>
                <w:color w:val="0000EE"/>
                <w:w w:val="94"/>
              </w:rPr>
            </w:pPr>
            <w:hyperlink w:anchor="page34">
              <w:r>
                <w:rPr>
                  <w:rFonts w:ascii="Times New Roman" w:cs="Times New Roman" w:eastAsia="Times New Roman" w:hAnsi="Times New Roman"/>
                  <w:sz w:val="18"/>
                  <w:szCs w:val="18"/>
                  <w:b w:val="1"/>
                  <w:bCs w:val="1"/>
                  <w:u w:val="single" w:color="auto"/>
                  <w:color w:val="0000EE"/>
                  <w:w w:val="94"/>
                </w:rPr>
                <w:t>PART II</w:t>
              </w:r>
            </w:hyperlink>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7220" w:type="dxa"/>
            <w:vAlign w:val="bottom"/>
            <w:gridSpan w:val="6"/>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Market for Registrant’s Common Equity, Related Security Holder Matters and Issuer Purchases of</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9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Equity Securities</w:t>
              </w:r>
            </w:hyperlink>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5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72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Selected Financial Data</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7220" w:type="dxa"/>
            <w:vAlign w:val="bottom"/>
            <w:gridSpan w:val="6"/>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7A.</w:t>
            </w:r>
          </w:p>
        </w:tc>
        <w:tc>
          <w:tcPr>
            <w:tcW w:w="72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Quantitative and Qualitative Disclosures about Market Risk</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7220" w:type="dxa"/>
            <w:vAlign w:val="bottom"/>
            <w:gridSpan w:val="6"/>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Financial Statements and Supplementary Data</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w:t>
            </w:r>
          </w:p>
        </w:tc>
        <w:tc>
          <w:tcPr>
            <w:tcW w:w="72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7220" w:type="dxa"/>
            <w:vAlign w:val="bottom"/>
            <w:gridSpan w:val="6"/>
          </w:tcPr>
          <w:p>
            <w:pPr>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Controls and Procedures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9B.</w:t>
            </w:r>
          </w:p>
        </w:tc>
        <w:tc>
          <w:tcPr>
            <w:tcW w:w="72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Other Information</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920" w:type="dxa"/>
            <w:vAlign w:val="bottom"/>
            <w:gridSpan w:val="3"/>
            <w:shd w:val="clear" w:color="auto" w:fill="CCEEFF"/>
          </w:tcPr>
          <w:p>
            <w:pPr>
              <w:jc w:val="center"/>
              <w:ind w:right="1320"/>
              <w:spacing w:after="0"/>
              <w:rPr>
                <w:rFonts w:ascii="Times New Roman" w:cs="Times New Roman" w:eastAsia="Times New Roman" w:hAnsi="Times New Roman"/>
                <w:sz w:val="18"/>
                <w:szCs w:val="18"/>
                <w:b w:val="1"/>
                <w:bCs w:val="1"/>
                <w:u w:val="single" w:color="auto"/>
                <w:color w:val="0000EE"/>
                <w:w w:val="96"/>
              </w:rPr>
            </w:pPr>
            <w:hyperlink w:anchor="page130">
              <w:r>
                <w:rPr>
                  <w:rFonts w:ascii="Times New Roman" w:cs="Times New Roman" w:eastAsia="Times New Roman" w:hAnsi="Times New Roman"/>
                  <w:sz w:val="18"/>
                  <w:szCs w:val="18"/>
                  <w:b w:val="1"/>
                  <w:bCs w:val="1"/>
                  <w:u w:val="single" w:color="auto"/>
                  <w:color w:val="0000EE"/>
                  <w:w w:val="96"/>
                </w:rPr>
                <w:t>PART III</w:t>
              </w:r>
            </w:hyperlink>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7220" w:type="dxa"/>
            <w:vAlign w:val="bottom"/>
            <w:gridSpan w:val="6"/>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Directors, Executive Officers and Corporate Governance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11.</w:t>
            </w:r>
          </w:p>
        </w:tc>
        <w:tc>
          <w:tcPr>
            <w:tcW w:w="72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Executive Compensation</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220" w:type="dxa"/>
            <w:vAlign w:val="bottom"/>
            <w:gridSpan w:val="6"/>
          </w:tcPr>
          <w:p>
            <w:pPr>
              <w:spacing w:after="0" w:line="176" w:lineRule="exact"/>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Security Ownership of Certain Beneficial Owners and Management and Related Security Holder</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Matters</w:t>
              </w:r>
            </w:hyperlink>
          </w:p>
        </w:tc>
        <w:tc>
          <w:tcPr>
            <w:tcW w:w="260" w:type="dxa"/>
            <w:vAlign w:val="bottom"/>
            <w:gridSpan w:val="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138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5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44">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7220" w:type="dxa"/>
            <w:vAlign w:val="bottom"/>
            <w:gridSpan w:val="6"/>
          </w:tcPr>
          <w:p>
            <w:pPr>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Principal Accountant Fees and Services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142</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920" w:type="dxa"/>
            <w:vAlign w:val="bottom"/>
            <w:gridSpan w:val="3"/>
          </w:tcPr>
          <w:p>
            <w:pPr>
              <w:jc w:val="center"/>
              <w:ind w:right="1320"/>
              <w:spacing w:after="0"/>
              <w:rPr>
                <w:rFonts w:ascii="Times New Roman" w:cs="Times New Roman" w:eastAsia="Times New Roman" w:hAnsi="Times New Roman"/>
                <w:sz w:val="18"/>
                <w:szCs w:val="18"/>
                <w:b w:val="1"/>
                <w:bCs w:val="1"/>
                <w:u w:val="single" w:color="auto"/>
                <w:color w:val="0000EE"/>
                <w:w w:val="97"/>
              </w:rPr>
            </w:pPr>
            <w:hyperlink w:anchor="page148">
              <w:r>
                <w:rPr>
                  <w:rFonts w:ascii="Times New Roman" w:cs="Times New Roman" w:eastAsia="Times New Roman" w:hAnsi="Times New Roman"/>
                  <w:sz w:val="18"/>
                  <w:szCs w:val="18"/>
                  <w:b w:val="1"/>
                  <w:bCs w:val="1"/>
                  <w:u w:val="single" w:color="auto"/>
                  <w:color w:val="0000EE"/>
                  <w:w w:val="97"/>
                </w:rPr>
                <w:t>PART IV</w:t>
              </w:r>
            </w:hyperlink>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722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Exhibits and Financial Statement Schedules</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7220" w:type="dxa"/>
            <w:vAlign w:val="bottom"/>
            <w:gridSpan w:val="6"/>
          </w:tcPr>
          <w:p>
            <w:pPr>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Form 10-K Summary</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Icahn Enterprises Holdings L.P. (“Icahn Enterprises Holdings”) is a limited partnership formed in Delaware on February 17, 1987. Icahn Enterprises and Icahn Enterprises Holdings are headquartered in Sunny Isles Beach, Florida. References to “we,” “our” or “us” herein include both Icahn Enterprises and Icahn Enterprises Holdings and their subsidiaries, unless the context otherwise requires.</w:t>
      </w:r>
    </w:p>
    <w:p>
      <w:pPr>
        <w:spacing w:after="0" w:line="18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G.P. Inc. (“Icahn Enterprises GP”), which is indirectly owned and controlled by Mr. Carl C. Icahn, owns a 1% general partner interest in each of Icahn Enterprises and Icahn Enterprises Holdings as of December 31, 2020.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Mr. Icahn and his affiliates owned approximately 92% of Icahn Enterprises’ outstanding depositary units as of December 31, 2020.</w:t>
      </w:r>
    </w:p>
    <w:p>
      <w:pPr>
        <w:spacing w:after="0" w:line="192" w:lineRule="exact"/>
        <w:rPr>
          <w:sz w:val="20"/>
          <w:szCs w:val="20"/>
          <w:color w:val="auto"/>
        </w:rPr>
      </w:pPr>
    </w:p>
    <w:p>
      <w:pPr>
        <w:ind w:left="60" w:right="119" w:firstLine="324"/>
        <w:spacing w:after="0" w:line="312" w:lineRule="auto"/>
        <w:rPr>
          <w:sz w:val="20"/>
          <w:szCs w:val="20"/>
          <w:color w:val="auto"/>
        </w:rPr>
      </w:pPr>
      <w:r>
        <w:rPr>
          <w:rFonts w:ascii="Times New Roman" w:cs="Times New Roman" w:eastAsia="Times New Roman" w:hAnsi="Times New Roman"/>
          <w:sz w:val="17"/>
          <w:szCs w:val="17"/>
          <w:color w:val="auto"/>
        </w:rPr>
        <w:t>We are a diversified holding company owning subsidiaries engaged in the following operating businesses: Investment, Energy, Automotive, Food Packaging, Metals, Real Estate, Home Fashion and, as of December 2020, Pharma.</w:t>
      </w:r>
    </w:p>
    <w:p>
      <w:pPr>
        <w:spacing w:after="0" w:line="140"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87" w:lineRule="exact"/>
        <w:rPr>
          <w:sz w:val="20"/>
          <w:szCs w:val="20"/>
          <w:color w:val="auto"/>
        </w:rPr>
      </w:pPr>
    </w:p>
    <w:p>
      <w:pPr>
        <w:ind w:left="60" w:right="179" w:firstLine="324"/>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business strategy and core strengths, and certain other business developments, are not disclosed in this Report </w:t>
      </w:r>
      <w:hyperlink r:id="rId24">
        <w:r>
          <w:rPr>
            <w:rFonts w:ascii="Times New Roman" w:cs="Times New Roman" w:eastAsia="Times New Roman" w:hAnsi="Times New Roman"/>
            <w:sz w:val="18"/>
            <w:szCs w:val="18"/>
            <w:color w:val="auto"/>
          </w:rPr>
          <w:t xml:space="preserve">since they are not materially different from prior disclosures, as described in </w:t>
        </w:r>
        <w:r>
          <w:rPr>
            <w:rFonts w:ascii="Times New Roman" w:cs="Times New Roman" w:eastAsia="Times New Roman" w:hAnsi="Times New Roman"/>
            <w:sz w:val="18"/>
            <w:szCs w:val="18"/>
            <w:u w:val="single" w:color="auto"/>
            <w:color w:val="0000EE"/>
          </w:rPr>
          <w:t>Item 1 of our Annual Report on Form 10-K</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for the fiscal year ended December 31, 2019, as filed with the Securities and Exchange Commission (“SEC”) on February</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28, 2020, and which is incorporated by reference herein</w:t>
        </w:r>
        <w:r>
          <w:rPr>
            <w:rFonts w:ascii="Times New Roman" w:cs="Times New Roman" w:eastAsia="Times New Roman" w:hAnsi="Times New Roman"/>
            <w:sz w:val="18"/>
            <w:szCs w:val="18"/>
            <w:color w:val="000000"/>
          </w:rPr>
          <w:t>.</w:t>
        </w:r>
      </w:hyperlink>
    </w:p>
    <w:p>
      <w:pPr>
        <w:spacing w:after="0" w:line="176"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Description</w:t>
      </w:r>
    </w:p>
    <w:p>
      <w:pPr>
        <w:spacing w:after="0" w:line="229" w:lineRule="exact"/>
        <w:rPr>
          <w:rFonts w:ascii="Times New Roman" w:cs="Times New Roman" w:eastAsia="Times New Roman" w:hAnsi="Times New Roman"/>
          <w:sz w:val="18"/>
          <w:szCs w:val="18"/>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Icahn Enterprises began as American Real Estate Partners L.P. in 1987 and currently operates a portfolio of eight diversified reporting segments. With the exception of our Investment segment, our operating segments primarily comprise independently operated businesses that we have obtained a controlling interest in through execution of our business strategy. Our Investment segment derives revenues from gains and losses from investment transactions. Our other operating segments derive revenues principally from net sales of various products, primarily within our Energy and Automotive segments, which together accounted for the significant majority of our consolidated net sales for each of the three years in the period ended December 31, 2020. Our other operating segments’ revenues are also derived through various other revenue streams which primarily consists of automotive services and real estate leasing operations. The majority of our consolidated revenues are derived from customers in the United States. Our Food Packaging segment, and prior to August 2019, our Mining segment, accounted for the majority of our consolidated revenues derived from customers outside the United States.</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seek to invest our available cash and cash equivalents in liquid investments with a view to enhancing returns as we continue to assess further acquisitions of, or investments in, operating businesses. As of December 31, 2020, we had investments with a fair market value of approximately $4.3 billion in the Investment Funds, as defined below. In addition, as of December 31, 2020, our Holding Company had various other investments, primarily equity investments, aggregating $366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229"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Our Investment segment is comprised of various private investment funds (“Investment Funds”) in which we have general partner interests and through which we invest our proprietary capital. We, certain of Mr. Icahn’s wholly-owned affiliates and Brett Icahn, son of Mr. Icahn, are the sole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Strategy</w:t>
      </w:r>
    </w:p>
    <w:p>
      <w:pPr>
        <w:spacing w:after="0" w:line="22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investment strategy of the Investment Funds is set and led by Mr. Icahn. The Investment Funds seek to acquire securities in companies that trade at a discount to inherent value as determined by various metrics, including replacement cost, break-up value, cash flow and earnings power and liquidation value.</w:t>
      </w:r>
    </w:p>
    <w:p>
      <w:pPr>
        <w:spacing w:after="0" w:line="17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Investment Funds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spacing w:after="0" w:line="18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often act as activist investors ready to take the steps necessary to seek to unlock value, including through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they believe to be undervalued by the marketplace. The Investment Funds often take significant positions in the companies in which they invest.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w:t>
      </w:r>
    </w:p>
    <w:p>
      <w:pPr>
        <w:spacing w:after="0" w:line="227"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Investment segment’s income or loss is driven by the amount of funds allocated to the Investment Funds and the performance of the underlying investments in the Investment Funds. Funds allocated to the Investment Funds are based on the net contributions and redemptions by our Holding Company, by Mr. Icahn and his affiliates and by Brett Icahn.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Affiliate Investments</w:t>
      </w:r>
    </w:p>
    <w:p>
      <w:pPr>
        <w:spacing w:after="0" w:line="22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and Mr. Icahn, along with the Investment Funds, have entered into a covered affiliate agreement, which was amended on March 31, 2011, pursuant to which Mr. Icahn agreed (on behalf of himself and certain of his affiliates, excluding Icahn Enterprises, Icahn Enterprises Holdings and their subsidiaries) to be bound by certain restrictions on their investments in any assets that we deem suitable for the Investment Funds, other than government and agency bonds and cash equivalents, unless otherwise approved by our Audit Committee. In addition, Mr. Icahn and such affiliates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continue to have the right to co-invest with the Investment Funds. We have no interest in, nor do we generate any income from, any such co-investments, which have been and may continue to be substantial.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ind w:left="60" w:right="379" w:firstLine="324"/>
        <w:spacing w:after="0" w:line="289" w:lineRule="auto"/>
        <w:rPr>
          <w:sz w:val="20"/>
          <w:szCs w:val="20"/>
          <w:color w:val="auto"/>
        </w:rPr>
      </w:pPr>
      <w:r>
        <w:rPr>
          <w:rFonts w:ascii="Times New Roman" w:cs="Times New Roman" w:eastAsia="Times New Roman" w:hAnsi="Times New Roman"/>
          <w:sz w:val="17"/>
          <w:szCs w:val="17"/>
          <w:color w:val="auto"/>
        </w:rPr>
        <w:t>We conduct our Energy segment through our majority owned subsidiary, CVR Energy, Inc. (“CVR Energy”). CVR Energy is headquartered in Sugar Land, Texas. CVR Energy is a reporting company under the Exchange Act and files annual, quarterly and current reports, proxy statements and other information with the SEC that are publicly available.</w:t>
      </w:r>
    </w:p>
    <w:p>
      <w:pPr>
        <w:spacing w:after="0" w:line="158"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ammonia and urea ammonium nitrate (“UAN”). CVR Energy has a general partner interest in each of CVR Refining and CVR Partners. In addition, CVR Energy is the sole limited partner of CVR Refining and owns 36% of the outstanding common units of CVR Partners as of December 31, 2020.</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2020, we owned approximately 71% of the total outstanding common stock of CVR Energy.</w:t>
      </w:r>
    </w:p>
    <w:p>
      <w:pPr>
        <w:spacing w:after="0" w:line="225"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Our Energy segment’s net sales for the years ended December 31, 2020, 2019 and 2018 represented approximately 58%, 65% and 67%, respectively, of our consolidated net sales, primarily from the sale of its petroleum products.</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Raw Materials and Supply</w:t>
      </w:r>
    </w:p>
    <w:p>
      <w:pPr>
        <w:spacing w:after="0" w:line="227" w:lineRule="exact"/>
        <w:rPr>
          <w:sz w:val="20"/>
          <w:szCs w:val="20"/>
          <w:color w:val="auto"/>
        </w:rPr>
      </w:pPr>
    </w:p>
    <w:p>
      <w:pPr>
        <w:ind w:left="60" w:right="159" w:firstLine="324"/>
        <w:spacing w:after="0" w:line="277" w:lineRule="auto"/>
        <w:rPr>
          <w:sz w:val="20"/>
          <w:szCs w:val="20"/>
          <w:color w:val="auto"/>
        </w:rPr>
      </w:pPr>
      <w:r>
        <w:rPr>
          <w:rFonts w:ascii="Times New Roman" w:cs="Times New Roman" w:eastAsia="Times New Roman" w:hAnsi="Times New Roman"/>
          <w:sz w:val="17"/>
          <w:szCs w:val="17"/>
          <w:color w:val="auto"/>
        </w:rPr>
        <w:t>CVR Refining has the capability to process a variety of crude oil blends. CVR Refining’s oil refineries in Coffeyville, Kansas and Wynnewood, Oklahoma have a combined capacity of 206,500 barrels per day. In addition to the use of third-party pipelines for the supply of crude oil, CVR Refining has an extensive gathering system consisting of logistics assets that are owned, leased or part of a joint venture operation. Petroleum refining product yield includes gasoline, diesel fuel, pet coke and other refined products such as natural gas liquids, asphalt and jet fuel among other products.</w:t>
      </w:r>
    </w:p>
    <w:p>
      <w:pPr>
        <w:spacing w:after="0" w:line="16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CVR Partners produces and distributes nitrogen fertilizer products, which are used by farmers to improve the yield and quality of their crops. The principal products are UAN and ammonia. CVR Partners’ Coffeyville, Kansas facility uses pet coke to produce nitrogen fertilizer and is supplied primarily by its adjacent crude oil refinery pursuant to a renewable long-term agreement with CVR Refining. Historically, the Coffeyville nitrogen fertilizer plant has obtained the remainder of its pet coke requirements from third parties such as other Midwestern refineries or pet coke brokers at spot-prices. CVR Partners’ East Dubuque, Illinois facility uses natural gas to produce nitrogen fertilizer. The East Dubuque facility is able to purchase natural gas at competitive prices due to its connection to the Norther Natural Gas interstate pipeline system, which is within one mile of the facility, and the ANR Pipeline Company pipeline.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Environmental Regulations</w:t>
      </w:r>
    </w:p>
    <w:p>
      <w:pPr>
        <w:spacing w:after="0" w:line="227"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CVR Energy’s petroleum and nitrogen fertilizer businesses are subject to extensive and frequently changing federal, state and local, environmental,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diesel fuels, UAN and ammonia. These laws and regulations, their underlying regulatory requirements, and the enforcement thereof, impact the petroleum business and operations and the nitrogen fertilizer business and operations by imposing:</w:t>
      </w:r>
    </w:p>
    <w:p>
      <w:pPr>
        <w:spacing w:after="0" w:line="187" w:lineRule="exact"/>
        <w:rPr>
          <w:sz w:val="20"/>
          <w:szCs w:val="20"/>
          <w:color w:val="auto"/>
        </w:rPr>
      </w:pPr>
    </w:p>
    <w:p>
      <w:pPr>
        <w:ind w:left="800" w:hanging="31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or the need to install enhanced or additional controls;</w:t>
      </w:r>
    </w:p>
    <w:p>
      <w:pPr>
        <w:spacing w:after="0" w:line="225" w:lineRule="exact"/>
        <w:rPr>
          <w:rFonts w:ascii="Times New Roman" w:cs="Times New Roman" w:eastAsia="Times New Roman" w:hAnsi="Times New Roman"/>
          <w:sz w:val="18"/>
          <w:szCs w:val="18"/>
          <w:color w:val="auto"/>
        </w:rPr>
      </w:pPr>
    </w:p>
    <w:p>
      <w:pPr>
        <w:ind w:left="800" w:right="599" w:hanging="318"/>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the investigation and remediation of contaminated soil and groundwater at current and former facilities (if any) and for off-site waste disposal locations;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119" w:hanging="318"/>
        <w:spacing w:after="0" w:line="282"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specifications for the products marketed by the petroleum business and the nitrogen fertilizer business, primarily gasoline, diesel fuel, UAN and ammonia.</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CVR Energy’s operations require numerous permits, licenses and authorizations. Failure to comply with these permits or environmental laws and regulations could result in fines, penalties or other sanctions or a revocation of CVR Energy’s permits. In addition, the laws and regulations to which CVR Energy is subject to are often evolving and many of them have become more stringent or have become subject to more stringent interpretation or enforcement by federal or state agencies. These laws and regulations could result in increased capital, operating and compliance costs.</w:t>
      </w:r>
    </w:p>
    <w:p>
      <w:pPr>
        <w:spacing w:after="0" w:line="18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CVR Energy’s businesses are also subject to, or impacted by, various other environmental laws and regulations such as the federal Clean Air Act, the federal Clean Water Act, release reporting requirements relating to the release of hazardous substances into the environment, certain fuel regulations, renewable fuel standards, as discussed below, and various other laws and regulations.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Renewable Fuel Standards</w:t>
      </w:r>
    </w:p>
    <w:p>
      <w:pPr>
        <w:spacing w:after="0" w:line="22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CVR Refining is subject to the renewable fuel standards which requires refiners to either blend “renewable fuels” with their transportation fuels or purchase renewable fuel credits, known as renewable identification numbers, in lieu of blending. See Item 1A, “Risk Factors” and Note 18, “Commitments and Contingencies,” to the consolidated financial statements for further discussion.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We conduct our Automotive segment through our wholly owned subsidiary, Icahn Automotive Group LLC (“Icahn Automotive”). Icahn Automotive is headquartered in Kennesaw, Georgia.</w:t>
      </w:r>
    </w:p>
    <w:p>
      <w:pPr>
        <w:spacing w:after="0" w:line="162" w:lineRule="exact"/>
        <w:rPr>
          <w:sz w:val="20"/>
          <w:szCs w:val="20"/>
          <w:color w:val="auto"/>
        </w:rPr>
      </w:pPr>
    </w:p>
    <w:p>
      <w:pPr>
        <w:ind w:left="60" w:right="319" w:firstLine="324"/>
        <w:spacing w:after="0" w:line="253" w:lineRule="auto"/>
        <w:rPr>
          <w:sz w:val="20"/>
          <w:szCs w:val="20"/>
          <w:color w:val="auto"/>
        </w:rPr>
      </w:pPr>
      <w:r>
        <w:rPr>
          <w:rFonts w:ascii="Times New Roman" w:cs="Times New Roman" w:eastAsia="Times New Roman" w:hAnsi="Times New Roman"/>
          <w:sz w:val="18"/>
          <w:szCs w:val="18"/>
          <w:color w:val="auto"/>
        </w:rPr>
        <w:t>Icahn Automotive was formed by us to invest in and operate businesses involved in automotive repair and maintenance services (“automotive services”) as well as the distribution and sale of automotive aftermarket parts and accessories to end-user do-it-yourself customers, wholesale distributors, and professional auto mechanics (“aftermarket parts”). Icahn Automotive’s automotive services and aftermarket parts businesses serve different customer channels and have distinct strategies, opportunities and requirements. As a result, the board of directors of Icahn Automotive has approved the separation of its aftermarket parts and automotive services businesses into two independent operating companies, each with its own Chief Executive Officer and management teams, and both of which are supported by a central shared service group. Our Automotive segment also includes our separate equity method investment in 767 Auto Leasing, LLC (“767 Leasing”), a joint venture created by us to purchase vehicles for lease. Although 767 Leasing is separate from Icahn Automotive, we include it as a component of our Automotive segment due to the nature of the joint venture activities.</w:t>
      </w:r>
    </w:p>
    <w:p>
      <w:pPr>
        <w:spacing w:after="0" w:line="192" w:lineRule="exact"/>
        <w:rPr>
          <w:sz w:val="20"/>
          <w:szCs w:val="20"/>
          <w:color w:val="auto"/>
        </w:rPr>
      </w:pPr>
    </w:p>
    <w:p>
      <w:pPr>
        <w:ind w:left="60" w:right="1119" w:firstLine="324"/>
        <w:spacing w:after="0" w:line="282" w:lineRule="auto"/>
        <w:rPr>
          <w:sz w:val="20"/>
          <w:szCs w:val="20"/>
          <w:color w:val="auto"/>
        </w:rPr>
      </w:pPr>
      <w:r>
        <w:rPr>
          <w:rFonts w:ascii="Times New Roman" w:cs="Times New Roman" w:eastAsia="Times New Roman" w:hAnsi="Times New Roman"/>
          <w:sz w:val="18"/>
          <w:szCs w:val="18"/>
          <w:color w:val="auto"/>
        </w:rPr>
        <w:t>Our Automotive segment’s net sales for the years ended December 31, 2020, 2019 and 2018 represented approximately 28%, 24% and 22%, respectively, of our consolidated net sales.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Services and Customers</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automotive aftermarket industry is in the mature stage of its life cycle. Over the past decade, consumers have moved away from do-it-yourself (retail) toward do-it-for-me (services) due to increasing vehicle complexity and electronic content, as well as decreasing availability of diagnostic equipment and know-how. Consistent with this long-term trend, Icahn Automotive’s long-term strategy is to grow its commercial parts sales to automotive services businesses as well to grow its own automotive service business, while maintaining its retail parts customer bases by offering the newest and broadest product assortment in the automotive aftermarket. Icahn Automotive provides its customers with access to over two million replacement parts for domestic and imported vehicles through an extensive network of suppliers. Icahn Automotive seeks to provide (i) an extensive selection of product offerings, (ii) competitive pricing, (iii) exceptional in-store service experience and (iv) superior delivery to its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Suppliers</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Icahn Automotive purchases parts from manufacturers and other distributors for sale in the aftermarket. Purchases are made based on current inventory or operational needs and are fulfilled by suppliers within short periods of time. During 2020, Icahn Automotive’s ten largest suppliers accounted for approximately 51% of the merchandise purchased and its two largest suppliers accounted for more than 25% of the merchandise purchased. Icahn Automotive believes that the relationships that it has established with its suppliers are generally positive. In the past, Icahn Automotive has not experienced difficulty in obtaining satisfactory sources of supply and it believes that adequate alternative sources of supply exist, at similar cost, for the types of merchandise sold in its stores.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Segments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259" w:firstLine="324"/>
        <w:spacing w:after="0" w:line="289" w:lineRule="auto"/>
        <w:rPr>
          <w:sz w:val="20"/>
          <w:szCs w:val="20"/>
          <w:color w:val="auto"/>
        </w:rPr>
      </w:pPr>
      <w:r>
        <w:rPr>
          <w:rFonts w:ascii="Times New Roman" w:cs="Times New Roman" w:eastAsia="Times New Roman" w:hAnsi="Times New Roman"/>
          <w:sz w:val="17"/>
          <w:szCs w:val="17"/>
          <w:color w:val="auto"/>
        </w:rPr>
        <w:t>We conduct our Food Packaging segment through our majority owned subsidiary, Viskase Companies, Inc. (“Viskase”). Viskase is a producer of cellulosic, fibrous and plastic casings used to prepare and package processed meat products. Approximately 70% of Viskase’s net sales during 2020 were derived from customers outside the United States.</w:t>
      </w:r>
    </w:p>
    <w:p>
      <w:pPr>
        <w:spacing w:after="0" w:line="15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October 2020, Viskase completed an equity private placement whereby we acquired an additional 50,000,000 shares of Viskase common stock for $100 million. In connection with this transaction, our ownership of Viskase increased from approximately 79% to 89%.</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conduct our Metals segment through our wholly 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 PSC Metals’ operations consist of 31 recycling yards, three secondary plate storage and distribution centers and one secondary pipe storage and distribution center located throughout the Midwestern and Southeastern United States.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Our Real Estate segment consists primarily of investment properties, the development and sale of single-family homes and the management of a country club. Our Real Estate segment also owns a hotel and timeshare resort in Aruba and a property in Atlantic City, New Jersey.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conduct our Home Fashion segment through our wholly owned subsidiary, WestPoint Home LLC (“WPH”). WPH’s business consists of manufacturing, sourcing, marketing, distributing and selling home fashion consumer products. WPH’s operations include a manufacturing and distribution facility in Chipley, Florida and a manufacturing facility in Bahrain, both of which are owned facilities.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conduct our Pharma segment through our wholly owned subsidiary, Vivus, Inc. (“Vivus”). We acquired all of the outstanding common stock of Vivus in December 2020 upon its emergence from bankruptcy. Prior to Vivus’ emergence from bankruptcy, we held an investment in all of Vivus’ convertible corporate debt securities as well as all of its other outstanding debt. Vivus is a specialty pharmaceutical company with two approved therapies and one product candidate in active clinical development.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We have an aggregate of 33 employees at our Holding Company and Investment segment. Our other reporting segments employ an aggregate of approximately 23,800 employees, of which approximately 70% are employed within our Automotive segment, 11% are employed with our Food Packaging segment and less than 10% at each of our other segments. Approximately 17% of our employees are employed internationally, primarily within our Food Packaging and Home Fashion segments.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Icahn Enterprises maintains a website at </w:t>
      </w:r>
      <w:r>
        <w:rPr>
          <w:rFonts w:ascii="Times New Roman" w:cs="Times New Roman" w:eastAsia="Times New Roman" w:hAnsi="Times New Roman"/>
          <w:sz w:val="18"/>
          <w:szCs w:val="18"/>
          <w:i w:val="1"/>
          <w:iCs w:val="1"/>
          <w:color w:val="auto"/>
        </w:rPr>
        <w:t>www.ielp.com</w:t>
      </w:r>
      <w:r>
        <w:rPr>
          <w:rFonts w:ascii="Times New Roman" w:cs="Times New Roman" w:eastAsia="Times New Roman" w:hAnsi="Times New Roman"/>
          <w:sz w:val="18"/>
          <w:szCs w:val="18"/>
          <w:color w:val="auto"/>
        </w:rPr>
        <w:t xml:space="preserve">.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Investor Relations on our website. In addition, our corporate governance guidelines, including Code of Ethics and Business Conduct and Audit Committee Charter, are available on our website (under Corporate Governance) and are available in print without charge to any stockholder requesting them. The SEC maintains a website that contains reports, information statements, and other information regarding issuers like us who file electronically with the SEC. The SEC’s website is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securities involves certain risks. Before investing in any of our securities, you should carefully consider the following risks. If any of these risks actually occurs, it could have a material adverse effect on our business. The risks described below are not the only risks that affect our businesses. Additional risks that are unknown or not presently deemed significant may also have a material adverse effect on our businesses.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Structure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and its control person, has significant influence over us.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Mr. Icahn, through affiliates, owns 100% of Icahn Enterprises GP, the general partner of Icahn Enterprises and Icahn Enterprises Holdings, and approximately 92% of Icahn Enterprises’ outstanding depositary units as of December 31, 2020, and, as a result, has the ability to influence many aspects of our operations and affairs.</w:t>
      </w:r>
    </w:p>
    <w:p>
      <w:pPr>
        <w:spacing w:after="0" w:line="176"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Mr. Icahn’s estate has been designed to assure the stability and continuation of Icahn Enterprises with no need to monetize his interests for estate tax or other purposes. In the event of Mr. Icahn’s death, control of Mr. Icahn’s interests in Icahn Enterprises and its general partner will be placed in charitable and other trusts under the control of senior Icahn Enterprises’ executives and Icahn family members. However, there can be no assurance that such planning will be effective.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engaged, and in the future may engage, in transactions with our affiliates.</w:t>
      </w:r>
    </w:p>
    <w:p>
      <w:pPr>
        <w:spacing w:after="0" w:line="229" w:lineRule="exact"/>
        <w:rPr>
          <w:sz w:val="20"/>
          <w:szCs w:val="20"/>
          <w:color w:val="auto"/>
        </w:rPr>
      </w:pPr>
    </w:p>
    <w:p>
      <w:pPr>
        <w:ind w:left="60" w:right="159" w:firstLine="324"/>
        <w:spacing w:after="0" w:line="257" w:lineRule="auto"/>
        <w:rPr>
          <w:sz w:val="20"/>
          <w:szCs w:val="20"/>
          <w:color w:val="auto"/>
        </w:rPr>
      </w:pPr>
      <w:r>
        <w:rPr>
          <w:rFonts w:ascii="Times New Roman" w:cs="Times New Roman" w:eastAsia="Times New Roman" w:hAnsi="Times New Roman"/>
          <w:sz w:val="18"/>
          <w:szCs w:val="18"/>
          <w:color w:val="auto"/>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w:t>
      </w:r>
    </w:p>
    <w:p>
      <w:pPr>
        <w:spacing w:after="0" w:line="1"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becoming an investment company.</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9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below under the caption, “We may become taxable as a corporation if we are no longer treated as a partnership for federal income tax purposes.”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179"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structure transactions in a less advantageous manner to avoid becoming subject to the Investment Company Act.</w:t>
      </w:r>
    </w:p>
    <w:p>
      <w:pPr>
        <w:spacing w:after="0" w:line="15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w:t>
      </w:r>
    </w:p>
    <w:p>
      <w:pPr>
        <w:spacing w:after="0" w:line="176"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taxable as a corporation if we are no longer treated as a partnership for U.S. federal income tax purposes.</w:t>
      </w:r>
    </w:p>
    <w:p>
      <w:pPr>
        <w:spacing w:after="0" w:line="15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believe that we have been and are properly treated as a partnership for U.S. federal income tax purposes. This allows us to pass through our income and deductions to our partners. However, the Internal Revenue Service (“IRS”) could challenge our partnership status and we could fail to qualify as a partnership for past years as well as future years. 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the potential for changes in tax laws.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investment strategy considers various tax related impacts. Past or future legislative proposals have been or may be introduced that, if enacted, could have a material and adverse effect on us. For example, past proposals have included taxing publicly traded partnerships,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We currently cannot predict the outcome of such legislative proposals, including, if enacted, their impact on our operations and financial position.</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depositary units may be required to pay tax on their share of our income even if they did not receive cash distributions from us.</w:t>
      </w:r>
    </w:p>
    <w:p>
      <w:pPr>
        <w:spacing w:after="0" w:line="15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Because we are treated as a partnership for income tax purposes, unitholders generally are required to pay U.S. federal income tax, and, in some cases, state or local income tax, on the portion of our taxable income allocated to them, whether or not such income is distributed. Accordingly, it is possible that holders of depositary units may not receive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cash distributions from us equal to their share of our taxable income, or even equal to their tax liability on the portion of our income allocated to them.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gain or loss on the disposition of our depositary units could be more or less than expected.</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If our unitholders sell their units, they will recognize a gain or loss equal to the difference between the amount realized and their tax basis in those units. Any distributions to our unitholders that were in excess of the total net taxable income our unitholders were allocated for a unit decreased their tax basis in that unit. As a result of the reduced basis, a unitholder will recognize a greater amount of income if the unit is later sold for an amount greater than such unit’s basis. A portion of the amount realized, whether or not representing gain, may be ordinary income to the selling unitholder due to potential recapture items. In addition, because the amount realized includes a unitholder’s share of our nonrecourse liabilities, a unitholder who sells units may incur a tax liability in excess of the amount of cash received from the sale.</w:t>
      </w:r>
    </w:p>
    <w:p>
      <w:pPr>
        <w:spacing w:after="0" w:line="18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Tax-exempt entities may recognize unrelated business taxable income they receive from holding our units, and may face other unique issues specific to their U.S. federal income tax classification.</w:t>
      </w:r>
    </w:p>
    <w:p>
      <w:pPr>
        <w:spacing w:after="0" w:line="15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Investment in units by tax-exempt entities, such as individual retirement accounts (known as IRAs), pension plans, and non-U.S. persons raises issues unique to them. For example, some portion of our income allocated to organizations exempt from U.S. federal income tax, particularly income arising from our debt-financed transactions, will likely be unrelated business taxable income and will be taxable to them.</w:t>
      </w:r>
    </w:p>
    <w:p>
      <w:pPr>
        <w:spacing w:after="0" w:line="176" w:lineRule="exact"/>
        <w:rPr>
          <w:sz w:val="20"/>
          <w:szCs w:val="20"/>
          <w:color w:val="auto"/>
        </w:rPr>
      </w:pPr>
    </w:p>
    <w:p>
      <w:pPr>
        <w:ind w:left="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Non-U.S. persons face unique tax issues from owning units that may result in adverse tax consequences to them, including being subject to withholding regimes and U.S. federal income tax on certain income they may earn from holding our units.</w:t>
      </w:r>
    </w:p>
    <w:p>
      <w:pPr>
        <w:spacing w:after="0" w:line="175"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Distributions to non-U.S. persons will be reduced by withholding taxes at the highest applicable effective tax rate, and non-U.S. persons will be required to file U.S. federal income tax returns and pay tax on their share of our taxable income.</w:t>
      </w:r>
    </w:p>
    <w:p>
      <w:pPr>
        <w:spacing w:after="0" w:line="14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addition, under proposed Treasury regulations that are not currently applicable to us, the transferee of depositary units may be required to deduct and withhold a tax equal to 10% of the amount realized (or deemed realized) on the sale or exchange of such depositary units. The requirement to withhold on amounts realized (or deemed realized) in connection with the sale or exchange of certain interests in a publicly traded partnership (including by brokers) is suspended under Notice 2018-08 for transfers that occur before January 1, 2022, and therefore, no withholding will apply. On November 30, 2020, however, the IRS published final regulations (the “1446 Final Regulations”) that address withholding tax and information reporting with respect to interests in publicly traded partnerships engaged in a U.S. trade or business. The 1446 Final Regulations end the suspension of withholding on the sale or exchange of certain interests in a publicly traded partnership, effective on January 1, 2022, but place the primary responsibility for such withholding obligations for transfers effected through brokers on the broker, and not the publicly traded partnership. However, a publicly traded partnership may be liable for any underwithholding by a broker that relies on a qualified notice for which the publicly traded partnership failed to make a reasonable estimate of the amounts required for determining the applicability of the “10 percent exception.” The “10 percent exception” applies if, either (1) the publicly traded partnership was not engaged in a U.S. trade or business during a specified time period, or (2) upon a hypothetical sale of the publicly traded partnership’s assets at fair market value, (i) the amount of net gain that would have been effectively connected with the conduct of a U.S. trade or business would be less than 10% of the total net gain, or (ii) no gain would have been effectively connected with the conduct of a U.S. trade or business.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for any underwithholding by nominees on our distributions made after January 1, 2022.</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Under the 1446 Final Regulations, for distributions made after January 1, 2022, a publicly traded partnership must post on its primary public website (and keep accessible for ten years), and deliver to any registered holder that is a nominee, a qualified notice that states the amount of a distribution that is attributable to each type of income group specified in the 1446 Final Regulations. If the qualified notice is incorrect such that it causes a broker to underwithhold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59"/>
        <w:spacing w:after="0" w:line="282" w:lineRule="auto"/>
        <w:rPr>
          <w:sz w:val="20"/>
          <w:szCs w:val="20"/>
          <w:color w:val="auto"/>
        </w:rPr>
      </w:pPr>
      <w:r>
        <w:rPr>
          <w:rFonts w:ascii="Times New Roman" w:cs="Times New Roman" w:eastAsia="Times New Roman" w:hAnsi="Times New Roman"/>
          <w:sz w:val="18"/>
          <w:szCs w:val="18"/>
          <w:color w:val="auto"/>
        </w:rPr>
        <w:t>with respect to an amount in excess of cumulative net income, the publicly traded partnership is liable for any underwithholding on such amount.</w:t>
      </w:r>
    </w:p>
    <w:p>
      <w:pPr>
        <w:spacing w:after="0" w:line="15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unitholders likely will be subject to state and local taxes and return filing or withholding requirements in states in which they do not live as a result of investing in our units.</w:t>
      </w:r>
    </w:p>
    <w:p>
      <w:pPr>
        <w:spacing w:after="0" w:line="15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In addition to U.S. federal income taxes, our unitholders will likely be subject to other taxes, such as state and local income taxes, unincorporated business taxes and estate, inheritance, or intangible taxes that are imposed by the various jurisdictions in which we do business or own property. Our unitholders may be required to file state and local income tax returns and pay state and local income taxes in certain of these various jurisdictions. Further, our unitholders may be subject to penalties for failure to comply with those requirements. We own property and conduct business in Arkansas, Florida, Georgia, Illinois, Iowa, Kansas, Massachusetts, Missouri, Nebraska, Nevada, New York, Ohio, Oklahoma, Pennsylvania, Rhode Island and Texas. It is each unitholder’s responsibility to file all federal, state and local tax returns. Our counsel has not rendered an opinion on the state and local tax consequences of an investment in our units.</w:t>
      </w:r>
    </w:p>
    <w:p>
      <w:pPr>
        <w:spacing w:after="0" w:line="188"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spacing w:after="0" w:line="18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We prorate our items of income, gain, loss and deduction between transferors and transferees of our units based upon the ownership of our units on the first business day of each month, instead of on the basis of the date a particular unit is transferred. The U.S. Treasury Department adopted final Treasury regulations that provide that publicly traded partnerships may use a similar monthly simplifying convention to allocate tax items among transferor and transferee unitholders. Nonetheless, the final regulations do not specifically authorize the use of the proration method we have adopted. If the IRS were to challenge this method, we may be required to change the allocation of items of income, gain, loss and deduction among our unitholders.</w:t>
      </w:r>
    </w:p>
    <w:p>
      <w:pPr>
        <w:spacing w:after="0" w:line="185" w:lineRule="exact"/>
        <w:rPr>
          <w:sz w:val="20"/>
          <w:szCs w:val="20"/>
          <w:color w:val="auto"/>
        </w:rPr>
      </w:pPr>
    </w:p>
    <w:p>
      <w:pPr>
        <w:ind w:left="60" w:right="3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spacing w:after="0" w:line="15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Because a unitholder whose units are loaned to a “short seller” to cover a short sale of units may be considered as having disposed of the loaned units, he or she may no longer be treated for U.S.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Our counsel has not rendered an opinion regarding the treatment of a unitholder where units are loaned to a short seller to cover a short sale of units; therefore, unitholders desiring to assure their status as partners and avoid the risk of gain recognition from a loan to a short seller are urged to modify any applicable brokerage account agreements to prohibit their brokers from borrowing their units.</w:t>
      </w:r>
    </w:p>
    <w:p>
      <w:pPr>
        <w:spacing w:after="0" w:line="184" w:lineRule="exact"/>
        <w:rPr>
          <w:sz w:val="20"/>
          <w:szCs w:val="20"/>
          <w:color w:val="auto"/>
        </w:rPr>
      </w:pPr>
    </w:p>
    <w:p>
      <w:pPr>
        <w:ind w:left="6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spacing w:after="0" w:line="15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With respect to tax years beginning after December 31, 2017, if the IRS makes audit adjustments to our income tax returns, it (and some states) may assess and collect any resulting taxes (including any applicable penalties and interest) resulting from such audit adjustment directly from us. Generally, we will have the option to seek to collect tax liability from our unitholders in accordance with their percentage interests during the year under audit, but there can be no assurance that we will elect to do so or be able to do so under all circumstances. If we do not collect such tax liability from our unitholders in accordance with their percentage interests in the tax year under audit, our net income and the available cash for quarterly distributions to current unitholders may be substantially reduced. Accordingly, our current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unitholders may bear some or all of the tax liability resulting from such audit adjustment, even if such unitholders did not own units during the tax year under audit. In particular, as a publicly traded partnership, our Partnership Representative (as defined below) may, in certain instances, request that any “imputed underpayment” resulting from an audit be adjusted by amounts of certain of our passive losses. If we successfully make such a request, we would have to reduce suspended passive loss carryovers in a manner which is binding on the partners.</w:t>
      </w:r>
    </w:p>
    <w:p>
      <w:pPr>
        <w:spacing w:after="0" w:line="18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are required to and have designated a partner, or other person, with a substantial presence in the United States as the partnership representative (“Partnership Representative”). The Partnership Representative will have the sole authority to act on our behalf for purposes of, among other things, U.S. federal income tax audits and judicial review of administrative adjustments by the IRS. Any actions taken by us or by the Partnership Representative on our behalf with respect to, among other things, U.S. federal income tax audits and judicial review of administrative adjustments by the IRS, will be binding on us and our unitholders.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the pension liabilities of our affiliates.</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92% of Icahn Enterprises’ outstanding depositary units as of December 31, 2020.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All the minimum funding requirements of the Internal Revenue Code, as amended, and the Employee Retirement Income Security Act of 1974, as amended, for the Viskase and ACF plans have been met as of December 31, 2020. If the plans were voluntarily terminated, they would be underfunded by an aggregate of approximately $122 million as of December 31, 2020.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7"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limited partnership and a ‘‘controlled company’’ within the meaning of the Nasdaq rules and as such are exempt from certain corporate governance requirements.</w:t>
      </w:r>
    </w:p>
    <w:p>
      <w:pPr>
        <w:spacing w:after="0" w:line="15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are a limited partnership and ‘‘controlled company’’ pursuant to Rule 5615(c) of the Nasdaq listing rules. As such we have elected, and intend to continue to elect, not to comply with certain corporate governance requirements of the Nasdaq listing rules, including the requirements that a majority of the board of directors consist of independent directors and that independent directors determine the compensation of executive officers and the selection of nominees to the board of directors. We do not maintain a compensation or nominating committee and do not have a majority of independent directors. Accordingly, while we remain a controlled company and during any transition period following a time when we are no longer a controlled company, the Nasdaq listing rules do not provide the same corporate governance protections applicable to stockholders of companies that are subject to all of the Nasdaq listing requirements.</w:t>
      </w:r>
    </w:p>
    <w:p>
      <w:pPr>
        <w:spacing w:after="0" w:line="188"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members of our management team may be involved in other business activities that may involve conflicts of interest.</w:t>
      </w:r>
    </w:p>
    <w:p>
      <w:pPr>
        <w:spacing w:after="0" w:line="15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spacing w:after="0" w:line="176"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Icahn Enterprises’ depositary units have limited voting rights, including rights to participate in our management.</w:t>
      </w:r>
    </w:p>
    <w:p>
      <w:pPr>
        <w:spacing w:after="0" w:line="15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the indentures governing our senior notes. As a result, holders of our depositary units have limited say in matters affecting our operations and others may find it difficult to attempt to gain control or influence our activities.</w:t>
      </w:r>
    </w:p>
    <w:p>
      <w:pPr>
        <w:spacing w:after="0" w:line="185"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Icahn Enterprises’ depositary units may not have limited liability in certain circumstances and may be personally liable for the return of distributions that cause our liabilities to exceed our assets.</w:t>
      </w:r>
    </w:p>
    <w:p>
      <w:pPr>
        <w:spacing w:after="0" w:line="159"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spacing w:after="0" w:line="18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Since we are a limited partnership, you may not be able to pursue legal claims against us in U.S. federal courts.</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have the citizenship of each of our limited partners. Because we are a publicly traded limited partnership, it may not be possible for you to sue us in a federal court because we have citizenship in all 50 U.S. states and operations in many states. Accordingly, you will be limited to bringing any claims in state court.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Liquidity and Capital Requirements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the businesses of our subsidiaries to satisfy our obligations.</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In addition to cash and cash equivalents, U.S. government and agency obligations, marketable equity and debt securities and other short-term investments, our assets consist primarily of investments in our subsidiaries. Moreover, if we make significant investments in new operating businesses, it is likely that we will reduce our liquid assets and those of Icahn Enterprises Holdings in order to fund those investments and the ongoing operations of our subsidiaries. Consequently, our cash flow and our ability to meet our debt service obligations and make distributions with respect to depositary units likely will depend on the cash flow of our subsidiaries and the payment of funds to us by our subsidiaries in the form of dividends, distributions, loans or otherwise.</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w:t>
      </w:r>
    </w:p>
    <w:p>
      <w:pPr>
        <w:spacing w:after="0" w:line="180"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terms of certain borrowing agreements of our subsidiaries, or other entities in which we own equity, may restrict dividends, distributions or loans to us. To the degree any distributions and transfers are impaired or prohibited, our ability to make payments on our debt and to make distributions on our depositary units will be limited.</w:t>
      </w:r>
    </w:p>
    <w:p>
      <w:pPr>
        <w:spacing w:after="0" w:line="172"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we will require a significant amount of cash. Our ability to maintain our current cash position or generate cash depends on many factors beyond our control.</w:t>
      </w:r>
    </w:p>
    <w:p>
      <w:pPr>
        <w:spacing w:after="0" w:line="15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to fund operations will depend on existing cash balances and our ability to generate cash in the future. This, to a certain extent, is subject to general economic, financial, competitive, regulatory and other factors that are beyond our control. Our current businesses and businesses that we acquire may not generate sufficient cash to service our outstanding indebtedness. In addition, we may not generate sufficient cash flow from operations or investments and future borrowings may not be available to us in an amount sufficient to enable us to service our outstanding indebtedness or to fund our other liquidity needs. We may need to refinance all or a portion of our outstanding indebtedness on or before maturity. We cannot assure you that we will be able to refinance any of our outstanding indebtedness on commercially reasonable terms or at all.</w:t>
      </w:r>
    </w:p>
    <w:p>
      <w:pPr>
        <w:spacing w:after="0" w:line="188"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contained under any of our debt instruments, including the indentures governing our senior unsecured notes (including our failure to comply as a result of events beyond our control), could result in an event of default that would materially and adversely affect our financial condition.</w:t>
      </w:r>
    </w:p>
    <w:p>
      <w:pPr>
        <w:spacing w:after="0" w:line="175" w:lineRule="exact"/>
        <w:rPr>
          <w:sz w:val="20"/>
          <w:szCs w:val="20"/>
          <w:color w:val="auto"/>
        </w:rPr>
      </w:pPr>
    </w:p>
    <w:p>
      <w:pPr>
        <w:ind w:left="60" w:right="299" w:firstLine="324"/>
        <w:spacing w:after="0" w:line="289" w:lineRule="auto"/>
        <w:rPr>
          <w:sz w:val="20"/>
          <w:szCs w:val="20"/>
          <w:color w:val="auto"/>
        </w:rPr>
      </w:pPr>
      <w:r>
        <w:rPr>
          <w:rFonts w:ascii="Times New Roman" w:cs="Times New Roman" w:eastAsia="Times New Roman" w:hAnsi="Times New Roman"/>
          <w:sz w:val="17"/>
          <w:szCs w:val="17"/>
          <w:color w:val="auto"/>
        </w:rPr>
        <w:t>Our failure to comply with the covenants under any of our debt instruments, including our indentures governing our senior unsecured notes, (including our failure to comply as a result of events beyond our control) may trigger a default or event of default under such instruments. If there were an event of default under one of our debt instruments,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holders of the defaulted debt could cause all amounts outstanding with respect to that debt to be due and payable immediately. In addition, any event of default or declaration of acceleration under one debt instrument could result in an event of default and declaration of acceleration under one or more of our other debt instruments, including the exchange notes.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w:t>
      </w:r>
    </w:p>
    <w:p>
      <w:pPr>
        <w:spacing w:after="0" w:line="18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necessary to finance a change of control offer that may be required by the indentures governing our senior notes.</w:t>
      </w:r>
    </w:p>
    <w:p>
      <w:pPr>
        <w:spacing w:after="0" w:line="15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If Mr. Icahn were to sell, or otherwise transfer, some or all of his interests in us to an unrelated party or group, a change of control could be deemed to have occurred under the terms of the indentures governing our senior notes, which would require us to offer to repurchase all outstanding senior notes at 101% of their principal amount plus accrued and unpaid interest and liquidated damages, if any, to the date of repurchase. However, it is possible that we will not have sufficient funds at the time of the change of control to make the required repurchase of notes.</w:t>
      </w:r>
    </w:p>
    <w:p>
      <w:pPr>
        <w:spacing w:after="0" w:line="179"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significant investments in the Investment Funds and negative performance of the Investment Funds may result in a significant decline in the value of our investments.</w:t>
      </w:r>
    </w:p>
    <w:p>
      <w:pPr>
        <w:spacing w:after="0" w:line="15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we had investments in the Investment Funds with a fair market value of approximately $4.3 billion, which may be accessed on short notice to satisfy our liquidity needs. However, if the Investment Funds experience negative performance, the value of these investments will be negatively impacted, which could have a material adverse effect on our operating results, cash flows and financial position.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cash distributions to Icahn Enterprises’ unitholders, if any, can be affected by numerous factors.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While we made cash distributions to Icahn Enterprises’ unitholders in each of the four quarters of 2020,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 additional equity and debt securities.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Risks Relating to Our Investment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may be subject to significant uncertainties.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investments may not be successful for many reasons, including, but not limited to:</w:t>
      </w:r>
    </w:p>
    <w:p>
      <w:pPr>
        <w:spacing w:after="0" w:line="225" w:lineRule="exact"/>
        <w:rPr>
          <w:sz w:val="20"/>
          <w:szCs w:val="20"/>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interest rates;</w:t>
      </w:r>
    </w:p>
    <w:p>
      <w:pPr>
        <w:spacing w:after="0" w:line="27"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control in minority investments;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worsening of general economic and market conditions;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diversification;</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success of the Investment Funds’ activist strategies;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U.S. dollar exchange rates; and</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and regulatory developments that may affect particular businesses.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historical financial information for the Investment Funds is not necessarily indicative of its future performance.</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Our Investment segment’s financial information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son of Mr. Icahn.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Additionally, future returns may be affected by additional risks, including risks of the industries and businesses in which a particular fund invests.</w:t>
      </w:r>
    </w:p>
    <w:p>
      <w:pPr>
        <w:spacing w:after="0" w:line="190"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75"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w:t>
      </w:r>
    </w:p>
    <w:p>
      <w:pPr>
        <w:spacing w:after="0" w:line="17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Certain investment positions held by the Investment Funds may be illiquid. The Investment Funds may own restricted or non-publicly traded securities and securities traded on foreign exchanges. We may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spacing w:after="0" w:line="18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spacing w:after="0" w:line="18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our top five holdings in the Investment Funds had a market value of approximately $5.2 billion, which represented approximately 55%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Certain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of the companies in our Investment Funds file annual, quarterly and current reports with the SEC, which are publicly available, and contain additional risk factors with respect to such companies.</w:t>
      </w:r>
    </w:p>
    <w:p>
      <w:pPr>
        <w:spacing w:after="0" w:line="162"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183"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183"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18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identify suitable investments, and our investments may not result in favorable returns or may result in losses.</w:t>
      </w:r>
    </w:p>
    <w:p>
      <w:pPr>
        <w:spacing w:after="0" w:line="15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may engage in various investment techniques, including derivatives, options and futures transactions, foreign currency transactions, “short” sales and leveraging for either hedging or other purposes. We may concentrate our activities by owning significant or controlling interests in certain investments. We may not be successful in finding suitable opportunities to invest our cash and our strategy of investing in undervalued assets may expose us to numerous risks.</w:t>
      </w:r>
    </w:p>
    <w:p>
      <w:pPr>
        <w:spacing w:after="0" w:line="188"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execution of our activist investment activities involves many risks, certain of which are outside of our control.</w:t>
      </w:r>
    </w:p>
    <w:p>
      <w:pPr>
        <w:spacing w:after="0" w:line="15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success of our investment strategy may require, among other things: (i) that we properly identify companies whose securities prices can be improved through corporate and/or strategic action or successful restructuring of their operations; (ii) that we acquire sufficient securities of such companies at a sufficiently attractive price; (iii) that we avoid triggering anti-takeover and regulatory obstacles while aggregating our positions; (iv) that management of portfolio companies and other security holders respond positively to our proposals; and (v) that the market price of portfolio companies’ securities increases in response to any actions taken by the portfolio companies. We cannot assure you that any of the foregoing will succeed.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success of the Investment Funds depends upon the ability of our Investment segment to successfully develop and implement investment strategies that achieve the Investment Funds’ objectives. Subjective decisions made by employees of our Investment segment may cause the Investment Funds to incur losses or to miss profit opportunities on which the Investment Funds would otherwise have capitalized. In addition, in the event that Mr. Icahn ceases to participate in the management of the Investment Funds, the consequences to the Investment Funds and our interest in them could be material and adverse and could lead to the premature termination of the Investment Funds.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Investment Funds make investments in companies we do not control.</w:t>
      </w:r>
    </w:p>
    <w:p>
      <w:pPr>
        <w:spacing w:after="0" w:line="229"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spacing w:after="0" w:line="169"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159" w:lineRule="exact"/>
        <w:rPr>
          <w:sz w:val="20"/>
          <w:szCs w:val="20"/>
          <w:color w:val="auto"/>
        </w:rPr>
      </w:pPr>
    </w:p>
    <w:p>
      <w:pPr>
        <w:ind w:left="60" w:right="79" w:firstLine="324"/>
        <w:spacing w:after="0" w:line="270" w:lineRule="auto"/>
        <w:rPr>
          <w:sz w:val="20"/>
          <w:szCs w:val="20"/>
          <w:color w:val="auto"/>
        </w:rPr>
      </w:pPr>
      <w:r>
        <w:rPr>
          <w:rFonts w:ascii="Times New Roman" w:cs="Times New Roman" w:eastAsia="Times New Roman" w:hAnsi="Times New Roman"/>
          <w:sz w:val="17"/>
          <w:szCs w:val="17"/>
          <w:color w:val="auto"/>
        </w:rPr>
        <w:t>The Investment Funds may leverage their capital if their general partners believe that the use of leverage may enable the Investment Funds to achieve a higher rate of return. Accordingly, the Investment Funds may pledge their securities in order to borrow additional funds for investment purposes. The Investment Funds may also leverage their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17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Investment Funds may enter into repurchase and reverse repurchase agreements. When the Investment Funds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1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possibility of increased regulation could result in additional burdens on our Investment segment.</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“Reform Act”), enacted into law in July 2010, resulted in regulations affecting almost every part of the financial services industry.</w:t>
      </w:r>
    </w:p>
    <w:p>
      <w:pPr>
        <w:spacing w:after="0" w:line="162"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The regulatory environment in which our Investment segment operates is subject to further regulation in addition to the rules already promulgated, including the Reform Act.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Such changes may limit the scope of investment activities that may be undertaken by the Investment Funds’ managers. Any such changes could increase the cost of our Investment segment doing business and/or materially adversely impact its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ability to hedge investments successfully is subject to numerous risks.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 purchasing at a later date; or (vii) for any other reason that our Investment segment deems appropriate.</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Investment Funds do not intend to seek to hedge every position and may determine not to hedge against a particular risk for various reasons, including, but not limited to, because they do not regard the probability of the risk occurring to be sufficiently high as to justify the cost of the hedge. Our Investment segment may not foresee the occurrence of the risk and therefore may not hedge against all risks.</w:t>
      </w:r>
    </w:p>
    <w:p>
      <w:pPr>
        <w:spacing w:after="0" w:line="176"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Funds invest in distressed securities, as well as bank loans, asset backed securities and mortgage backed securities.</w:t>
      </w:r>
    </w:p>
    <w:p>
      <w:pPr>
        <w:spacing w:after="0" w:line="15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spacing w:after="0" w:line="188"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17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Investment Funds’ investments are subject to numerous additional risks including those described below.</w:t>
      </w:r>
    </w:p>
    <w:p>
      <w:pPr>
        <w:spacing w:after="0" w:line="229" w:lineRule="exact"/>
        <w:rPr>
          <w:sz w:val="20"/>
          <w:szCs w:val="20"/>
          <w:color w:val="auto"/>
        </w:rPr>
      </w:pPr>
    </w:p>
    <w:p>
      <w:pPr>
        <w:ind w:left="800" w:right="519" w:hanging="318"/>
        <w:spacing w:after="0" w:line="276" w:lineRule="auto"/>
        <w:tabs>
          <w:tab w:leader="none" w:pos="8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there are few limitations set forth in the governing documents of the Investment Funds on the execution of their investment activities, which are subject to the sole discretion of our Investment segment.</w:t>
      </w:r>
    </w:p>
    <w:p>
      <w:pPr>
        <w:ind w:left="800" w:right="119" w:hanging="318"/>
        <w:spacing w:after="0" w:line="251"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179" w:hanging="318"/>
        <w:spacing w:after="0" w:line="253"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p>
      <w:pPr>
        <w:ind w:left="800" w:right="99" w:hanging="318"/>
        <w:spacing w:after="0" w:line="250"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p>
      <w:pPr>
        <w:spacing w:after="0" w:line="2" w:lineRule="exact"/>
        <w:rPr>
          <w:rFonts w:ascii="Times New Roman" w:cs="Times New Roman" w:eastAsia="Times New Roman" w:hAnsi="Times New Roman"/>
          <w:sz w:val="18"/>
          <w:szCs w:val="18"/>
          <w:color w:val="auto"/>
        </w:rPr>
      </w:pPr>
    </w:p>
    <w:p>
      <w:pPr>
        <w:ind w:left="800" w:right="99" w:hanging="318"/>
        <w:spacing w:after="0" w:line="250"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its transactions with a single or small group of its counterparties. The Investment Funds are not restricted from dealing with any particular counterparty or from concentrating any or all of the Investment Funds’ transactions with one counterparty.</w:t>
      </w:r>
    </w:p>
    <w:p>
      <w:pPr>
        <w:spacing w:after="0" w:line="3" w:lineRule="exact"/>
        <w:rPr>
          <w:rFonts w:ascii="Times New Roman" w:cs="Times New Roman" w:eastAsia="Times New Roman" w:hAnsi="Times New Roman"/>
          <w:sz w:val="18"/>
          <w:szCs w:val="18"/>
          <w:color w:val="auto"/>
        </w:rPr>
      </w:pPr>
    </w:p>
    <w:p>
      <w:pPr>
        <w:ind w:left="800" w:right="239" w:hanging="318"/>
        <w:spacing w:after="0" w:line="250"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p>
      <w:pPr>
        <w:spacing w:after="0" w:line="1" w:lineRule="exact"/>
        <w:rPr>
          <w:rFonts w:ascii="Times New Roman" w:cs="Times New Roman" w:eastAsia="Times New Roman" w:hAnsi="Times New Roman"/>
          <w:sz w:val="18"/>
          <w:szCs w:val="18"/>
          <w:color w:val="auto"/>
        </w:rPr>
      </w:pPr>
    </w:p>
    <w:p>
      <w:pPr>
        <w:ind w:left="800" w:right="99" w:hanging="318"/>
        <w:spacing w:after="0" w:line="250"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p>
      <w:pPr>
        <w:spacing w:after="0" w:line="2" w:lineRule="exact"/>
        <w:rPr>
          <w:rFonts w:ascii="Times New Roman" w:cs="Times New Roman" w:eastAsia="Times New Roman" w:hAnsi="Times New Roman"/>
          <w:sz w:val="18"/>
          <w:szCs w:val="18"/>
          <w:color w:val="auto"/>
        </w:rPr>
      </w:pPr>
    </w:p>
    <w:p>
      <w:pPr>
        <w:ind w:left="800" w:right="179" w:hanging="318"/>
        <w:spacing w:after="0" w:line="250"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assets may be held in one or more accounts maintained for the Investment Fund by its prime brokers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p>
      <w:pPr>
        <w:spacing w:after="0" w:line="3" w:lineRule="exact"/>
        <w:rPr>
          <w:rFonts w:ascii="Times New Roman" w:cs="Times New Roman" w:eastAsia="Times New Roman" w:hAnsi="Times New Roman"/>
          <w:sz w:val="18"/>
          <w:szCs w:val="18"/>
          <w:color w:val="auto"/>
        </w:rPr>
      </w:pPr>
    </w:p>
    <w:p>
      <w:pPr>
        <w:ind w:left="800" w:right="99" w:hanging="318"/>
        <w:spacing w:after="0" w:line="252"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Consolidated Operating Subsidiaries</w:t>
      </w:r>
    </w:p>
    <w:p>
      <w:pPr>
        <w:spacing w:after="0" w:line="225"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regulations and regulatory actions can adversely affect our operating results and our ability to allocate capital.</w:t>
      </w:r>
    </w:p>
    <w:p>
      <w:pPr>
        <w:spacing w:after="0" w:line="15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recent years, regulatory authorities have increased their regulation and scrutiny of businesses partially in response to financial markets crises, global economic recessions, and social and environmental issues. These initiatives may impact our operating subsidiaries, particularly those within our Energy segment. Changes in regulation and regulatory actions may increase our compliance costs and may require changes to how our operating subsidiaries conduct their businesses. Any regulatory changes could have a significant negative impact on our financial condition, results of operations or cash flows.</w:t>
      </w:r>
    </w:p>
    <w:p>
      <w:pPr>
        <w:spacing w:after="0" w:line="179" w:lineRule="exact"/>
        <w:rPr>
          <w:sz w:val="20"/>
          <w:szCs w:val="20"/>
          <w:color w:val="auto"/>
        </w:rPr>
      </w:pPr>
    </w:p>
    <w:p>
      <w:pPr>
        <w:jc w:val="both"/>
        <w:ind w:left="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subsidiaries operate businesses which are subject to the risk of operational disruptions, damage to property, injury to persons or environmental and legal liability. Our operating subsidiaries could incur potentially significant costs to the extent there are unforeseen events which are not fully insured.</w:t>
      </w:r>
    </w:p>
    <w:p>
      <w:pPr>
        <w:spacing w:after="0" w:line="17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operating subsidiaries, particularly within our Energy segment, may become subject to catastrophic loss, which may cause operations to shut down or become significantly impaired. Our operating subsidiaries may also be subject to liability for hazards for which they cannot be insured, which could exceed policy limits or against which they may elect not to be insured due to high premium costs. Examples of such risks include but are not limited to industrial accidents, environmental hazards, power outages, equipment failures, structural failures, flooding, unusual or unexpected geological conditions and severe weather conditions, among others. These events may damage or destroy properties, production facilities, transport facilities and equipment, as well as lead to personal injury or death, environmental damage, waste from intermediary products or resources, production or transportation delays and monetary losses or legal liability. Such damages are not limited to our operations or our employees and could significantly impact the surrounding areas. Operations at our subsidiaries could be curtailed, limited or completely shut down for an extended period of time, or indefinitely, as a result of one or more unforeseen events and circumstances, which may or may not be within our control, and which may not be adequately insured. Any one of these events and circumstances could have a material adverse impact on our operations, financial condition and cash flows.</w:t>
      </w:r>
    </w:p>
    <w:p>
      <w:pPr>
        <w:spacing w:after="0" w:line="183" w:lineRule="exact"/>
        <w:rPr>
          <w:sz w:val="20"/>
          <w:szCs w:val="20"/>
          <w:color w:val="auto"/>
        </w:rPr>
      </w:pPr>
    </w:p>
    <w:p>
      <w:pPr>
        <w:ind w:left="60" w:right="2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Environmental laws and regulations could require our operating subsidiaries to make substantial capital expenditures to remain in compliance or to remediate current or future contamination that could give rise to material liabilities.</w:t>
      </w:r>
    </w:p>
    <w:p>
      <w:pPr>
        <w:spacing w:after="0" w:line="13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Several of our subsidiaries are subject to a variety of federal, state and local environmental laws and regulations relating to the protection of the environment, including those governing the emission or discharge of pollutants into the environment, product specifications and the generation, treatment, storage, transportation, disposal and remediation of solid and hazardous wastes. Violations of these laws and regulations or permit conditions can result in substantial penalties, injunctive orders compelling installation of additional controls, civil and criminal sanctions, permit revocations and/or facility shutdowns.</w:t>
      </w:r>
    </w:p>
    <w:p>
      <w:pPr>
        <w:spacing w:after="0" w:line="18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new environmental laws and regulations, new interpretations of existing laws and regulations, increased governmental enforcement of laws and regulations or other developments could require our businesses to make additional unforeseen expenditures. Many of these laws and regulations are becoming increasingly stringent, and the cost of compliance with these requirements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operating subsidiaries’ results of operations, financial condition and profitability. Certain of our subsidiaries’ facilities operate under a number of federal and state permits, licenses and approvals with terms and conditions containing a significant number of prescriptive limits and performance standards in order to operate. These permits, licenses, approvals, limits and standards require a significant amount of monitoring, record keeping and reporting in order to demonstrate compliance with the underlying permit, license, approval, limit or standard. Non-compliance or incomplete documentation of our subsidiaries’ compliance status may result in the imposition of fines, penalties and injunctive relief. Additionally, there may be times when certain of our subsidiaries are unable to meet the standards and terms and conditions of our permits, licenses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approvals due to operational upsets or malfunctions, which may lead to the imposition of fines and penalties or operating restrictions that may have a material adverse effect on their ability to operate their facilities and accordingly on our consolidated financial position, results of operations or cash flows. Refer to Note 18, “Commitments and Contingencies,” to the consolidated financial statements for additional discussion of environmental matters affecting our businesses.</w:t>
      </w:r>
    </w:p>
    <w:p>
      <w:pPr>
        <w:spacing w:after="0" w:line="160"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Energy segment’s businesses are, and commodity prices are, cyclical and highly volatile, which could have a material adverse effect on our results of operations, financial condition and cash flows.</w:t>
      </w:r>
    </w:p>
    <w:p>
      <w:pPr>
        <w:spacing w:after="0" w:line="15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Our Energy segment’s petroleum business’ financial results are primarily affected by the margin between refined product prices and the prices for crude oil and other feedstocks. Historically, refining margins have been volatile, and are expected to continue to be volatile in the future. The petroleum business’ cost to acquire feedstocks and the price at which it can ultimately sell refined products depend upon several factors beyond its control, including regional and global supply of and demand for crude oil, gasoline, diesel and other feedstocks and refined products. These in turn depend on, among other things, the availability and quantity of imports, the production levels of U.S. and international suppliers, levels of refined petroleum product inventories, productivity and growth (or the lack thereof) of U.S. and global economies, U.S. relationships with foreign governments, political affairs and the extent of governmental regulation.</w:t>
      </w:r>
    </w:p>
    <w:p>
      <w:pPr>
        <w:spacing w:after="0" w:line="19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Some of these factors can vary by region and may change quickly, adding to market volatility, while others may have longer-term effects on refining and marketing margins, which are uncertain. CVR Refining does not produce crude oil and must purchase all of the crude oil it refines long before it refines them and sell the refined products. Price level changes during the period between purchasing feedstocks and selling the refined petroleum products from these feedstocks could have a significant effect on our Energy segment’s financial results and a decline in market prices may negatively impact the carrying value of its inventories.</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Profitability is also impacted by the ability to purchase crude oil at a discount to benchmark crude oils, such as West Texas Intermediate (“WTI”), as the petroleum business does not produce any crude oil and must purchase all of the crude oil it refines. Crude oil differentials can fluctuate significantly based upon overall economic and crude oil market conditions. Adverse changes in crude oil differentials can adversely impact refining margins, earnings and cash flows. In addition, the petroleum business’ purchases of crude oil, although based on WTI prices, have historically been at a discount to WTI because of the proximity of the refineries to the sources, existing logistics infrastructure and quality differences. Any change in the sources of crude oil, infrastructure or logistical improvements or quality differences could result in a reduction of the petroleum business’ historical discount to WTI and may result in a reduction of our Energy segment’s cost advantage.</w:t>
      </w:r>
    </w:p>
    <w:p>
      <w:pPr>
        <w:spacing w:after="0" w:line="188"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Volatile prices for natural gas and electricity affect the petroleum business’ manufacturing and operating costs. Natural gas and electricity prices have been, and will continue to be, affected by supply and demand for fuel and utility services in both local and regional markets.</w:t>
      </w:r>
    </w:p>
    <w:p>
      <w:pPr>
        <w:spacing w:after="0" w:line="172"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U.S. Environmental Protection Agency Renewable Fuel Standard, with respect to our Energy segment, could adversely affect our financial condition and results of operations.</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Environmental Protection Agency (the “EPA”) has promulgated the Renewable Fuel Standards (“RFS”), which requires refiners to either blend “renewable fuels,” such as ethanol and biodiesel, into their transportation fuels or purchase renewable fuel credits, known as renewable identification numbers (“RINs”), in lieu of blending. Under the RFS, the volume of renewable fuels that refineries like Coffeyville and Wynnewood are obligated to blend into their finished petroleum products is adjusted annually by the EPA. The petroleum business is not able to blend the substantial majority of its transportation fuels, so it has to purchase RINs on the open market as well as waiver credits for cellulosic biofuels from the EPA, in order to comply with the RFS. The price of RINs has been extremely volatile as the EPA’s proposed renewable fuel volume mandates approached and exceeded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gasoline”) is blended into transportation fuel.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9" w:lineRule="auto"/>
        <w:rPr>
          <w:sz w:val="20"/>
          <w:szCs w:val="20"/>
          <w:color w:val="auto"/>
        </w:rPr>
      </w:pPr>
      <w:r>
        <w:rPr>
          <w:rFonts w:ascii="Times New Roman" w:cs="Times New Roman" w:eastAsia="Times New Roman" w:hAnsi="Times New Roman"/>
          <w:sz w:val="17"/>
          <w:szCs w:val="17"/>
          <w:color w:val="auto"/>
        </w:rPr>
        <w:t>The petroleum business cannot predict the future prices of RINs. The price of RINs has been extremely volatile in the past.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refineries and downstream terminals, all of which can vary significantly from period to period. However, the costs to obtain the necessary number of RINs and waiver credits could be material, if the price for RINs increases.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its business could be material. If sufficient RINs are unavailable for purchase, if the petroleum business has to pay a significantly higher price for RINs or if the petroleum business is otherwise unable to meet the EPA’s RFS mandates, its business, financial condition and results of operations could be materially adversely affected.</w:t>
      </w:r>
    </w:p>
    <w:p>
      <w:pPr>
        <w:spacing w:after="0" w:line="172"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Commodity derivative contracts, particularly with respect to our Energy segment, may limit our potential gains, exacerbate potential losses and involve other risks.</w:t>
      </w:r>
    </w:p>
    <w:p>
      <w:pPr>
        <w:spacing w:after="0" w:line="15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Energy segment’s petroleum business may enter into commodity derivatives contracts to mitigate crack spread risk with respect to a portion of its expected refined products production. However, its hedging arrangements may fail to fully achieve these objectives for a variety of reasons, including its failure to have adequate hedging contracts, if any, in effect at any particular time and the failure of its hedging arrangements to produce the anticipated results. The petroleum business may not be able to procure adequate hedging arrangements due to a variety of factors. Moreover, such transactions may limit its ability to benefit from favorable changes in margins. In addition, the petroleum business’ hedging activities may expose it to the risk of financial loss in certain circumstances, including instances in which:</w:t>
      </w:r>
    </w:p>
    <w:p>
      <w:pPr>
        <w:spacing w:after="0" w:line="189" w:lineRule="exact"/>
        <w:rPr>
          <w:sz w:val="20"/>
          <w:szCs w:val="20"/>
          <w:color w:val="auto"/>
        </w:rPr>
      </w:pPr>
    </w:p>
    <w:p>
      <w:pPr>
        <w:ind w:left="800" w:right="719" w:hanging="318"/>
        <w:spacing w:after="0" w:line="261"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volumes of its actual use of crude oil or production of the applicable refined products is less than the volumes subject to the hedging arrangement;</w:t>
      </w:r>
    </w:p>
    <w:p>
      <w:pPr>
        <w:ind w:left="800" w:right="379" w:hanging="318"/>
        <w:spacing w:after="0" w:line="250"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interruptions in transportation, inclement weather or other events cause unscheduled shutdowns or otherwise adversely affect its refinery or suppliers or customers;</w:t>
      </w:r>
    </w:p>
    <w:p>
      <w:pPr>
        <w:ind w:left="800" w:hanging="318"/>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counterparties to its futures contracts fail to perform under the contracts; or</w:t>
      </w:r>
    </w:p>
    <w:p>
      <w:pPr>
        <w:spacing w:after="0" w:line="9" w:lineRule="exact"/>
        <w:rPr>
          <w:rFonts w:ascii="Times New Roman" w:cs="Times New Roman" w:eastAsia="Times New Roman" w:hAnsi="Times New Roman"/>
          <w:sz w:val="18"/>
          <w:szCs w:val="18"/>
          <w:color w:val="auto"/>
        </w:rPr>
      </w:pPr>
    </w:p>
    <w:p>
      <w:pPr>
        <w:ind w:left="800" w:right="959" w:hanging="318"/>
        <w:spacing w:after="0" w:line="260"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sudden, unexpected event materially impacts the commodity or crack spread subject to the hedging arrangement.</w:t>
      </w:r>
    </w:p>
    <w:p>
      <w:pPr>
        <w:spacing w:after="0" w:line="181"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As a result, the effectiveness of CVR Energy’s risk mitigation strategy could have a material adverse impact on our Energy segment’s financial results and cash flows.</w:t>
      </w:r>
    </w:p>
    <w:p>
      <w:pPr>
        <w:spacing w:after="0" w:line="158"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w:t>
      </w:r>
    </w:p>
    <w:p>
      <w:pPr>
        <w:spacing w:after="0" w:line="17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With respect to our Automotive segment, we have invested significant resources in various initiatives to remain competitive and stimulate growth. In addition, we will continue to consider strategic alternatives in our automotive aftermarket parts business to maximize value. If we are unable to implement these initiatives efficiently and effectively, or if these initiatives are unsuccessful, our consolidated financial condition, results of operations and cash flows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subsidiaries have operations in foreign countries which expose them to risks related to economic and political conditions, currency fluctuations, import/export restrictions, regulatory and other risks.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of our subsidiaries are global businesses and have manufacturing and distribution facilities in many countries.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International operations are subject to certain risks including:</w:t>
      </w:r>
    </w:p>
    <w:p>
      <w:pPr>
        <w:spacing w:after="0" w:line="207" w:lineRule="exact"/>
        <w:rPr>
          <w:sz w:val="20"/>
          <w:szCs w:val="20"/>
          <w:color w:val="auto"/>
        </w:rPr>
      </w:pPr>
    </w:p>
    <w:p>
      <w:pPr>
        <w:ind w:left="800" w:hanging="3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economic conditions;</w:t>
      </w:r>
    </w:p>
    <w:p>
      <w:pPr>
        <w:spacing w:after="0" w:line="27"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local political conditions (including the risk of seizure of assets by foreign governments);</w:t>
      </w:r>
    </w:p>
    <w:p>
      <w:pPr>
        <w:spacing w:after="0" w:line="9" w:lineRule="exact"/>
        <w:rPr>
          <w:rFonts w:ascii="Times New Roman" w:cs="Times New Roman" w:eastAsia="Times New Roman" w:hAnsi="Times New Roman"/>
          <w:sz w:val="18"/>
          <w:szCs w:val="18"/>
          <w:color w:val="auto"/>
        </w:rPr>
      </w:pPr>
    </w:p>
    <w:p>
      <w:pPr>
        <w:ind w:left="800" w:right="299" w:hanging="318"/>
        <w:spacing w:after="0" w:line="25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(including, but not limited to, material exchange rate fluctuations, such as devaluations) and currency controls;</w:t>
      </w:r>
    </w:p>
    <w:p>
      <w:pPr>
        <w:ind w:left="800" w:hanging="3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restrictions;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ability to repatriate foreign earnings;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unrest; and</w:t>
      </w:r>
    </w:p>
    <w:p>
      <w:pPr>
        <w:spacing w:after="0" w:line="9" w:lineRule="exact"/>
        <w:rPr>
          <w:rFonts w:ascii="Times New Roman" w:cs="Times New Roman" w:eastAsia="Times New Roman" w:hAnsi="Times New Roman"/>
          <w:sz w:val="18"/>
          <w:szCs w:val="18"/>
          <w:color w:val="auto"/>
        </w:rPr>
      </w:pPr>
    </w:p>
    <w:p>
      <w:pPr>
        <w:ind w:left="800" w:right="259" w:hanging="318"/>
        <w:spacing w:after="0" w:line="260"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such as the Foreign Corrupt Practices Act, and local laws prohibiting inappropriate payments.</w:t>
      </w:r>
    </w:p>
    <w:p>
      <w:pPr>
        <w:spacing w:after="0" w:line="181"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likelihood of such occurrences and their potential effect on our businesses are unpredictable and vary from country-to-country.</w:t>
      </w:r>
    </w:p>
    <w:p>
      <w:pPr>
        <w:spacing w:after="0" w:line="162"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Certain of our businesses’ operating entities report their financial condition and results of operations in currencies other than the U.S. Dollar. The reported results of these entities are translated into U.S. Dollars at the applicable exchange rates for reporting in our consolidated financial statements. As a result, fluctuations in the U.S. Dollar against foreign currencies will affect the value at which the results of these entities are included within our consolidated results. Our businesses are exposed to a risk of loss from changes in foreign exchange rates whenever they, or one of their foreign subsidiaries, enters into a purchase or sales agreement in a currency other than its functional currency. Such changes in exchange rates could affect our businesses’ financial condition or results of operations.</w:t>
      </w:r>
    </w:p>
    <w:p>
      <w:pPr>
        <w:spacing w:after="0" w:line="185"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businesses have substantial indebtedness, which could restrict their business activities and/or could subject them to significant interest rate risk.</w:t>
      </w:r>
    </w:p>
    <w:p>
      <w:pPr>
        <w:spacing w:after="0" w:line="15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subsidiaries’ inability to generate sufficient cash flow to satisfy their debt obligations, or to refinance their debt obligations on commercially reasonable terms, would have a material adverse effect on their businesses, financial condition, and results of operations. In addition, covenants in debt instruments could limit their ability to engage in certain transactions and pursue their business strategies, which could adversely affect liquidity.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subsidiaries’ indebtedness could:</w:t>
      </w:r>
    </w:p>
    <w:p>
      <w:pPr>
        <w:spacing w:after="0" w:line="225" w:lineRule="exact"/>
        <w:rPr>
          <w:sz w:val="20"/>
          <w:szCs w:val="20"/>
          <w:color w:val="auto"/>
        </w:rPr>
      </w:pPr>
    </w:p>
    <w:p>
      <w:pPr>
        <w:ind w:left="800" w:right="199" w:hanging="318"/>
        <w:spacing w:after="0" w:line="261"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their ability to borrow money for working capital, capital expenditures, debt service requirements or other corporate purposes, guarantee additional debt or issue redeemable, convertible of preferred equity;</w:t>
      </w:r>
    </w:p>
    <w:p>
      <w:pPr>
        <w:ind w:left="800" w:right="279" w:hanging="318"/>
        <w:spacing w:after="0" w:line="265" w:lineRule="auto"/>
        <w:tabs>
          <w:tab w:leader="none" w:pos="8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their ability to make distributions or prepay its debt, incur liens, enter into agreements that restrict distributions from restricted subsidiaries, sell or otherwise dispose of assets (including capital stock of subsidiaries), enter into transactions with affiliates and merger consolidate or sell substantially all of its assets;</w:t>
      </w:r>
    </w:p>
    <w:p>
      <w:pPr>
        <w:jc w:val="both"/>
        <w:ind w:left="800" w:right="139" w:hanging="318"/>
        <w:spacing w:after="0" w:line="250"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them to dedicate a substantial portion of its cash flow to payments on indebtedness, which would reduce the amount of cash flow available to fund working capital, capital expenditures, product development, and other corporate requirements;</w:t>
      </w:r>
    </w:p>
    <w:p>
      <w:pPr>
        <w:spacing w:after="0" w:line="1"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their vulnerability to general adverse economic and industry conditions; and</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their ability to respond to business opportunities.</w:t>
      </w:r>
    </w:p>
    <w:p>
      <w:pPr>
        <w:spacing w:after="0" w:line="207"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Certain of our subsidiaries’ indebtedness accrue interest at variable rates. To the extent market interest rates rise, the cost of their debt would increase, adversely affecting their financial condition, results of operations and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labor dispute involving any of our businesses or one or more of their customers or suppliers or that could otherwise affect our operations could adversely affect our financial performance.</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 substantial number of our operating subsidiaries’ employees and the employees of its largest customers and suppliers are represented by labor unions under collective bargaining agreements. There can be no assurances that future negotiations with the unions will be resolved favorably or that our subsidiaries will not experience a work stoppage or disruption that could adversely affect its financial condition, operating results and cash flows. A labor dispute involving any of our businesses, particularly within our Energy segment, any of its customers or suppliers or any other suppliers to its customers or that otherwise affects our subsidiaries’ operations, or the inability by it, any of its customers or suppliers or any other suppliers to its customers to negotiate, upon the expiration of a labor agreement, an extension of such agreement or a new agreement on satisfactory terms could adversely affect our financial condition, operating results and cash flows. In addition, if any of our subsidiaries’ significant customers experience a material work stoppage, the customer may halt or limit the purchase of its products. This could require certain businesses to shut down or significantly reduce production at facilities relating to such products, which could adversely affect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All of our businesses are subject to the effects of the following:</w:t>
      </w:r>
    </w:p>
    <w:p>
      <w:pPr>
        <w:spacing w:after="0" w:line="225" w:lineRule="exact"/>
        <w:rPr>
          <w:sz w:val="20"/>
          <w:szCs w:val="20"/>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terrorism or war;</w:t>
      </w:r>
    </w:p>
    <w:p>
      <w:pPr>
        <w:spacing w:after="0" w:line="27"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or pandemics (or expectations about them)</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of our or our subsidiaries’ key personnel;</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as needed, of additional financing;</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varying by industry and geographic markets;</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insurance at acceptable rates; and</w:t>
      </w:r>
    </w:p>
    <w:p>
      <w:pPr>
        <w:spacing w:after="0" w:line="9"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not in the ordinary course of business (see Item 3, “Legal Proceedings,” of this Report).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need qualified personnel to manage and operate our various businesses.</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our decentralized business model, we need qualified and competent management to direct day-to-day business activities of our operating subsidiaries. Our operating subsidiaries also need qualified and competent personnel in executing their business plans and serving their customers, suppliers and other stakeholders. Changes in demographics, training requirements and the unavailability of qualified personnel could negatively impact one or more of our significant operating subsidiaries ability to meet demands of customers to supply goods and services. Recruiting and retaining qualified personnel is important to all of our operations. Although we have adequate personnel for the current business environment, unpredictable increases in demand for goods and services may exacerbate the risk of not having sufficient numbers of trained personnel, which could have a negative impact on our consolidated financial condition, results of operations or cash flows.</w:t>
      </w:r>
    </w:p>
    <w:p>
      <w:pPr>
        <w:spacing w:after="0" w:line="18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 COVID-19 pandemic has, and may continue to have, a material adverse impact on our and our subsidiaries’ operations and financial performance, as well as on the operations and financial performance of many of the customers and suppliers in our operating segments. We are unable to predict the extent to which the pandemic and related impacts will adversely impact our business operations, financial performance, results of operations, and financial position</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and our subsidiaries’ operations and financial performance have been negatively impacted by the COVID-19 pandemic that has caused, and may continue to cause, a global slowdown of economic activity, disruptions in global supply chains and significant volatility and disruption of financial markets. Because the severity, magnitude and duration of the COVID-19 pandemic and its economic consequences are uncertain, rapidly changing and difficult to predict, the pandemic’s impact on our and our subsidiaries’ operations and financial performance, remains uncertain.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Our consolidated results of operations and financial condition have been impacted primarily by the net declines in fair value of investments held by our Investment segment and the Holding Company as well as declines in the global demand for crude oil, refined products and liquid transportation fuels with respect to our Energy segment. The impact on our businesses has also included the acceleration of planned store closures in our Automotive segment, lowering current year forecasts across various segments and recording write-downs to inventories and other assets. In addition, the COVID-19 pandemic may subject our and our subsidiaries’ operations, financial performance and financial condition to a number of additional operational-related, market-related and liquidity and funding-related risks.</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COVID-19 pandemic may also have the effect of heightening many of the other risks described in the risk factors set forth herein. In particular, see the risk factors: “We are a holding company and dependent upon the businesses of our subsidiaries to satisfy our obligations”; “To service our indebtedness, we will require a significant amount of cash”; “Our ability to maintain our current cash position or generate cash depends on many factors beyond our control”; “We have made significant investments in the Investment Funds and negative performance of the Investment Funds may result in a significant decline in the value of our investments”; “We need qualified personnel to manage and operate our various businesses”; “Global economic conditions may have adverse impacts on our businesses and financial condition”; and “Our Energy segment’s businesses are, and commodity prices are, cyclical and highly volatile, which could have a material adverse effect on our results of operations, financial condition and cash flows.”</w:t>
      </w:r>
    </w:p>
    <w:p>
      <w:pPr>
        <w:spacing w:after="0" w:line="18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may negatively impact our business and operations will depend on the severity, location, and duration of the effects and spread of COVID-19, the actions undertaken by national, regional, and local governments and health officials to contain such virus or remedy its effects, and if, how quickly and to what extent economic conditions recover and normal business and operating conditions resume. Further, the COVID-19 pandemic may affect our operating and financial results in a manner that is not presently known to us or that we currently do not expect to present significant risks to our operations or financial results.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have adverse impacts on our businesses and financial condition.</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 and increased tax rates can have a material adverse impact on our businesses, and may adversely affect demand for sales of our businesses’ products, or the costs of materials and services utilized in their operations. These factors could have a material adverse effect on our revenues, income from operations and our cash flows.</w:t>
      </w:r>
    </w:p>
    <w:p>
      <w:pPr>
        <w:spacing w:after="0" w:line="188"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are subject to cybersecurity and other technological risks that could disrupt our information technology systems and adversely affect our financial performance.</w:t>
      </w:r>
    </w:p>
    <w:p>
      <w:pPr>
        <w:spacing w:after="0" w:line="15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Software implementation and upgrades at certain of our subsidiaries may result in complications that adversely impact the timeliness, accuracy and reliability of internal and external reporting.</w:t>
      </w:r>
    </w:p>
    <w:p>
      <w:pPr>
        <w:spacing w:after="0" w:line="15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operating subsidiaries are operated and managed on a decentralized basis and their software is not integrated with each other or with us. Certain of our subsidiaries are currently undergoing, or in the future may undergo, software implementation and/or upgrades. Software implementation and upgrades are complex, time consuming and require significant resources. Failure to properly implement or upgrade software, including failure to recruit/retain appropriate experts, train employees, implement processes and properly bridge to legacy software, among others, may negatively impact our subsidiaries’ ability to properly operate their businesses and to report internally and externally, including reporting to us. As a result, we may not adequately assess the performance of our subsidiaries, properly allocate resources report timely and accurate financial results.</w:t>
      </w:r>
    </w:p>
    <w:p>
      <w:pPr>
        <w:spacing w:after="0" w:line="18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subsidiaries may pursue acquisitions or other affiliations that involve inherent risks, any of which may cause us not to realize anticipated benefits, and we may have difficulty integrating the operations of any companies that may be acquired, which may adversely affect its operations.</w:t>
      </w:r>
    </w:p>
    <w:p>
      <w:pPr>
        <w:spacing w:after="0" w:line="17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may expand our existing businesses if appropriate opportunities are identified, as well as use our established businesses as a platform for additional acquisitions in the same or related areas. We and our operating subsidiaries have at times grown through acquisitions and may make additional acquisitions in the future as part of our business strategy. The full benefits of these acquisitions, however, require integration of manufacturing, administrative, financial, sales, and marketing approaches and personnel. We may invest significant resources towards realizing benefits. If we or our operating subsidiaries are unable to successfully integrate acquired businesses, we may not realize the benefits of the acquisitions, our financial results may be negatively affected, and additional cash may be required to integrate such operations. Additionally, any such acquisition, if consummated, could involve risks not presently faced by us.</w:t>
      </w:r>
    </w:p>
    <w:p>
      <w:pPr>
        <w:spacing w:after="0" w:line="188" w:lineRule="exact"/>
        <w:rPr>
          <w:sz w:val="20"/>
          <w:szCs w:val="20"/>
          <w:color w:val="auto"/>
        </w:rPr>
      </w:pPr>
    </w:p>
    <w:p>
      <w:pPr>
        <w:ind w:left="6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existence of a material weakness in internal control over financial reporting of us or one of our consolidated subsidiaries or a recently acquired entity may adversely affect our ability to provide timely and reliable financial information necessary for the conduct of our business and satisfaction of our reporting obligations under the federal securities laws.</w:t>
      </w:r>
    </w:p>
    <w:p>
      <w:pPr>
        <w:spacing w:after="0" w:line="180"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To the extent that any material weakness or significant deficiency exists in internal control over financial reporting of us or one of our consolidated subsidiaries or a recently acquired entity, such material weakness or significant deficiency may adversely affect our ability to provide timely and reliable financial information necessary for the conduct of our business and satisfaction of our reporting obligations under the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Our Holding Company and Investment segment lease office space in Sunny Isles Beach, Florida. The principal physical properties at our other operating segments are as follows: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CVR Energy owns and operates two oil refineries as well as office buildings located in Coffeyville, Kansas and Wynnewood, Oklahoma. CVR Energy also owns and operates two fertilizer plants in Coffeyville, Kansas and East Dubuque, Illinois. CVR Energy owns crude oil storage facilities in Kansas and Oklahoma, refined oil storage facilities at its Wynnewood, Oklahoma refinery location, and fertilizer storage facilities at its East Dubuque, Illinois fertilizer plant location. CVR Energy also leases additional crude oil storage facilities.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Icahn Automotive’s operations include approximately 1,500 company operated store locations, 753 franchise locations and 40 distributions centers throughout the United States. Approximately 62% of Icahn Automotive’s facilities are leased and the remainder are owned.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Viskase’s operations include ten manufacturing facilities throughout North America, Europe, South America and Asia.</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are, and will continue to be, subject to litigation from time to time in the ordinary course of our business. We also incorporate by reference into this Item 3 of this Report, the information regarding the lawsuits and proceedings described and referenced in Note 18, “Commitments and Contingencies,” to the consolidated financial statements as set forth in Item 8 of this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Security 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Icahn Enterprises’ depositary units are traded on the Nasdaq Global Select Market under the symbol “IEP.”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there were approximately 1,840 record holders of Icahn Enterprises’ depositary units including multiple beneficial holders at depositories, banks and brokers listed as a single record holder in the street name of each respective depository, bank or broker.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During the first quarter of 2017, the board of directors of the general partner of Icahn Enterprises unanimously approved and adopted the Icahn Enterprises L.P. 2017 Long Term Incentive Plan (the “2017 Incentive Plan”), which became effective during the first quarter of 2017 subject to the approval by holders of a majority of Icahn Enterprises depositary units.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were initially available under the 2017 Incentive Plan. As of December 31, 2020, there were no securities to be issued upon the exercise of outstanding options, warrants or rights. The number of securities remaining available for future issuance under the 2017 Incentive Plan as of December 31, 2020 is 949,999 of Icahn Enterprises’ depositary units.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60" w:right="1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Report.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February 17, 1987. References to “we,” “our” or “us” herein include both Icahn Enterprises and Icahn Enterprises Holdings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their subsidiaries, unless the context otherwise requires.</w:t>
      </w:r>
    </w:p>
    <w:p>
      <w:pPr>
        <w:spacing w:after="0" w:line="20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the allocation of the general partner interest. We do not discuss Icahn Enterprises and Icahn Enterprises Holdings separately unless we believe it is necessary to an understanding of the businesses.</w:t>
      </w:r>
    </w:p>
    <w:p>
      <w:pPr>
        <w:spacing w:after="0" w:line="183"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a diversified holding company owning subsidiaries currently engaged in the following continuing operating businesses: </w:t>
      </w:r>
      <w:r>
        <w:rPr>
          <w:rFonts w:ascii="Times New Roman" w:cs="Times New Roman" w:eastAsia="Times New Roman" w:hAnsi="Times New Roman"/>
          <w:sz w:val="18"/>
          <w:szCs w:val="18"/>
          <w:color w:val="231F20"/>
        </w:rPr>
        <w:t>Investment, Energy, Automotive, Food Packaging, Metals, Real Estate, Home Fashion and, as of December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2020, Pharma. </w:t>
      </w:r>
      <w:r>
        <w:rPr>
          <w:rFonts w:ascii="Times New Roman" w:cs="Times New Roman" w:eastAsia="Times New Roman" w:hAnsi="Times New Roman"/>
          <w:sz w:val="18"/>
          <w:szCs w:val="18"/>
          <w:color w:val="000000"/>
        </w:rPr>
        <w:t>We also report the results of our Holding Company, which includes the results of certain subsidiaries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Icahn Enterprises and Icahn Enterprises Holdings (unless otherwise noted), and investment activity and expenses associated with our Holding Company. Our historical results also report the results of our Mining segment, until sold on August 1, 2019, and our Railcar segment through the date we sold our last remaining railcars on lease, which occurred in the third quarter of 2018.</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Transactions and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Current Economic Conditions</w:t>
      </w:r>
    </w:p>
    <w:p>
      <w:pPr>
        <w:spacing w:after="0" w:line="227"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categorized COVID-19 as a pandemic and the President of the United States declared the COVID-19 outbreak a national emergency. The COVID-19 pandemic, and actions taken by governments and others in response thereto, has negatively impacted the global economy, financial markets, and the industries in which our subsidiaries operate. Our consolidated results of operations and financial condition have been impacted primarily by the volatility in the fair value of investments held by our Investment segment and the Holding Company (primarily unrealized) as well as declines in the global demand for refined products, especially gasoline and diesel fuels, with respect to our Energy segment. The impact on our businesses has also included the acceleration of selective planned store closures in our Automotive segment, lowering current year forecasts across various segments and recording write-downs to inventories. The extent and duration of the impact on our future results of operations, liquidity and financial condition is uncertain and may be significant. However, we believe that we and our subsidiaries have sufficient available liquidity to meet anticipated cash requirements for at least the next twelve months.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Issuances</w:t>
      </w:r>
    </w:p>
    <w:p>
      <w:pPr>
        <w:spacing w:after="0" w:line="227"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In January 2020, Icahn Enterprises and Icahn Enterprises Finance Corp. (together the “Issuers”) issued an additional $600 million in aggregate principal amount of 4.750% senior unsecured notes due 2024 (the “New 2024 Notes”) and an additional $250 million in aggregate principal amount of 5.250% senior unsecured notes due 2027 (the “New 2027 Notes”) The proceeds from these notes, together with cash on hand, were used to redeem all of our prior outstanding $1.35 billion principal amount of 5.875% senior unsecured notes due 2022, and to pay accrued interest, related fees and expenses.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January 2021, the Issuers issued $750 million in aggregate principal amount of 4.375% senior unsecured notes due 2029 (the “New 2029 Notes”). The proceeds from these notes, together with cash on hand, were used to redeem $750 million principal amount of our 6.250% senior unsecured notes due 2022, and to pay accrued interest, related fees and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 of Vivus, Inc.</w:t>
      </w:r>
    </w:p>
    <w:p>
      <w:pPr>
        <w:spacing w:after="0" w:line="22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December 2020, we acquired all of the outstanding common stock of Vivus, Inc. (“Vivus”) upon its emergence from bankruptcy. Prior to Vivus’ emergence from bankruptcy, we held an investment in all of Vivus’ convertible corporate debt securities as well as all of its other outstanding debt. As a result of this transaction, we consolidate the results of Vivus beginning December 2020 and report the results within our new Pharma segment.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Results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operating businesses comprise consolidated subsidiaries which operate in various industries and are managed on a decentralized basis. In addition to our Investment segment’s revenues from investment transactions, revenues for our continuing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13, “Segment and Geographic Reporting,” to the consolidated financial statements for a reconciliation of each of our reporting segment’s results of continuing operations to our consolidated results.</w:t>
      </w:r>
    </w:p>
    <w:p>
      <w:pPr>
        <w:spacing w:after="0" w:line="188"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comparability of our summarized consolidated financial results presented below is affected by, among other factors, (i) the performance of the Investment Funds, (ii) the results of our Energy segment’s operations, impacted by the demand and prices for its products, (iii) impairment charges, primarily in our Automotive segment in 2018 and (iv) the sale of Ferrous Resources in 2019. Refer to our respective segment discussions and “Other Consolidated Results of Operations,”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Net Income (Loss) From</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Net Income (Loss) From</w:t>
            </w:r>
          </w:p>
        </w:tc>
        <w:tc>
          <w:tcPr>
            <w:tcW w:w="100" w:type="dxa"/>
            <w:vAlign w:val="bottom"/>
          </w:tcPr>
          <w:p>
            <w:pPr>
              <w:spacing w:after="0"/>
              <w:rPr>
                <w:sz w:val="18"/>
                <w:szCs w:val="18"/>
                <w:color w:val="auto"/>
              </w:rPr>
            </w:pPr>
          </w:p>
        </w:tc>
        <w:tc>
          <w:tcPr>
            <w:tcW w:w="218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Attributable to Icahn</w:t>
            </w: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00" w:type="dxa"/>
            <w:vAlign w:val="bottom"/>
          </w:tcPr>
          <w:p>
            <w:pPr>
              <w:spacing w:after="0"/>
              <w:rPr>
                <w:sz w:val="20"/>
                <w:szCs w:val="20"/>
                <w:color w:val="auto"/>
              </w:rPr>
            </w:pPr>
          </w:p>
        </w:tc>
        <w:tc>
          <w:tcPr>
            <w:tcW w:w="16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Enterprises</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8"/>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18"/>
                <w:szCs w:val="18"/>
                <w:color w:val="auto"/>
              </w:rPr>
            </w:pPr>
          </w:p>
        </w:tc>
        <w:tc>
          <w:tcPr>
            <w:tcW w:w="2260" w:type="dxa"/>
            <w:vAlign w:val="bottom"/>
            <w:tcBorders>
              <w:top w:val="single" w:sz="8" w:color="auto"/>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(1,447)</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(1,543)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8"/>
                <w:szCs w:val="18"/>
                <w:color w:val="auto"/>
              </w:rPr>
            </w:pPr>
          </w:p>
        </w:tc>
      </w:tr>
      <w:tr>
        <w:trPr>
          <w:trHeight w:val="432"/>
        </w:trPr>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1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Segments: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8"/>
                <w:szCs w:val="18"/>
                <w:color w:val="auto"/>
              </w:rPr>
            </w:pPr>
          </w:p>
        </w:tc>
      </w:tr>
      <w:tr>
        <w:trPr>
          <w:trHeight w:val="432"/>
        </w:trPr>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1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16"/>
        </w:trPr>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1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r>
      <w:tr>
        <w:trPr>
          <w:trHeight w:val="216"/>
        </w:trPr>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1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Mining</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1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Railcar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178"/>
        </w:trPr>
        <w:tc>
          <w:tcPr>
            <w:tcW w:w="1600" w:type="dxa"/>
            <w:vAlign w:val="bottom"/>
            <w:gridSpan w:val="5"/>
          </w:tcPr>
          <w:p>
            <w:pPr>
              <w:ind w:left="20"/>
              <w:spacing w:after="0" w:line="177" w:lineRule="exact"/>
              <w:rPr>
                <w:sz w:val="20"/>
                <w:szCs w:val="20"/>
                <w:color w:val="auto"/>
              </w:rPr>
            </w:pPr>
            <w:r>
              <w:rPr>
                <w:rFonts w:ascii="Times New Roman" w:cs="Times New Roman" w:eastAsia="Times New Roman" w:hAnsi="Times New Roman"/>
                <w:sz w:val="18"/>
                <w:szCs w:val="18"/>
                <w:color w:val="auto"/>
              </w:rPr>
              <w:t>Other operating</w:t>
            </w: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segments</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0"/>
                <w:szCs w:val="20"/>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1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(2,468)</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 (1,759)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(1,066)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Results of Operations discusses the comparisons between the years ended December 31, 2020 and 2019. Certain discussions of results of operations for the comparisons between the years ended December 31, 2019 and 2018 are not included in this Report. Refer to “Management’s Discussion and Analysis of Financial Condition and Results of Operations” in Item 7 of our Annual Report on Form 10-K for the fiscal year ended December 31, 2019, filed on February 28, 2020, which is incorporated by reference herein, for such discussions.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We invest our proprietary capital through various private investment funds (the “Investment Funds”). As of December 31, 2020 and 2019, we had investments with a fair market value of approximately $4.3 billion and $4.3 billion, respectively, in the Investment Funds. As of December 31, 2020 and 2019, the total fair market value of investments in the Investment Funds made by Mr. Icahn and his affiliates (excluding us), was approximately $5.0 billion and $4.5 billion, respectively.</w:t>
      </w:r>
    </w:p>
    <w:p>
      <w:pPr>
        <w:spacing w:after="0" w:line="18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Investment segment’s results of operations are reflected in net income (loss) in the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son of Mr. Icahn.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December 31,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2019 and 2018, our Investment Funds’ returns were (14.3)%, (15.4)%, and 7.9%, respectively. Our Investment Funds’ returns represent a weighted-average composite of the average returns, net of expenses. The following table sets forth the performance attribution for the Investment Funds’ returns: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(loss) for our Investment segment:</w:t>
            </w: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(3,045)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For 2020, the Investment Funds’ negative performance was driven by net losses in their short positions and, to a lesser extent, net losses in their long positions. The negative performance of our Investment segment’s short positions was driven primarily by the negative performance of broad market hedges of approximately $1.6 billion, losses from two consumer, non-cyclical sector investments aggregating $362 million, losses from a consumer, cyclical sector investment of $118 million and the aggregate performance of various other short positions with net losses aggregating $357 million across various sectors. The negative performance of our Investment segment’s short positions was partially offset by net gains from its short exposure to commercial mortgage-backed securities through credit default swap contracts of $902 million. The negative performance of our Investment Segment’s long positions was driven by losses from a consumer, non-cyclical sector investment of $637 million, and two technology sector investments aggregating $402 million, offset in part by gains from two consumer, cyclical sector investments aggregating $497 million, two consumer, non-cyclical sector investments aggregating $271 million and a technology sector investment of $162 million. Net losses in long positions were further offset in part by the aggregate performance of investments with net gains across various other sectors.</w:t>
      </w:r>
    </w:p>
    <w:p>
      <w:pPr>
        <w:spacing w:after="0" w:line="19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For 2019, the Investment Funds’ negative performance was driven by net losses in their short positions offset in part by net gains in their long positions. The negative performance of our Investment segment’s short positions was driven by the negative performance of broad market hedges of approximately $2.5 billion and the aggregate performance of short positions with net losses across various sectors. The positive performance of our Investment segment’s long positions was driven by gains from a consumer, cyclical sector investment, two technology sector investments, two financial sector investments and a consumer, non-cyclical sector investment with gains aggregating approximately $1.7 billion. The aggregate performance of investments with net gains across various other sectors accounted for an additional $495 million positive performance of our Investment segment’s long positions. The positive performance of long positions was offset in part by losses from a consumer, non-cyclical sector investment, an energy sector investment and a technology sector investment with losses aggregating $727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Our Energy segment is primarily engaged in the petroleum refining and nitrogen fertilizer manufacturing businesses. The sale of petroleum products accounted for approximately 91%, 94% and 95% of our Energy segment’s net sales for the years ended December 31, 2020, 2019 and 2018, respectively.</w:t>
      </w:r>
    </w:p>
    <w:p>
      <w:pPr>
        <w:spacing w:after="0" w:line="17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and the actions taken by governments and others, has negatively impacted the energy industry. The COVID-19 pandemic has also resulted in significant business and operational disruptions, including business closures, liquidity strains, destruction of non-essential demand, as well as supply chain challenges, travel restrictions, stay-at home orders, and limitations on the availability of the workforce. As a result, the demand for gasoline and diesel in the regions that our Energy segment operates have declined for 2020 compared to 2019. Continuing concerns over the negative effects of the COVID-19 pandemic on economic and business prospects across the world have contributed to increased market and price volatility and have diminished expectations for the global economy and may precipitate a prolonged economic slowdown or recession. The declines were amplified in the first quarter of 2020 by market plays between the world’s largest oil producers. The simultaneous shocks in oil supply and demand has resulted in a decline in the price of crude oil and lead to a significant decrease in the price of refined products sold by our Energy segment.</w:t>
      </w:r>
    </w:p>
    <w:p>
      <w:pPr>
        <w:spacing w:after="0" w:line="194" w:lineRule="exact"/>
        <w:rPr>
          <w:sz w:val="20"/>
          <w:szCs w:val="20"/>
          <w:color w:val="auto"/>
        </w:rPr>
      </w:pPr>
    </w:p>
    <w:p>
      <w:pPr>
        <w:ind w:left="60" w:right="119" w:firstLine="324"/>
        <w:spacing w:after="0" w:line="270" w:lineRule="auto"/>
        <w:rPr>
          <w:sz w:val="20"/>
          <w:szCs w:val="20"/>
          <w:color w:val="auto"/>
        </w:rPr>
      </w:pPr>
      <w:r>
        <w:rPr>
          <w:rFonts w:ascii="Times New Roman" w:cs="Times New Roman" w:eastAsia="Times New Roman" w:hAnsi="Times New Roman"/>
          <w:sz w:val="17"/>
          <w:szCs w:val="17"/>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(“RFS”), which requires it to either blend “renewable fuels” with its transportation fuels or purchase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18, “Commitments and Contingencies,” to the consolidated financial statements for further discussion of RINs.</w:t>
      </w:r>
    </w:p>
    <w:p>
      <w:pPr>
        <w:spacing w:after="0" w:line="17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December 2020, our Energy segment approved a renewable diesel project at one of its refineries, which would convert the refinery’s hydrocracker to a renewable diesel unit (“RDU”) capable of producing 100 million gallons of renewable diesel per year and approximately 180 million RINs annually. As a result of conversion, the crude oil capacity of the refinery will be reduced. Further, the conversion enables our Energy segment to capture additional benefits associated with the existing blenders’ tax credit that expires at the end of 2022 and low carbon fuel standard programs in states such as California. Our Energy segment has additional plans to add pretreating capabilities for the RDU and construction of a similar facility at its other refinery. These collective renewable diesel efforts could reduce our Energy segment’s RFS exposure. However, any actions taken by the Supreme Court, resulting administration efforts under the RFS, such as denial of existing or previous waiver applications, and market conditions could significantly impact the amount by which our Energy segment’s renewable diesel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Energy segment’s net sales, cost of goods sold and gross margin:</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09"/>
        </w:trPr>
        <w:tc>
          <w:tcPr>
            <w:tcW w:w="5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28"/>
        </w:trPr>
        <w:tc>
          <w:tcPr>
            <w:tcW w:w="5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sales for our Energy segment decreased by approximately $2.4 billion (38%) for the year ended December</w:t>
      </w:r>
    </w:p>
    <w:p>
      <w:pPr>
        <w:spacing w:after="0" w:line="27"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31, 2020 as compared to the comparable prior year period, primarily due to a decrease in our petroleum business’ net sales, which decreased approximately $2.4 billion. The decrease in the petroleum business’ net sales was primarily due to a decrease in gasoline sales as well as a decrease in sales of distillates attributable to a decrease in volumes and unfavorable pricing conditions. These decreases were the result of reduced demand and excess supply attributable to the current market dynamics resulting from government actions to address the COVID-19 pandemic. Additionally, during 2020, scheduled maintenance at one refinery has contributed to the decline in volumes. Our nitrogen fertilizer business’ net sales decreased $54 million primarily due to a decrease in UAN sales due to unfavorable pricing, partially offset by an increase in volumes.</w:t>
      </w:r>
    </w:p>
    <w:p>
      <w:pPr>
        <w:spacing w:after="0" w:line="1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Cost of goods sold for our Energy segment decreased by approximately $1.5 billion (27%) for the year ended December 31, 2020 as compared to the comparable prior year period. The decrease was primarily due to our petroleum business as a result of lower cost of consumed crude oil. The lower cost of consumed crude oil was due to a decrease in volumes resulting from the scheduled maintenance, as discussed above, reduced utilization at one refinery, lower crude oil prices and higher derivative gains of $36 million. These decreases were offset in part by a $58 million write-down of inventory to net realizable value in the first quarter of 2020 and a $147 million increase in the net cost of RINs. Gross margin for our Energy segment decreased by $891 million for the year ended December 31, 2020 as compared to the comparable prior year period. Gross margin as a percentage of net sales was (6)% and 10% for the year ended December 31, 2020 and 2019, respectively. The decrease in the gross margin as a percentage of net sales was primarily attributable to the petroleum business, which was primarily due to unfavorable market pricing and crack spreads, offset in part by higher derivative gains over the comparable periods.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Our Automotive segment’s results of operations are generally driven by the distribution and installation of automotive aftermarket parts and are affected by the relative strength of automotive part replacement trends, among other factors.</w:t>
      </w:r>
    </w:p>
    <w:p>
      <w:pPr>
        <w:spacing w:after="0" w:line="140"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Our Automotive segment is in the process of implementing a multi-year transformation plan, which includes the integration and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Costs to implement the transformation plan will include restructuring charges, which will be recorded when specific plans are approved, and which may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the service business to take advantage of opportunities in the do-it-for-me market and vehicle fleets;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value of the commercial parts distribution business in certain high-volume core markets;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Exiting the automotive parts distribution business in certain low volume, non-core markets;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inventory management across Icahn Automotive’s parts and tire distribution network;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customer experience initiatives and selective upgrades in facilities;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employees with focus on training and career development investments; and</w:t>
      </w:r>
    </w:p>
    <w:p>
      <w:pPr>
        <w:spacing w:after="0" w:line="9" w:lineRule="exact"/>
        <w:rPr>
          <w:rFonts w:ascii="Times New Roman" w:cs="Times New Roman" w:eastAsia="Times New Roman" w:hAnsi="Times New Roman"/>
          <w:sz w:val="18"/>
          <w:szCs w:val="18"/>
          <w:color w:val="auto"/>
        </w:rPr>
      </w:pPr>
    </w:p>
    <w:p>
      <w:pPr>
        <w:ind w:left="720" w:right="839" w:hanging="319"/>
        <w:spacing w:after="0" w:line="26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improvements, including investments in our supply chain and information technology capabilities.</w:t>
      </w:r>
    </w:p>
    <w:p>
      <w:pPr>
        <w:spacing w:after="0" w:line="181"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10"/>
        </w:trPr>
        <w:tc>
          <w:tcPr>
            <w:tcW w:w="6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28"/>
        </w:trPr>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and other revenue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r>
      <w:tr>
        <w:trPr>
          <w:trHeight w:val="21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and other expenses from operations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1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Net sales and other revenue from operations for our Automotive segment for the year ended December 31, 2020 decreased by $406 million (14%) as compared to the comparable prior year period. The decrease was attributable to a decrease in aftermarket parts sales of $261 million (17%) and a decrease in automotive services revenues of $145 million (11%). On an organic basis, aftermarket parts sales decreased $106 million over the comparable periods due to a decrease in commercial sales of $59 million (6%) and a decrease in retail sales of $47 million (12%). Store closures related to the transformation plan accounted for another $155 million decrease in aftermarket parts sales. The decrease in automotive services revenues represents a decrease on a primarily organic basis. The COVID-19 pandemic, and the impacts of the actions taken by governments and others, have significantly contributed to the decline in revenues, in particular the automotive services revenues and commercial sales revenues which, until March 2020, were experiencing growth on an organic basis.</w:t>
      </w:r>
    </w:p>
    <w:p>
      <w:pPr>
        <w:spacing w:after="0" w:line="19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Cost of goods sold and other expenses from operations for the year ended December 31, 2020 decreased by $296 million (14%) as compared to the comparable prior year period. The decrease was due to lower sales volumes, as described above. Gross margin on net sales and other revenue from operations for the year ended December 31, 2020 decreased by $110 million (14%) as compared to the comparable prior year period. Gross margin as a percentage of net sales and other revenue from operations was 28% for each of the years ended December 31, 2020 and 2019. Our Automotive segment has experienced some margin rate contraction for its aftermarket parts businesses due to the effect of stores that were in the process of closing down and the shift in aftermarket parts sales from retail to commercial, as well as from the negative impact from the COVID-19 pandemic, as described above. This was offset by the acceleration of planned store closures, which resulted in a greater portion of our Automotive segment’s business being derived from higher margin automotive services,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229" w:lineRule="exact"/>
        <w:rPr>
          <w:sz w:val="20"/>
          <w:szCs w:val="20"/>
          <w:color w:val="auto"/>
        </w:rPr>
      </w:pPr>
    </w:p>
    <w:p>
      <w:pPr>
        <w:jc w:val="both"/>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Net sales for the year ended December 31, 2020 increased $24 million (6%) as compared to the comparable prior year period. The increase was due to an increase of $17 million in volumes and an increase of $7 million due to price and product mix. Cost of goods sold for the year ended December 31, 2020 increased by $15 million (5%) as compared to the comparable prior year period due to an increase in volumes and lower absorption of manufacturing costs. Gross margin as a percentage of net sales was 20% and 19% for the year ended December 31, 2020 and 2019, respectively.</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Metal</w:t>
      </w:r>
      <w:r>
        <w:rPr>
          <w:rFonts w:ascii="Times New Roman" w:cs="Times New Roman" w:eastAsia="Times New Roman" w:hAnsi="Times New Roman"/>
          <w:sz w:val="19"/>
          <w:szCs w:val="19"/>
          <w:b w:val="1"/>
          <w:bCs w:val="1"/>
          <w:i w:val="1"/>
          <w:iCs w:val="1"/>
          <w:color w:val="auto"/>
        </w:rPr>
        <w:t>s</w:t>
      </w:r>
    </w:p>
    <w:p>
      <w:pPr>
        <w:spacing w:after="0" w:line="23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Net sales for the year ended December 31, 2020 decreased by $27 million (8%) compared to the comparable prior year period due to lower shipping volumes driven by the impact of the COVID-19 pandemic. Cost of goods sold for the year ended December 31, 2020 decreased by $45 million (13%) compared to the comparable prior year period due to lower material costs due to lower volumes and market prices. Gross margin as a percentage of net sales was less than 5% and (1)% for the year ended December 31, 2020 and 2019,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 from operations in our consolidated statements of operations. Revenue from our real estate operations for each of the years ended December 31, 2020 and 2019 were primarily derived from the sale of residential units and rental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Our Home Fashion segment is significantly influenced by the overall economic environment, including consumer spending, at the retail level, for home textile products.</w:t>
      </w:r>
    </w:p>
    <w:p>
      <w:pPr>
        <w:spacing w:after="0" w:line="16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Net sales for the year ended December 31, 2020 increased by $1 million (1%) compared to the comparable prior year period due to a business acquired in the second quarter of 2019, which accounted for an increase of $21 million, and an increase in sales from newly added facemasks of $15 million, resulting from the COVID-19 pandemic, offset in part by a $35 million decrease from existing businesses, primarily as a result of the current economic conditions. Cost of goods sold for the year ended December 31, 2020 decreased by $9 million (6%) compared to the comparable prior year period due to a decrease in sales from existing businesses, as discussed above, as well as a shift to lower cost products, such as facemasks, offset in part by an increase from the acquired business. Gross margin as a percentage of net sales was 20% and 15% for the year ended December 31, 2020 and 2019, respectively. The increase is due to the reduction in sales to certain lower margin customers, the business acquired having higher margins than the existing businesses and due to the addition of higher margin facemask products.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229"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Our Holding Company’s results of operations primarily reflect investment gains and losses from equity investments and the interest expense on its senior unsecured notes for each of the years ended December 31, 2020 and 2019.</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 Net</w:t>
      </w:r>
    </w:p>
    <w:p>
      <w:pPr>
        <w:spacing w:after="0" w:line="229" w:lineRule="exact"/>
        <w:rPr>
          <w:sz w:val="20"/>
          <w:szCs w:val="20"/>
          <w:color w:val="auto"/>
        </w:rPr>
      </w:pPr>
    </w:p>
    <w:p>
      <w:pPr>
        <w:ind w:left="60" w:right="619" w:firstLine="324"/>
        <w:spacing w:after="0" w:line="312" w:lineRule="auto"/>
        <w:rPr>
          <w:sz w:val="20"/>
          <w:szCs w:val="20"/>
          <w:color w:val="auto"/>
        </w:rPr>
      </w:pPr>
      <w:r>
        <w:rPr>
          <w:rFonts w:ascii="Times New Roman" w:cs="Times New Roman" w:eastAsia="Times New Roman" w:hAnsi="Times New Roman"/>
          <w:sz w:val="17"/>
          <w:szCs w:val="17"/>
          <w:color w:val="auto"/>
        </w:rPr>
        <w:t>As discussed in Note 1, "Description of Business," to the consolidated financial statements, we sold Ferrous Resources, resulting in a pretax gain on disposition of assets of $252 million for the year ended December 31, 2019.</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consolidated selling, general and administrative during the year ended December 31, 2020 decreased by $184 million (13%) as compared to the comparable prior year period, primarily due to (i) lower occupancy costs for various locations and other general and administrative costs due to the current market conditions for our Automotive segment, (ii) lower deferred compensation and other payroll related costs for our Energy segment, (iii) lower compensation costs for our Investment segment and (iv) the sale of our former Mining segment in August 2019, offset in part by an increase attributable to our Real Estate segment primarily for the demolition costs relating to a property not in service.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Our consolidated restructuring, net for the years ended December 31, 2020 and 2019 primarily relates to our Automotive segment’s transformation plan and restructuring activities at our Food Packaging segment. Our Automotive segment’s restructuring, net increased $2 million over the comparable periods as it continues to implement its multi-year transformation plan. Our Food Packaging segment’s restructuring, net was higher in 2019 by $7 million due to restructuring charges for employee costs relating to certain of its European operations. Refer to Note 13, “Segment and Geographic Reporting,” to the consolidated financial statements for net restructuring charges recorded by each of our segments.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Refer to Note 5, “Fair Value Measurements,” and Note 9, “Goodwill and Intangible Assets, Net,” to the consolidated financial statements for a discussion of impairments of assets, which were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Our consolidated interest expense during the year ended December 31, 2020 increased by $83 million (14%) as compared the comparable prior year period. The increase was primarily due to higher interest expense from our Investment segment attributable to an increase in average due to broker balances over the respective periods as well as higher interest expense from our Energy segment as a result of certain debt offerings in the first quarter of 2020, which resulted in additional debt outstanding. These increases were offset in part by lower interest expense for our Automotive segment, due to lower debt outstanding and lower variable rate interest, as well as due to our Holding Company as a result of certain debt refinancings in the first quarter of 2020, which resulted in outstanding debt with lower interest rates.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15, “Income Taxes,” to the consolidated financial statements for a discussion of income taxes.</w:t>
      </w:r>
    </w:p>
    <w:p>
      <w:pPr>
        <w:spacing w:after="0" w:line="178" w:lineRule="exact"/>
        <w:rPr>
          <w:sz w:val="20"/>
          <w:szCs w:val="20"/>
          <w:color w:val="auto"/>
        </w:rPr>
      </w:pPr>
    </w:p>
    <w:p>
      <w:pPr>
        <w:ind w:left="60" w:right="319" w:firstLine="324"/>
        <w:spacing w:after="0" w:line="315" w:lineRule="auto"/>
        <w:rPr>
          <w:sz w:val="20"/>
          <w:szCs w:val="20"/>
          <w:color w:val="auto"/>
        </w:rPr>
      </w:pPr>
      <w:r>
        <w:rPr>
          <w:rFonts w:ascii="Times New Roman" w:cs="Times New Roman" w:eastAsia="Times New Roman" w:hAnsi="Times New Roman"/>
          <w:sz w:val="17"/>
          <w:szCs w:val="17"/>
          <w:color w:val="auto"/>
        </w:rPr>
        <w:t xml:space="preserve">In addition, in accordance with FASB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we analyze all positive and negative evidence and maintain a valuation allowance on deferred tax assets that are not considered more likely than not to be realized.</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Liquidity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92"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As of December 31, 2020, our Holding Company had cash and cash equivalents of $925 million and total debt of approximately $5.8 billion. As of December 31, 2020, our Holding Company had investments in the Investment Funds with a total fair market value of approximately $4.3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Holding Company Borrowings and Availability</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5"/>
        </w:trPr>
        <w:tc>
          <w:tcPr>
            <w:tcW w:w="6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29"/>
        </w:trPr>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5.875% senior unsecured notes due 2022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6.750% senior unsecured notes due 2024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unsecured notes due 2024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10"/>
        </w:trPr>
        <w:tc>
          <w:tcPr>
            <w:tcW w:w="67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Holding Company debt consists of various issues of fixed-rate senior unsecured notes issued by the Issuers and guaranteed by Icahn Enterprises Holdings (the “Guarantor”). Interest on each tranche of senior unsecured notes are payable semi-annually.</w:t>
      </w:r>
    </w:p>
    <w:p>
      <w:pPr>
        <w:spacing w:after="0" w:line="17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In January 2020, the Issuers issued an additional $600 million in aggregate principal amount of the New 2024 Notes and an additional $250 million in aggregate principal amount of the New 2027 Notes. The additional proceeds from these notes, together with cash on hand, were used to redeem all of our prior outstanding $1.35 billion principal amount of 5.875% senior unsecured notes due 2022, and to pay accrued interest, related fees and expenses.</w:t>
      </w:r>
    </w:p>
    <w:p>
      <w:pPr>
        <w:spacing w:after="0" w:line="18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January 2021, the Issuers issued $750 million in aggregate principal amount of the New 2029 Notes. The proceeds from these notes, together with cash on hand, were used to redeem $750 million principal amount of our 6.250% senior unsecured notes due 2022, and to pay accrued interest, related fees and expenses.</w:t>
      </w:r>
    </w:p>
    <w:p>
      <w:pPr>
        <w:spacing w:after="0" w:line="176"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6" w:lineRule="exact"/>
        <w:rPr>
          <w:sz w:val="20"/>
          <w:szCs w:val="20"/>
          <w:color w:val="auto"/>
        </w:rPr>
      </w:pPr>
    </w:p>
    <w:p>
      <w:pPr>
        <w:ind w:left="60" w:right="99" w:firstLine="324"/>
        <w:spacing w:after="0" w:line="271" w:lineRule="auto"/>
        <w:rPr>
          <w:sz w:val="20"/>
          <w:szCs w:val="20"/>
          <w:color w:val="auto"/>
        </w:rPr>
      </w:pPr>
      <w:r>
        <w:rPr>
          <w:rFonts w:ascii="Times New Roman" w:cs="Times New Roman" w:eastAsia="Times New Roman" w:hAnsi="Times New Roman"/>
          <w:sz w:val="17"/>
          <w:szCs w:val="17"/>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December 31, 2020, except for the New 2024 Notes, the New 2027 Notes and the New 2029 Notes, are subject to optional redemption premiums in the event we redeem any of the notes prior to certain dates as described in the indentures.</w:t>
      </w:r>
    </w:p>
    <w:p>
      <w:pPr>
        <w:spacing w:after="0" w:line="17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and 2019, we were in compliance with all covenants, including maintaining certain minimum financial ratios, as defined in the indentures. Additionally, as of December 31, 2020, based on covenants in the indentures governing our senior unsecured notes, we are not permitted to incur additional indebtedness; however, we are permitted to issue new notes in connection with debt refinancings of existing notes.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Debt Service Obligations</w:t>
      </w:r>
    </w:p>
    <w:p>
      <w:pPr>
        <w:spacing w:after="0" w:line="22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January 2021, we redeemed $750 million principal amount of our 6.250% senior unsecured notes due 2022, as described above, and our Holding Company has $455 million in principal amount remaining on such notes, which mature on February 1, 2022.</w:t>
      </w:r>
    </w:p>
    <w:p>
      <w:pPr>
        <w:spacing w:after="0" w:line="17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For 2021, interest payments on our Holding Company’s senior unsecured notes will be approximately $333 million, including the effects of the debt refinancing transaction in January 2021, as described above. Such interest payments, which do not contemplate any other potential future debt refinancings, will be approximately $311 million for 2022, $297 million for 2023 and an aggregate of $739 million for 2024 through 2029.</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At-The-Market Offering</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the year ended December 31, 2020, Icahn Enterprises sold 1,908,099 depositary units pursuant to this agreement, resulting in gross proceeds of $101 million. As of December 31, 2020, Icahn Enterprises may sell its depositary units for up to an additional $244 million in aggregate sale proceeds pursuant to this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Distributions</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2020, we declared four quarterly distributions aggregating $8.00 per depositary unit. In connection with these distributions, aggregate cash distributions to all depositary unitholders was $516 million, of which $422 million relates to the distribution declared in the first quarter of 2020. Mr. Icahn and his affiliates have historically elected to receive their distributions in additional units; however, in the first quarter of 2020, they received their distribution in cash. For the distributions declared in the second, third and fourth quarters of 2020, Mr. Icahn and his affiliates elected to receive their distributions in additional units and cash distributions paid to other depositary unitholders was $30 million, $31 million and $33 million, respectively. Mr. Icahn and his affiliates may in the future elect to receive all or a portion of their distributions in cash or in additional depositary units.</w:t>
      </w:r>
    </w:p>
    <w:p>
      <w:pPr>
        <w:spacing w:after="0" w:line="192" w:lineRule="exact"/>
        <w:rPr>
          <w:sz w:val="20"/>
          <w:szCs w:val="20"/>
          <w:color w:val="auto"/>
        </w:rPr>
      </w:pPr>
    </w:p>
    <w:p>
      <w:pPr>
        <w:ind w:left="60" w:right="399" w:firstLine="324"/>
        <w:spacing w:after="0" w:line="289" w:lineRule="auto"/>
        <w:rPr>
          <w:sz w:val="20"/>
          <w:szCs w:val="20"/>
          <w:color w:val="auto"/>
        </w:rPr>
      </w:pPr>
      <w:r>
        <w:rPr>
          <w:rFonts w:ascii="Times New Roman" w:cs="Times New Roman" w:eastAsia="Times New Roman" w:hAnsi="Times New Roman"/>
          <w:sz w:val="17"/>
          <w:szCs w:val="17"/>
          <w:color w:val="auto"/>
        </w:rPr>
        <w:t>On February 24, 2021, the Board of Directors of the general partner of Icahn Enterprises declared a quarterly distribution in the amount of $2.00 per depositary unit. The quarterly distribution is payable in either cash or additional depositary units, at the election of each depositary unitholder and will be paid on or about April 28, 2021 to depositary</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unitholders of record at the close of business on March 26, 2021. Depositary unitholders will have until April 16, 2021 to make an election to receive either cash or additional depositary units; if a holder does not make an election, it will automatically be deemed to have elected to receive the distribution in additional depositary units.</w:t>
      </w:r>
    </w:p>
    <w:p>
      <w:pPr>
        <w:spacing w:after="0" w:line="176"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Liquidity</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we invested $750 million in the Investment Funds, net of redemptions, and affiliates of Mr. Icahn (excluding us) contributed approximately $1.2 billion of primarily like-kind investments in the Investment Funds. In addition to investments by us and Mr. Icahn, the Investment Funds historically have access to significant amounts of cash available from prime brokerage lines of credit, subject to customary terms and market conditions.</w:t>
      </w:r>
    </w:p>
    <w:p>
      <w:pPr>
        <w:spacing w:after="0" w:line="183" w:lineRule="exact"/>
        <w:rPr>
          <w:sz w:val="20"/>
          <w:szCs w:val="20"/>
          <w:color w:val="auto"/>
        </w:rPr>
      </w:pPr>
    </w:p>
    <w:p>
      <w:pPr>
        <w:ind w:left="60" w:right="299" w:firstLine="324"/>
        <w:spacing w:after="0" w:line="277" w:lineRule="auto"/>
        <w:rPr>
          <w:sz w:val="20"/>
          <w:szCs w:val="20"/>
          <w:color w:val="auto"/>
        </w:rPr>
      </w:pPr>
      <w:r>
        <w:rPr>
          <w:rFonts w:ascii="Times New Roman" w:cs="Times New Roman" w:eastAsia="Times New Roman" w:hAnsi="Times New Roman"/>
          <w:sz w:val="17"/>
          <w:szCs w:val="17"/>
          <w:color w:val="auto"/>
        </w:rPr>
        <w:t>Additionally, our Investment segment liquidity is driven by the investment activities and performance of the Investment Funds. As of December 31, 2020, the Investment Funds’ had a net short notional exposure of 52%. The Investment Funds’ long exposure was 90% (89% long equity and 1% long credit and other) and its short exposure was 142% (119% short equity and 23% short credit and other). The notional exposure represents the ratio of the notional exposure of the Investment Funds’ invested capital to the net asset value of the Investment Funds at December 31, 2020.</w:t>
      </w:r>
    </w:p>
    <w:p>
      <w:pPr>
        <w:spacing w:after="0" w:line="16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Of the Investment Funds’ 90% long exposure, 88% was comprised of the fair value of its long positions (with certain adjustments) and 2% was comprised of single name equity forward contracts and credit contracts. Of the Investment Funds’ 142% short exposure, 27% was comprised of the fair value of its short positions and 115% was comprised of short broad market index swap derivative contracts and short credit default swap contracts.</w:t>
      </w:r>
    </w:p>
    <w:p>
      <w:pPr>
        <w:spacing w:after="0" w:line="18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(88% long exposure) and our short positions that are not notionalized (27%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With respect to the notional value of our other short positions (115% short exposure), for short positions in an unrealized loss position, our liquidity would decrease by the balance sheet unrealized loss if we were to close the positions at year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 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Cash and Cash Equivalents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ind w:left="432"/>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Segment Borrowings and Availability</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debt consists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29"/>
        </w:trPr>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ind w:left="432"/>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January 2020, CVR Energy issued $600 million in aggregate principal amount of 5.25% senior unsecured notes due 2025 and $400 million in aggregate principal amount of 5.75% senior unsecured notes due 2028. A portion of the net proceeds from the issuance of these notes was used to fund the redemption of CVR Refining’s existing senior unsecured notes due 2022. The remaining net proceeds will be used for CVR Energy’s general corporate purposes, which may include funding (i) acquisitions, (ii) capital projects, and/or (iii) share repurchases or other distributions to CVR Energy’s stockholders.</w:t>
      </w:r>
    </w:p>
    <w:p>
      <w:pPr>
        <w:spacing w:after="0" w:line="187" w:lineRule="exact"/>
        <w:rPr>
          <w:sz w:val="20"/>
          <w:szCs w:val="20"/>
          <w:color w:val="auto"/>
        </w:rPr>
      </w:pPr>
    </w:p>
    <w:p>
      <w:pPr>
        <w:jc w:val="both"/>
        <w:ind w:left="60" w:right="399" w:firstLine="324"/>
        <w:spacing w:after="0" w:line="281" w:lineRule="auto"/>
        <w:rPr>
          <w:sz w:val="20"/>
          <w:szCs w:val="20"/>
          <w:color w:val="auto"/>
        </w:rPr>
      </w:pPr>
      <w:r>
        <w:rPr>
          <w:rFonts w:ascii="Times New Roman" w:cs="Times New Roman" w:eastAsia="Times New Roman" w:hAnsi="Times New Roman"/>
          <w:sz w:val="17"/>
          <w:szCs w:val="17"/>
          <w:color w:val="auto"/>
        </w:rPr>
        <w:t>In October 2020, Viskase entered into a credit agreement providing for a $150 million term loan and a $30 million revolving credit facility. The proceeds from the new term loan, plus cash received from the equity private placement in October 2020, as discussed in Note 1, “Description of Business,” to the consolidated financial statements, were used to repay in full Viskase’s existing term loan. The new term loan and credit facility mature in 2023.</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2020, all of our subsidiaries were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segments have additional borrowing availability under certain revolving credit facilities as summarized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2020</w:t>
            </w:r>
          </w:p>
        </w:tc>
      </w:tr>
      <w:tr>
        <w:trPr>
          <w:trHeight w:val="142"/>
        </w:trPr>
        <w:tc>
          <w:tcPr>
            <w:tcW w:w="7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2"/>
              <w:spacing w:after="0" w:line="142" w:lineRule="exact"/>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77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above outstanding debt and borrowing availability with respect to each of our continuing operating segments reflects third-party obligations. Certain terms of financings for certain of our businesses impose restrictions on the business’ ability to transfer funds to us, including restrictions on dividends, distribution, loans and other transactions. See Note 11, “Debt,” to the consolidated financial statements for further discussion regarding our segment debt, including information relating to maturities, interest rates and borrowing availabilities.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Debt Service Obligations</w:t>
      </w:r>
    </w:p>
    <w:p>
      <w:pPr>
        <w:spacing w:after="0" w:line="227"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Future debt service obligations for our other operating segments are primarily within our Energy and Automotive segments.</w:t>
      </w:r>
    </w:p>
    <w:p>
      <w:pPr>
        <w:spacing w:after="0" w:line="162"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our Energy segment’s future debt maturities (excluding financing leases) are $645 million for 2023, $600 million for 2025 and $400 million for 2028, and future interest payments for our Energy segment are expected to be approximately $120 million for each of 2021, 2022 and 2023. Interest payments are expected to be $60 million for 2024 and 2025 and an aggregate of $78 million for 2026 through 2028.</w:t>
      </w:r>
    </w:p>
    <w:p>
      <w:pPr>
        <w:spacing w:after="0" w:line="18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our Automotive segment’s future debt maturities are $351 million for 2021 and future interest payments for our Automotive segment are expected to be $9 million in 2021. Our Automotive segment intends to refinance its debt prior to maturity.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Subsidiary Dividends</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view of the uncertainty of the depth and extent of the contraction in oil demand due to the COVID-19 pandemic, combined with the weaker commodity price environment, CVR Energy has remained focused on safe and reliable operations, cash conservation and protecting its balance sheet. As a result of these factors, and in light of the uncertainty of the current economic environment as well as potential future cash requirements of CVR Energy, the Board of Directors of CVR Energy approved a reduction in its cash dividend for the first quarter of 2020 and elected not to declare a cash dividend for the second, third and fourth quarters of 2020. These decisions support CVR Energy’s continued focus on financial discipline through a balanced approach of stockholder distributions and strategic investments while providing the flexibility to weather the uncertain environment. The Board of Directors of CVR Energy will continue to evaluate the economic environment, CVR Energy’s cash needs, and other applicable factors, and may elect to make additional changes to CVR Energy’s dividend in future periods.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Subsidiary Stock Repurchase Program</w:t>
      </w:r>
    </w:p>
    <w:p>
      <w:pPr>
        <w:spacing w:after="0" w:line="227" w:lineRule="exact"/>
        <w:rPr>
          <w:sz w:val="20"/>
          <w:szCs w:val="20"/>
          <w:color w:val="auto"/>
        </w:rPr>
      </w:pPr>
    </w:p>
    <w:p>
      <w:pPr>
        <w:ind w:left="60" w:right="199" w:firstLine="324"/>
        <w:spacing w:after="0" w:line="270" w:lineRule="auto"/>
        <w:rPr>
          <w:sz w:val="20"/>
          <w:szCs w:val="20"/>
          <w:color w:val="auto"/>
        </w:rPr>
      </w:pPr>
      <w:r>
        <w:rPr>
          <w:rFonts w:ascii="Times New Roman" w:cs="Times New Roman" w:eastAsia="Times New Roman" w:hAnsi="Times New Roman"/>
          <w:sz w:val="17"/>
          <w:szCs w:val="17"/>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w:t>
      </w:r>
    </w:p>
    <w:p>
      <w:pPr>
        <w:spacing w:after="0" w:line="3" w:lineRule="exact"/>
        <w:rPr>
          <w:sz w:val="20"/>
          <w:szCs w:val="20"/>
          <w:color w:val="auto"/>
        </w:rPr>
      </w:pPr>
    </w:p>
    <w:p>
      <w:pPr>
        <w:ind w:left="60" w:right="299"/>
        <w:spacing w:after="0" w:line="260" w:lineRule="auto"/>
        <w:rPr>
          <w:sz w:val="20"/>
          <w:szCs w:val="20"/>
          <w:color w:val="auto"/>
        </w:rPr>
      </w:pPr>
      <w:r>
        <w:rPr>
          <w:rFonts w:ascii="Times New Roman" w:cs="Times New Roman" w:eastAsia="Times New Roman" w:hAnsi="Times New Roman"/>
          <w:sz w:val="18"/>
          <w:szCs w:val="18"/>
          <w:color w:val="auto"/>
        </w:rPr>
        <w:t>Repurchases, if any, including the timing, price and amount, may be made at the discretion of CVR Energy management and CVR Energy is not obligated to make any repurchases. CVR Energy did not repurchase any shares of</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its common stock as of December 31, 2020. Due to the market and oil price volatility, coupled with the current economic conditions, CVR Energy does not currently intend to repurchase any stock if these, and other, conditions continue.</w:t>
      </w:r>
    </w:p>
    <w:p>
      <w:pPr>
        <w:spacing w:after="0" w:line="140"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During 2020, CVR Partners repurchased common units on the open market at a cost of $7 million. As of December 31, 2020, CVR Partners has $3 million remaining under its unit repurchase program. On February 22, 2021, the Board of Directors of CVR Partners authorized an additional $10 million under the unit repurchase program.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Future purchase obligations for our other operating segments are primarily within our Energy and Pharma segments, as discussed in Note 18, “Commitments and Contingencies,” to the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flow information for Icahn Enterprises’ reporting segments and our Holding Company: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00" w:type="dxa"/>
            <w:vAlign w:val="bottom"/>
          </w:tcPr>
          <w:p>
            <w:pPr>
              <w:spacing w:after="0"/>
              <w:rPr>
                <w:sz w:val="15"/>
                <w:szCs w:val="15"/>
                <w:color w:val="auto"/>
              </w:rPr>
            </w:pPr>
          </w:p>
        </w:tc>
        <w:tc>
          <w:tcPr>
            <w:tcW w:w="222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120" w:type="dxa"/>
            <w:vAlign w:val="bottom"/>
          </w:tcPr>
          <w:p>
            <w:pPr>
              <w:spacing w:after="0"/>
              <w:rPr>
                <w:sz w:val="15"/>
                <w:szCs w:val="15"/>
                <w:color w:val="auto"/>
              </w:rPr>
            </w:pPr>
          </w:p>
        </w:tc>
        <w:tc>
          <w:tcPr>
            <w:tcW w:w="226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gridSpan w:val="7"/>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gridSpan w:val="6"/>
          </w:tcPr>
          <w:p>
            <w:pPr>
              <w:jc w:val="center"/>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14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Investing</w:t>
            </w: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140" w:type="dxa"/>
            <w:vAlign w:val="bottom"/>
          </w:tcPr>
          <w:p>
            <w:pPr>
              <w:spacing w:after="0"/>
              <w:rPr>
                <w:sz w:val="10"/>
                <w:szCs w:val="10"/>
                <w:color w:val="auto"/>
              </w:rPr>
            </w:pPr>
          </w:p>
        </w:tc>
        <w:tc>
          <w:tcPr>
            <w:tcW w:w="6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160" w:type="dxa"/>
            <w:vAlign w:val="bottom"/>
          </w:tcPr>
          <w:p>
            <w:pPr>
              <w:spacing w:after="0"/>
              <w:rPr>
                <w:sz w:val="10"/>
                <w:szCs w:val="10"/>
                <w:color w:val="auto"/>
              </w:rPr>
            </w:pPr>
          </w:p>
        </w:tc>
        <w:tc>
          <w:tcPr>
            <w:tcW w:w="7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Investing</w:t>
            </w: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140" w:type="dxa"/>
            <w:vAlign w:val="bottom"/>
          </w:tcPr>
          <w:p>
            <w:pPr>
              <w:spacing w:after="0"/>
              <w:rPr>
                <w:sz w:val="10"/>
                <w:szCs w:val="10"/>
                <w:color w:val="auto"/>
              </w:rPr>
            </w:pPr>
          </w:p>
        </w:tc>
        <w:tc>
          <w:tcPr>
            <w:tcW w:w="8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7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Investing</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1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60" w:type="dxa"/>
            <w:vAlign w:val="bottom"/>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60" w:type="dxa"/>
            <w:vAlign w:val="bottom"/>
          </w:tcPr>
          <w:p>
            <w:pPr>
              <w:spacing w:after="0"/>
              <w:rPr>
                <w:sz w:val="15"/>
                <w:szCs w:val="15"/>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4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60" w:type="dxa"/>
            <w:vAlign w:val="bottom"/>
          </w:tcPr>
          <w:p>
            <w:pPr>
              <w:spacing w:after="0"/>
              <w:rPr>
                <w:sz w:val="15"/>
                <w:szCs w:val="15"/>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Activities</w:t>
            </w:r>
          </w:p>
        </w:tc>
        <w:tc>
          <w:tcPr>
            <w:tcW w:w="140" w:type="dxa"/>
            <w:vAlign w:val="bottom"/>
          </w:tcPr>
          <w:p>
            <w:pPr>
              <w:spacing w:after="0"/>
              <w:rPr>
                <w:sz w:val="15"/>
                <w:szCs w:val="15"/>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4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4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4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(in millions)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432"/>
        </w:trPr>
        <w:tc>
          <w:tcPr>
            <w:tcW w:w="1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Borders>
              <w:lef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$ 1,729</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75"/>
        </w:trPr>
        <w:tc>
          <w:tcPr>
            <w:tcW w:w="182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Segments: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Energy</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20" w:type="dxa"/>
            <w:vAlign w:val="bottom"/>
          </w:tcPr>
          <w:p>
            <w:pPr>
              <w:spacing w:after="0"/>
              <w:rPr>
                <w:sz w:val="18"/>
                <w:szCs w:val="18"/>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Automotive</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Food Packaging</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Metals</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20" w:type="dxa"/>
            <w:vAlign w:val="bottom"/>
          </w:tcPr>
          <w:p>
            <w:pPr>
              <w:spacing w:after="0"/>
              <w:rPr>
                <w:sz w:val="18"/>
                <w:szCs w:val="18"/>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Home Fashion</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Pharma</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Mining</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CCEEFF"/>
            </w:tcBorders>
            <w:gridSpan w:val="4"/>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Other operating</w:t>
            </w: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lef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shd w:val="clear" w:color="auto" w:fill="CCEEFF"/>
          </w:tcPr>
          <w:p>
            <w:pPr>
              <w:spacing w:after="0"/>
              <w:rPr>
                <w:sz w:val="20"/>
                <w:szCs w:val="20"/>
                <w:color w:val="auto"/>
              </w:rPr>
            </w:pPr>
          </w:p>
        </w:tc>
        <w:tc>
          <w:tcPr>
            <w:tcW w:w="18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segments</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w:t>
            </w:r>
          </w:p>
        </w:tc>
      </w:tr>
      <w:tr>
        <w:trPr>
          <w:trHeight w:val="178"/>
        </w:trPr>
        <w:tc>
          <w:tcPr>
            <w:tcW w:w="1820" w:type="dxa"/>
            <w:vAlign w:val="bottom"/>
            <w:gridSpan w:val="5"/>
          </w:tcPr>
          <w:p>
            <w:pPr>
              <w:ind w:left="20"/>
              <w:spacing w:after="0" w:line="177" w:lineRule="exact"/>
              <w:rPr>
                <w:sz w:val="20"/>
                <w:szCs w:val="20"/>
                <w:color w:val="auto"/>
              </w:rPr>
            </w:pPr>
            <w:r>
              <w:rPr>
                <w:rFonts w:ascii="Times New Roman" w:cs="Times New Roman" w:eastAsia="Times New Roman" w:hAnsi="Times New Roman"/>
                <w:sz w:val="18"/>
                <w:szCs w:val="18"/>
                <w:color w:val="auto"/>
              </w:rPr>
              <w:t>Discontinued</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r>
      <w:tr>
        <w:trPr>
          <w:trHeight w:val="191"/>
        </w:trPr>
        <w:tc>
          <w:tcPr>
            <w:tcW w:w="1820" w:type="dxa"/>
            <w:vAlign w:val="bottom"/>
            <w:tcBorders>
              <w:top w:val="single" w:sz="8" w:color="CCEEFF"/>
            </w:tcBorders>
            <w:gridSpan w:val="5"/>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before</w:t>
            </w: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6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5"/>
        </w:trPr>
        <w:tc>
          <w:tcPr>
            <w:tcW w:w="1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(1,458)</w:t>
            </w:r>
          </w:p>
        </w:tc>
      </w:tr>
      <w:tr>
        <w:trPr>
          <w:trHeight w:val="20"/>
        </w:trPr>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425"/>
        </w:trPr>
        <w:tc>
          <w:tcPr>
            <w:tcW w:w="1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300" w:type="dxa"/>
            <w:vAlign w:val="bottom"/>
            <w:tcBorders>
              <w:lef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$ 2,587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discussion of consolidated cash flows below primarily discusses the comparisons between the years ended December 31, 2020 and 2019. Refer to “Management’s Discussion and Analysis of Financial Condition and Results of Operations” in Item 7 of our Annual Report on Form 10-K for the fiscal year ended December 31, 2019, filed on February 28, 2020, which is incorporated by reference herein, for additional discussion of consolidated cash flows for the comparisons between the years ended December 31, 2019 and 2018.</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Eliminations</w:t>
      </w:r>
    </w:p>
    <w:p>
      <w:pPr>
        <w:spacing w:after="0" w:line="22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In addition, during January 2019, our Holding Company sold its direct investment in CVR Refining to CVR Energy, which is included in cash flows from investing activities for our Holding Company and cash flows from financing activities for our Energy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Holding Company</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for interest on senior unsecured notes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for income taxes, net of payments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transactions with subsidiaries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other</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businesses and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CVR Refining common units to CVR Energy</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investments in the Investment Funds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(investments in) distributions from other operating segments</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acquire additional interests in subsidiaries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 transactions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1"/>
        </w:trPr>
        <w:tc>
          <w:tcPr>
            <w:tcW w:w="55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(Decrease) increase in cash and cash equivalents and restricted cash and</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1"/>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decrease in interest payments during 2020 compared to 2019 is due to lower interest rates on certain of our senior unsecured notes due to certain debt refinancings in the first quarter of 2020.</w:t>
      </w:r>
    </w:p>
    <w:p>
      <w:pPr>
        <w:spacing w:after="0" w:line="162"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Net cash receipts for income taxes, net of payments, is net of tax sharing receipts (payments) from certain of our consolidated subsidiaries aggregating $10 million, $(3) million and $27 million during the years ended December 31, 2020, 2019 and 2018, respectively.</w:t>
      </w:r>
    </w:p>
    <w:p>
      <w:pPr>
        <w:spacing w:after="0" w:line="176"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Proceeds from the sale of businesses includes proceeds from the sales Ferrous Resources in 2019, Federal-Mogul, Tropicana and ARI in 2018 and residual sales of American Railcar Leasing LLC’s remaining railcars also in 2018. The cash flows with respect to each of Federal-Mogul, Tropicana and ARI are reported in discontinued operations for all periods presented and the cash proceeds from each of the sales remain with our Holding Company in continuing operations.</w:t>
      </w:r>
    </w:p>
    <w:p>
      <w:pPr>
        <w:spacing w:after="0" w:line="183"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Purchase of investments in 2020 relates to the purchase of an equity investment and a debt investment. Proceeds from the sale of investments in 2020 primarily relates to proceeds from the sale of an equity investment. Proceeds from the sale of investments in 2019 related to the sale of a certain equity investment.</w:t>
      </w:r>
    </w:p>
    <w:p>
      <w:pPr>
        <w:spacing w:after="0" w:line="176"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During 2020 and 2019, we received $102 million and $55 million, respectively, (including $2 million and $1 million, respectively, from our general partner) in connection with our “at-the-market” offering pursuant to our Open Market Sale Agreement announced in May 2019, as discussed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Net (investments in) distributions from the Investment Funds, Net distributions from (investments in) other operating segments and Note (repayment) proceeds from other operating segments are eliminated in consolidation and discussed further below.</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Segment</w:t>
      </w:r>
    </w:p>
    <w:p>
      <w:pPr>
        <w:spacing w:after="0" w:line="22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Our Investment segment’s cash flows from operating activities for the comparable periods were attributable to its net investment transactions.</w:t>
      </w:r>
    </w:p>
    <w:p>
      <w:pPr>
        <w:spacing w:after="0" w:line="162"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Our Investment segment’s cash flows from financing activities for the comparable periods were due to contributions from, and distributions to, our Holding Company, Mr. Icahn and his affiliates and Brett Icahn. Our Investment segment had net cash provided by financing activities of $763 million for the year ended December 31, 2020, including an investment from us of $750 million, net of redemptions, a contribution of $12 million from Brett Icahn in accordance with his manager agreement and $1 million from Mr. Icahn and his affiliates (excluding us). For the year ended December 31, 2019, our Investment segment had net cash provided by financing activities of $220 million, for contributions received from</w:t>
      </w:r>
    </w:p>
    <w:p>
      <w:pPr>
        <w:spacing w:after="0" w:line="5"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Mr. Icahn and his affiliates (excluding us). For the year ended December 31, 2018, our Investment segment had net cash provided by financing activities of $2.0 billion, which included our $1.7 billion net investment in the Investment Funds as well as $310 million received from Mr. Icahn and his affiliates (excluding us).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Operating Segments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flow from operating activities before changes in operating assets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with Holding Company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Turnaround expenditures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debt and supply chain financing activity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Payments to acquire additional interests in consolidated subsidiaries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contributions from (distributions to) Holding Company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restricted cash equivalents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change in cash and restricted cash of assets held for sale</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8"/>
        </w:trPr>
        <w:tc>
          <w:tcPr>
            <w:tcW w:w="5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Increase in cash and cash equivalents and restricted cash and restricted cash</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1"/>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equivalents</w:t>
            </w:r>
          </w:p>
        </w:tc>
        <w:tc>
          <w:tcPr>
            <w:tcW w:w="26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Our other operating segments’ net cash flow from operating activities before changes in operating assets and liabilities were primarily attributable to our Automotive segment’s negative results in 2020 and our Energy segment’s positive results from operations for 2019 and 2018.</w:t>
      </w:r>
    </w:p>
    <w:p>
      <w:pPr>
        <w:spacing w:after="0" w:line="17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Changes in operating assets and liabilities for 2020 were primarily attributable to our Automotive segment resulting from inventory reductions. Changes in operating assets and liabilities for 2019 were primarily attributable to our Energy segment resulting primarily from an increase in accounts payable.</w:t>
      </w:r>
    </w:p>
    <w:p>
      <w:pPr>
        <w:spacing w:after="0" w:line="17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Capital expenditures are primarily from our Energy and Automotive segments and are primarily for maintenance. Refer to Note 13, “Segment and Geographic Reporting,” for capital expenditures reported for each of our segments. Capital expenditures decreased in 2020 compared to 2019 due to a reduction in capital expenditures at our Metals segment resulting from a reduction in growth expenditures and due to a reduction at our Automotive segment due to fewer stores requiring maintenance expenditures. Turnaround expenditures relates to our Energy segment, which increased in 2020 due to planned maintenance at one of its refineries.</w:t>
      </w:r>
    </w:p>
    <w:p>
      <w:pPr>
        <w:spacing w:after="0" w:line="187" w:lineRule="exact"/>
        <w:rPr>
          <w:sz w:val="20"/>
          <w:szCs w:val="20"/>
          <w:color w:val="auto"/>
        </w:rPr>
      </w:pPr>
    </w:p>
    <w:p>
      <w:pPr>
        <w:ind w:left="60" w:right="159" w:firstLine="324"/>
        <w:spacing w:after="0" w:line="277" w:lineRule="auto"/>
        <w:rPr>
          <w:sz w:val="20"/>
          <w:szCs w:val="20"/>
          <w:color w:val="auto"/>
        </w:rPr>
      </w:pPr>
      <w:r>
        <w:rPr>
          <w:rFonts w:ascii="Times New Roman" w:cs="Times New Roman" w:eastAsia="Times New Roman" w:hAnsi="Times New Roman"/>
          <w:sz w:val="17"/>
          <w:szCs w:val="17"/>
          <w:color w:val="auto"/>
        </w:rPr>
        <w:t>Acquisition of businesses, net of cash acquired, primarily relates to our Automotive segment. Our Automotive segment’s acquisitions included various service businesses aggregating $2 million in 2020, $10 million in 2019 and $15 million in 2018. In addition, our Home Fashion and Metals segments acquired businesses for $21 million and $8 million, respectively, in 2019. During 2020, Vivus’ emergence from bankruptcy included $12 million of cash acquired reported for our Pharma segment with the cash portion of the consideration paid included in the Holding Company discussion above.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Purchases of investments primarily relates to our Energy segment’s purchase of an equity investment in 2020 and our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Automotive segment’s investments in 767 Leasing in 2019 and 2018. Proceeds from sale of investments relates to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Automotive segment’s cash received from 767 Leasing in 2020.</w:t>
      </w:r>
    </w:p>
    <w:p>
      <w:pPr>
        <w:spacing w:after="0" w:line="207"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Proceeds from sale of assets are primarily due to our Automotive and Real Estate segments in 2020, our Energy segment in 2019 and our Real Estate segment’s dispositions of certain properties in 2018.</w:t>
      </w:r>
    </w:p>
    <w:p>
      <w:pPr>
        <w:spacing w:after="0" w:line="162"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were from our Energy segment for the years ended December 31, 2020, 2019 and 2018, relating to its regular quarterly dividends and distributions, excluding payments made to us. Due to the current economic conditions, our Energy segment only paid dividends in 2020 relating to the fourth quarter of 2019 and a reduced dividend relating to the first quarter of 2020.</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Net payments to acquire additional interests in consolidated subsidiaries relates to our Energy segment’s acquisition of the remaining common units of CVR Refining during 2019, which includes $60 million paid to us for our direct investment in CVR Refining.</w:t>
      </w:r>
    </w:p>
    <w:p>
      <w:pPr>
        <w:spacing w:after="0" w:line="176"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7"/>
          <w:szCs w:val="17"/>
          <w:color w:val="auto"/>
        </w:rPr>
        <w:t>Net contributions from and distributions to our Holding Company include the dividends and distributions paid by our Energy segment of $85 million, $217 million and $192 million for the years ended December 31, 2020, 2019 and 2018, respectively, as well as by our Real Estate segment of $68 million, $24 million and $543 million, respectively, and by our Automotive segment of $75 million in 2020. During the years ended December 31, 2020, 2019 and 2018, our Automotive segment received funds in the form of investments from our Holding Company of $115 million, $276 million and $365 million, respectively, primarily for the acquisition of businesses, investments in 767 Leasing and costs associated with our Automotive segment’s multi-year transformation plan. During 2020, our Food Packaging segment received funds in the amount of $100 million in connection with Viskase’s equity private placement in October 2020. Our other operating segments received funds in the form of loans and investments from our Holding Company aggregating $23 million, $17 million and $34 million during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Capital Spending</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Refer to Note 13, “Segment and Geographic Reporting,” for a reconciliation of our segments’ capital expenditures to consolidated capital expenditures for each of the years ended December 31, 2020, 2019 and 2018. In addition, our Energy segment had turnaround expenditures of $159 million, $38 million and $8 million during the years ended December 31, 2020, 2019 and 2018, respectively, which is reported separately from capital expenditures.</w:t>
      </w:r>
    </w:p>
    <w:p>
      <w:pPr>
        <w:spacing w:after="0" w:line="18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For 2021, we estimate our consolidated capital expenditures to be approximately $215 million to $230 million for our Energy segment, for both maintenance and growth, including $95 million to $100 million for our Energy segments’ renewable diesel unit capital expenditures, $89 million for our Automotive segment, primarily for maintenance and restructuring related activities, and approximately $48 million in the aggregate for all other segments. Our Energy segment also expects its turnaround expenditures to be approximately $18 million to $19 million in 2021.</w:t>
      </w:r>
    </w:p>
    <w:p>
      <w:pPr>
        <w:spacing w:after="0" w:line="183" w:lineRule="exact"/>
        <w:rPr>
          <w:sz w:val="20"/>
          <w:szCs w:val="20"/>
          <w:color w:val="auto"/>
        </w:rPr>
      </w:pPr>
    </w:p>
    <w:p>
      <w:pPr>
        <w:ind w:left="60" w:right="179" w:firstLine="324"/>
        <w:spacing w:after="0" w:line="289" w:lineRule="auto"/>
        <w:rPr>
          <w:sz w:val="20"/>
          <w:szCs w:val="20"/>
          <w:color w:val="auto"/>
        </w:rPr>
      </w:pPr>
      <w:r>
        <w:rPr>
          <w:rFonts w:ascii="Times New Roman" w:cs="Times New Roman" w:eastAsia="Times New Roman" w:hAnsi="Times New Roman"/>
          <w:sz w:val="17"/>
          <w:szCs w:val="17"/>
          <w:color w:val="auto"/>
        </w:rPr>
        <w:t>In addition, our Energy segment approved a renewable diesel project at one of its refineries, which would convert the refinery’s hydrocracker to a renewable diesel unit capable of producing 100 million gallons of renewable diesel per year. The total estimated costs for the project are currently $110 million and completion of the project is expected in June 2021.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spacing w:after="0" w:line="192"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believe the following accounting estimates are critical to our business operations and the understanding of results of operations and affect the more significant judgments and estimates used in the preparation of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spacing w:after="0" w:line="176"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176"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Management periodically evaluates all evidence, both positive and negative, in determining whether a valuation allowance to reduce the carrying value of deferred tax assets is still needed. For each of December 31, 2020 and 2019, we concluded, based on the projections of taxable income, that certain of our corporate subsidiaries more likely than not will realize a partial benefit from their deferred tax assets and loss carry forwards. Ultimate realization of the deferred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tax assets is dependent upon, among other factors, our corporate subsidiaries’ ability to generate sufficient taxable income within the carryforward periods and is subject to change depending on the tax laws in effect in the years in which the carryforwards are used.</w:t>
      </w:r>
    </w:p>
    <w:p>
      <w:pPr>
        <w:spacing w:after="0" w:line="176"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See Note 15, “Income Taxes,” to the consolidated financial statements for further discussion regarding our income taxes.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judgment.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and Goodwill</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We calculate depreciation and amortization on a straight-line basis over the estimated useful lives of the various definite-lived assets. When assets are placed in service, we make estimates of what we believe are their reasonable useful lives.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Long-lived assets held and used by our various operating segments and long-lived assets to be disposed of are reviewed for impairment whenever events or changes in circumstances indicate a possible significant deterioration in future expected cash flows that could result in the carrying amount of an asset not being recoverable. In performing the review for recoverability, we estimate the future cash flows expected to result from the remaining useful life of the asset and its eventual disposition. Assumptions used in the review of recoverability require the exercise of significant judgment, including judgment about terminal values, growth rates, and the amount and timing of expected future cash flows. The forecasted cash flows are based on current plans and for years beyond that plan, the estimates are based on assumed growth rates. If the sum of the estimated future cash flows, undiscounted and without interest charges, is less than the carrying amount of the asset, a fair value assessment is performed. If the carrying amount of the asset exceeds its fair value, an impairment loss is recognized in accordance with U.S. GAAP. Similarly, long-lived assets to be disposed of are reported at the lower of carrying amount or fair value less cost to sell. As of December 31, 2020, our long-lived assets did not have any impairment indicators. However, during the second quarter of 2020, two primary products of our Energy segment’s nitrogen fertilizer business experienced significant pricing declines resulting from the broader economic conditions caused by the COVID-19 pandemic. There was significant uncertainty as to the nature and extent of the impacts on the overall demand for corn and soybean given reduced ethanol production and broader economic conditions which could negatively impact demand for its products. As a result, we evaluated the long-lived assets of our Energy Segment’s nitrogen fertilizer business to determine if the carrying value of the asset group exceeded its recoverability. Based on our assessment, which included estimating the recoverability of the asset group using an undiscounted cash flow model, we determined that the recoverability of the asset group was significantly in excess of its carrying value and no impairment was necessary.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0" w:right="359" w:firstLine="324"/>
        <w:spacing w:after="0" w:line="277" w:lineRule="auto"/>
        <w:rPr>
          <w:sz w:val="20"/>
          <w:szCs w:val="20"/>
          <w:color w:val="auto"/>
        </w:rPr>
      </w:pPr>
      <w:r>
        <w:rPr>
          <w:rFonts w:ascii="Times New Roman" w:cs="Times New Roman" w:eastAsia="Times New Roman" w:hAnsi="Times New Roman"/>
          <w:sz w:val="17"/>
          <w:szCs w:val="17"/>
          <w:color w:val="auto"/>
        </w:rPr>
        <w:t>Indefinite-lived intangible assets, such as goodwill and trademarks, held by our various segments are reviewed for impairment annually, or more frequently if impairment indicators exist. Goodwill impairment testing consists of (i) a qualitative analysis to determine whether it is more likely than not that the fair value of a reporting unit is less than its carrying amount, including goodwill, and/or, if necessary, (ii) a quantitative analysis which involves comparing the fair value of our reporting units to their respective carrying values. If the fair value of the reporting unit exceeds its carrying</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value, no impairment is necessary. If the carrying amount of the reporting unit exceeds its fair value, an impairment loss, equal to the difference (limited to the total amount of goodwill allocated to the tested reporting unit), is recognized in accordance with U.S. GAAP. As of December 31, 2020, our consolidated goodwill was $298 million, primarily within our Automotive segment’s Service reporting unit. We perform the annual goodwill impairment test for our Automotive segment as of October 1 of each year. Based on our annual goodwill impairment analysis for our Automotive segment, we determined that the fair value of our Automotive segment’s Service reporting unit was significantly in excess of its carrying value and therefore, no impairment is required. As of December 31, 2020, our Automotive segment had remaining goodwill of $254 million, which is allocated entirely to its Service reporting unit.</w:t>
      </w:r>
    </w:p>
    <w:p>
      <w:pPr>
        <w:spacing w:after="0" w:line="19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 The inputs used to determine the fair values of our reporting units, including future cash flows, discount rates and growth rates and other assumptions involves a significant degree of judgment.</w:t>
      </w:r>
    </w:p>
    <w:p>
      <w:pPr>
        <w:spacing w:after="0" w:line="190"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See Note 5, “Fair Value Measurements,” and Note 9, “Goodwill and Intangible Assets, Net,” to the consolidated financial statements for further discussion regarding the fair value measurements of our long-live assets as well as goodwill and intangible assets.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See Note 2, “Basis of Presentation and Summary of Significant Accounting Policies,” to the consolidated financial statements for a discussion of recent accounting pronouncements applicable to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consolidated balance sheets include substantial amounts of assets and liabilities whose fair values are subject to market risks. Our significant market risks are primarily associated with equity prices, commodity prices, interest rates and foreign currency exchange rates as discussed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Our predominant exposure to equity price risk is related to our Investment segment and the sensitivities to movements in the fair value of the Investment Funds’ investments.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in our consolidated balance sheets. Based on their respective balances as of December 31, 2020, we estimate that in the event of a 10% adverse change in the fair value of these investments, the fair values of securities owned, securities sold, not yet purchased and derivatives would decrease by approximately $824 million, $252 million and $1.3 billion, respectively. However, as of December 31, 2020, we estimate that the impact to our share of the net gain (loss) from investment activities reported in our consolidated statements of operations would be less than the change in fair value since we have an investment of approximately 46% in the Investment Funds, and the non-controlling interests in income would correspondingly offset approximately 54% of the change in fair value. As of December 31, 2019, we estimated that in the event of a 10% adverse change in the fair value of these investments, the fair values of securities owned, securities sold, not yet purchased and derivatives would decrease by approximately $921 million, $119 million and $1.8 billion, respectively and as of December 31, 2019, our investment in the Investment Funds was 49%.</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2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Fluctuations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18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Based on sensitivity analysis for our equity price risks as of December 31, 2020, the effect of a hypothetical 10% adverse change in market prices would result in loss of approximately $35 million for our Holding Company. As of December 31, 2019, such hypothetical loss was approximately $39 million. The selected hypothetical change does not reflect what could be considered the best- or worst-case scenarios as results could be far worse due to the nature of equity markets.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CVR Refining, as a manufacturer of refined petroleum products, and CVR Partners, as a manufacturer of nitrogen fertilizer products, all of which are commodities, have exposure to market pricing for products sold in the future. In order to realize value from our Energy segment’s processing capacity, a positive spread between the cost of raw</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materials and the value of finished products must be achieved (i.e., gross margin or crack spread). The physical commodities that comprise our raw materials and finished goods are typically bought and sold at a spot or index price that can be highly variable.</w:t>
      </w:r>
    </w:p>
    <w:p>
      <w:pPr>
        <w:spacing w:after="0" w:line="1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Our Energy segment’s petroleum business uses a crude oil purchasing intermediary, Vitol,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With regard to its hedging activities, CVR Refining may enter into, or has entered into, derivative instruments which serve to: lock in or fix a percentage of the anticipated or planned gross margin in future periods when the derivative market offers commodity spreads that generate positive cash flows; hedge the value of inventories in excess of minimum required inventories; and manage existing derivative positions related to a change in anticipated operations and market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predominant exposure to interest rate risk is related to our operating subsidiaries.</w:t>
      </w:r>
    </w:p>
    <w:p>
      <w:pPr>
        <w:spacing w:after="0" w:line="225"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Our operating subsidiaries have variable rate debt with a principal amount outstanding aggregating $533 million as of December 31, 2020, including $350 million for our Automotive segment and $150 million for our Food Packaging segment. A 1.0% increase in interest rates would increase interest expense by approximately $5 million on an annualized basis, thus decreasing net income by the same amount. Additionally, as of December 31, 2020, our operating segments have additional borrowing availability subject to variable interest rates aggregating $586 million, which if outstanding, would increase our operating segments’ exposure to changes in interest rates.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Certain of our subsidiaries operate in foreign jurisdictions and we transact business in foreign currencies. In addition, we may hold investments in common stocks of major multinational companies who have significant foreign business and foreign currency risk of their own. Our net assets subject to financial statement translation into U.S. Dollars are primarily in our Food Packaging segment.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Viskase has foreign currency exposures related to buying, selling, and financing in currencies other than the local currencies in which they operate. Viskase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Viskase’s financial condition. Viskase recorded translation gains (losses) in accumulated other comprehensive loss of $3 million and $(3) million for the years ended December 31, 2020 and 2019, respectively, and recorded translation (losses) gains in earnings of $(5) million and $(4) million for the years ended December 31, 2020 and 2019,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and the Investment Funds are subject to certain inherent risks through our investments.</w:t>
      </w:r>
    </w:p>
    <w:p>
      <w:pPr>
        <w:spacing w:after="0" w:line="22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we monitor the credit quality of such counterparty and seek to do business with creditworthy counterparties. Counterparty risk is monitored by obtaining and reviewing public information filed by the counterparties and others.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Compliance Program Price Risk</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As a producer of transportation fuels from petroleum, our Energy segment’s petroleum business is required to blend biofuels into the product it produces or to purchase RINs in the open market in lieu of blending to meet the mandates established by the EPA. CVR Refining is exposed to market risk related to volatility in the price of RINs needed to comply with the Renewable Fuel Standards. To mitigate the impact of this risk on our Energy segment’s results of operations and cash flows, CVR Refining purchased RINs when prices are deemed favorable. See Note 18, “Commitments and Contingencies,” to the consolidated financial statements for further discussion about compliance with the Renewable Fuel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Partners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Icahn Enterprises L.P.</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Icahn Enterprises L.P. (a Delaware limited partnership) and subsidiaries (the “Partnership”) as of December 31, 2020 and 2019, the related consolidated statements of operations, comprehensive income, changes in equity, and cash flows for each of the three years in the period ended December 31, 2020, and the related notes and financial statement schedule included under Item 15(a) (collectively referred to as the “financial statements”). In our opinion, the financial statements present fairly, in all material respects, the financial position of the Partnership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Partnership’s internal control over financial reporting as of December 31, 2020,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26, 2021 expressed an unqualified opinion</w:t>
      </w:r>
      <w:r>
        <w:rPr>
          <w:rFonts w:ascii="Times New Roman" w:cs="Times New Roman" w:eastAsia="Times New Roman" w:hAnsi="Times New Roman"/>
          <w:sz w:val="18"/>
          <w:szCs w:val="18"/>
          <w:color w:val="0000FF"/>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 impairment assessment</w:t>
      </w:r>
    </w:p>
    <w:p>
      <w:pPr>
        <w:spacing w:after="0" w:line="11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described further in Note 2 of the Partnership’s consolidated financial statements, long-lived assets are reviewed for impairment whenever events or changes in circumstances indicate that the carrying amount of an asset group may not be recoverable. In the quarter ended June 30, 2020, the Partnership identified a triggering event at the Coffeyville nitrogen fertilizer plant (“Coffeyville Asset Group”) in the Partnership’s Energy segment. At June 30, 2020, the carrying value of the Coffeyville Asset Group was $703 million. In performing the test for recoverability, management estimated the undiscounted future cash flows expected to result from the use of the asset and its disposition, which included assumptions related to the remaining useful life of the Coffeyville Asset Group’s primary asset, cash flow forecasts using estimates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future nitrogen fertilizer pricing, volumes sold, costs incurred for key process inputs, other operating expenses, long-term growth rates and the estimated disposition value. As a result of the recoverability test, the Partnership concluded that the future undiscounted cash flows of the Coffeyville Asset Group exceeded the carrying amount and no impairment was recorded.</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identified the long-lived asset impairment assessment of the Coffeyville Asset Group as a critical audit matter because of the degree of subjectivity inherent in determining management’s estimates noted above, which required significant auditor judgment in obtaining sufficient appropriate audit evidence.</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long-lived asset impairment assessment of the Coffeyville Asset Group included the following, among others.</w:t>
      </w:r>
    </w:p>
    <w:p>
      <w:pPr>
        <w:spacing w:after="0" w:line="162" w:lineRule="exact"/>
        <w:rPr>
          <w:sz w:val="20"/>
          <w:szCs w:val="20"/>
          <w:color w:val="auto"/>
        </w:rPr>
      </w:pPr>
    </w:p>
    <w:p>
      <w:pPr>
        <w:ind w:left="720" w:right="13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certain internal controls relating to management’s long-lived asset impairment evaluation, including identification of indicators that an asset group may not be recoverable and review of assumptions in the estimated future cash flows when indicators of impairment exist.</w:t>
      </w:r>
    </w:p>
    <w:p>
      <w:pPr>
        <w:spacing w:after="0" w:line="175" w:lineRule="exact"/>
        <w:rPr>
          <w:rFonts w:ascii="Times New Roman" w:cs="Times New Roman" w:eastAsia="Times New Roman" w:hAnsi="Times New Roman"/>
          <w:sz w:val="18"/>
          <w:szCs w:val="18"/>
          <w:color w:val="auto"/>
        </w:rPr>
      </w:pPr>
    </w:p>
    <w:p>
      <w:pPr>
        <w:ind w:left="720" w:right="45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identification of a triggering event by considering the current market conditions following the completion of the spring planting season as well as the economic uncertainty surrounding the COVID-19 pandemic.</w:t>
      </w:r>
    </w:p>
    <w:p>
      <w:pPr>
        <w:spacing w:after="0" w:line="17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future nitrogen fertilizer pricing assumptions by comparing the prices used by management to current industry and economic trends such as the impacts of the COVID-19 pandemic as well as comparing those prices to the historical performance of the Coffeyville Asset Group, performed sensitivity analyses to evaluate the change in the cash flow estimates, and recalculated management’s estimates.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forecasted sales volumes and expenses to historical operating results.</w:t>
      </w:r>
    </w:p>
    <w:p>
      <w:pPr>
        <w:spacing w:after="0" w:line="225"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recalculated the carrying amount of the Coffeyville Asset Group, tested the mathematical accuracy of the undiscounted cash flow model and management’s determination of the remaining useful life of the primary asset.</w:t>
      </w:r>
    </w:p>
    <w:p>
      <w:pPr>
        <w:spacing w:after="0" w:line="16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professionals with specialized skills and knowledge, we evaluated the valuation methodologies utilized by management and the significant assumptions, including the long-term growth rates and methodology used in estimating the disposition value.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Partnership’s auditor since 2004.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Partners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Icahn Enterprises Holdings L.P.</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Icahn Enterprises Holdings L.P. (a Delaware limited partnership) and subsidiaries (the “Partnership”) as of December 31, 2020 and 2019, the related consolidated statements of operations, comprehensive income, changes in equity, and cash flows for each of the three years in the period ended December 31, 2020, and the related notes and financial statement schedule included under Item 15(a) (collectively referred to as the “financial statements”). In our opinion, the financial statements present fairly, in all material respects, the financial position of the Partnership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 impairment assessment</w:t>
      </w:r>
    </w:p>
    <w:p>
      <w:pPr>
        <w:spacing w:after="0" w:line="11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described further in Note 2 of the Partnership’s consolidated financial statements, long-lived assets are reviewed for impairment whenever events or changes in circumstances indicate that the carrying amount of an asset group may not be recoverable. In the quarter ended June 30, 2020, the Partnership identified a triggering event at the Coffeyville nitrogen fertilizer plant (“Coffeyville Asset Group”) in the Partnership’s Energy segment. At June 30, 2020, the carrying value of the Coffeyville Asset Group was $703 million. In performing the test for recoverability, management estimated the undiscounted future cash flows expected to result from the use of the asset and its disposition, which included assumptions related to the remaining useful life of the Coffeyville Asset Group’s primary asset, cash flow forecasts using estimates of future nitrogen fertilizer pricing, volumes sold, costs incurred for key process inputs, other operating expenses, long-term growth rates and the estimated disposition value. As a result of the recoverability test, the Partnership concluded that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future undiscounted cash flows of the Coffeyville Asset Group exceeded the carrying amount and no impairment was recorded.</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identified the long-lived asset impairment assessment of the Coffeyville Asset Group as a critical audit matter because of the degree of subjectivity inherent in determining management’s estimates noted above, which required significant auditor judgment in obtaining sufficient appropriate audit evidence.</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long-lived asset impairment assessment of the Coffeyville Asset Group included the following, among others.</w:t>
      </w:r>
    </w:p>
    <w:p>
      <w:pPr>
        <w:spacing w:after="0" w:line="364" w:lineRule="exact"/>
        <w:rPr>
          <w:sz w:val="20"/>
          <w:szCs w:val="20"/>
          <w:color w:val="auto"/>
        </w:rPr>
      </w:pPr>
    </w:p>
    <w:p>
      <w:pPr>
        <w:ind w:left="720" w:right="139" w:hanging="319"/>
        <w:spacing w:after="0" w:line="266" w:lineRule="auto"/>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tested the design and operating effectiveness of certain internal controls relating to management’s long-lived asset impairment evaluation, including identification of indicators that an asset group may not be recoverable and review of assumptions in the estimated future cash flows when indicators of impairment exist.</w:t>
      </w:r>
    </w:p>
    <w:p>
      <w:pPr>
        <w:spacing w:after="0" w:line="175" w:lineRule="exact"/>
        <w:rPr>
          <w:rFonts w:ascii="Times New Roman" w:cs="Times New Roman" w:eastAsia="Times New Roman" w:hAnsi="Times New Roman"/>
          <w:sz w:val="16"/>
          <w:szCs w:val="16"/>
          <w:color w:val="auto"/>
        </w:rPr>
      </w:pPr>
    </w:p>
    <w:p>
      <w:pPr>
        <w:ind w:left="720" w:right="45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identification of a triggering event by considering the current market conditions following the completion of the spring planting season as well as the economic uncertainty surrounding the COVID-19 pandemic.</w:t>
      </w:r>
    </w:p>
    <w:p>
      <w:pPr>
        <w:spacing w:after="0" w:line="17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future nitrogen fertilizer pricing assumptions by comparing the prices used by management to current industry and economic trends such as the impacts of the COVID-19 pandemic as well as comparing those prices to the historical performance of the Coffeyville Asset Group, performed sensitivity analyses to evaluate the change in the cash flow estimates, and recalculated management’s estimates.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forecasted sales volumes and expenses to historical operating results.</w:t>
      </w:r>
    </w:p>
    <w:p>
      <w:pPr>
        <w:spacing w:after="0" w:line="225"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recalculated the carrying amount of the Coffeyville Asset Group, tested the mathematical accuracy of the undiscounted cash flow model and management’s determination of the remaining useful life of the primary asset.</w:t>
      </w:r>
    </w:p>
    <w:p>
      <w:pPr>
        <w:spacing w:after="0" w:line="16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professionals with specialized skills and knowledge, we evaluated the valuation methodologies utilized by management and the significant assumptions, including the long-term growth rates and methodology used in estimating the disposition value.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Partnership’s auditor since 2004.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 except</w:t>
            </w:r>
          </w:p>
        </w:tc>
        <w:tc>
          <w:tcPr>
            <w:tcW w:w="1080" w:type="dxa"/>
            <w:vAlign w:val="bottom"/>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color w:val="auto"/>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2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 contracts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 contracts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brokers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241,338,835 units issued and outstanding at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2020 and 214,078,558 units issued and outstanding at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2019</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40" w:type="dxa"/>
            <w:vAlign w:val="bottom"/>
            <w:gridSpan w:val="4"/>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40" w:type="dxa"/>
            <w:vAlign w:val="bottom"/>
            <w:gridSpan w:val="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color w:val="auto"/>
                <w:w w:val="95"/>
              </w:rPr>
              <w:t>(In millions,</w:t>
            </w:r>
          </w:p>
        </w:tc>
        <w:tc>
          <w:tcPr>
            <w:tcW w:w="9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except per unit</w:t>
            </w:r>
          </w:p>
        </w:tc>
        <w:tc>
          <w:tcPr>
            <w:tcW w:w="1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gain on disposition of assets,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 income, net</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goods sold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Restructuring, net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 benefit (expense)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Icahn Enterprises</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Icahn Enterprises from:</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Continuing operations</w:t>
            </w:r>
          </w:p>
        </w:tc>
        <w:tc>
          <w:tcPr>
            <w:tcW w:w="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Discontinued operations</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Icahn Enterprises allocated to:</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Limited partners</w:t>
            </w:r>
          </w:p>
        </w:tc>
        <w:tc>
          <w:tcPr>
            <w:tcW w:w="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income per LP unit: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Continuing operations</w:t>
            </w:r>
          </w:p>
        </w:tc>
        <w:tc>
          <w:tcPr>
            <w:tcW w:w="8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Discontinued operations</w:t>
            </w: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income per LP unit</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distributions declared per LP unit</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98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8060" w:type="dxa"/>
            <w:vAlign w:val="bottom"/>
            <w:gridSpan w:val="7"/>
          </w:tcPr>
          <w:p>
            <w:pPr>
              <w:ind w:left="14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28"/>
        </w:trPr>
        <w:tc>
          <w:tcPr>
            <w:tcW w:w="5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3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(2,468)</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 adjustments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benefits and other</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4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197"/>
        </w:trPr>
        <w:tc>
          <w:tcPr>
            <w:tcW w:w="5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 allocated to:</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(1,621)</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216"/>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09"/>
        </w:trPr>
        <w:tc>
          <w:tcPr>
            <w:tcW w:w="58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20" w:type="dxa"/>
            <w:vAlign w:val="bottom"/>
            <w:gridSpan w:val="10"/>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20" w:type="dxa"/>
            <w:vAlign w:val="bottom"/>
            <w:gridSpan w:val="11"/>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CHANGES IN EQUITY</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 Attributable to Icahn Enterprises</w:t>
            </w:r>
          </w:p>
        </w:tc>
        <w:tc>
          <w:tcPr>
            <w:tcW w:w="10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General</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Partners’</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00" w:type="dxa"/>
            <w:vAlign w:val="bottom"/>
          </w:tcPr>
          <w:p>
            <w:pPr>
              <w:spacing w:after="0"/>
              <w:rPr>
                <w:sz w:val="20"/>
                <w:szCs w:val="20"/>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12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11"/>
              <w:spacing w:after="0" w:line="129" w:lineRule="exact"/>
              <w:rPr>
                <w:sz w:val="20"/>
                <w:szCs w:val="20"/>
                <w:color w:val="auto"/>
              </w:rPr>
            </w:pPr>
            <w:r>
              <w:rPr>
                <w:rFonts w:ascii="Times New Roman" w:cs="Times New Roman" w:eastAsia="Times New Roman" w:hAnsi="Times New Roman"/>
                <w:sz w:val="14"/>
                <w:szCs w:val="14"/>
                <w:color w:val="auto"/>
                <w:w w:val="99"/>
              </w:rPr>
              <w:t>(In millions)</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198"/>
        </w:trPr>
        <w:tc>
          <w:tcPr>
            <w:tcW w:w="2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Cumulative effect adjustment from</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adoption of accounting principle</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2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Changes in subsidiary equity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(567)</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0" w:type="dxa"/>
            <w:vAlign w:val="bottom"/>
          </w:tcPr>
          <w:p>
            <w:pPr>
              <w:spacing w:after="0"/>
              <w:rPr>
                <w:sz w:val="1"/>
                <w:szCs w:val="1"/>
                <w:color w:val="auto"/>
              </w:rPr>
            </w:pPr>
          </w:p>
        </w:tc>
      </w:tr>
      <w:tr>
        <w:trPr>
          <w:trHeight w:val="20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8"/>
        </w:trPr>
        <w:tc>
          <w:tcPr>
            <w:tcW w:w="2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Changes in subsidiary equity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0" w:type="dxa"/>
            <w:vAlign w:val="bottom"/>
          </w:tcPr>
          <w:p>
            <w:pPr>
              <w:spacing w:after="0"/>
              <w:rPr>
                <w:sz w:val="1"/>
                <w:szCs w:val="1"/>
                <w:color w:val="auto"/>
              </w:rPr>
            </w:pPr>
          </w:p>
        </w:tc>
      </w:tr>
      <w:tr>
        <w:trPr>
          <w:trHeight w:val="20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2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Changes in subsidiary equity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r>
      <w:tr>
        <w:trPr>
          <w:trHeight w:val="128"/>
        </w:trPr>
        <w:tc>
          <w:tcPr>
            <w:tcW w:w="5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3"/>
                <w:szCs w:val="13"/>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8"/>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46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36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r>
      <w:tr>
        <w:trPr>
          <w:trHeight w:val="14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income to net cash (used in) provided by operating activities: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8"/>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(income) from discontinued operations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(1,764)</w:t>
            </w:r>
          </w:p>
        </w:tc>
      </w:tr>
      <w:tr>
        <w:trPr>
          <w:trHeight w:val="148"/>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 (gain) from securities transactions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r>
      <w:tr>
        <w:trPr>
          <w:trHeight w:val="149"/>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Purchases of securities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(4,810)</w:t>
            </w:r>
          </w:p>
        </w:tc>
      </w:tr>
      <w:tr>
        <w:trPr>
          <w:trHeight w:val="148"/>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sales of securities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6,763</w:t>
            </w:r>
          </w:p>
        </w:tc>
      </w:tr>
      <w:tr>
        <w:trPr>
          <w:trHeight w:val="148"/>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 to cover securities sold, not yet purchased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w:t>
            </w:r>
          </w:p>
        </w:tc>
      </w:tr>
      <w:tr>
        <w:trPr>
          <w:trHeight w:val="148"/>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securities sold, not yet purchased</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w:t>
            </w:r>
          </w:p>
        </w:tc>
      </w:tr>
      <w:tr>
        <w:trPr>
          <w:trHeight w:val="148"/>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receivables and payables relating to securities transactions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r>
      <w:tr>
        <w:trPr>
          <w:trHeight w:val="148"/>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Changes in unrealized gains/losses on derivative contracts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w:t>
            </w:r>
          </w:p>
        </w:tc>
      </w:tr>
      <w:tr>
        <w:trPr>
          <w:trHeight w:val="149"/>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(gain) on disposition of assets, net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48"/>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w:t>
            </w:r>
          </w:p>
        </w:tc>
      </w:tr>
      <w:tr>
        <w:trPr>
          <w:trHeight w:val="148"/>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Impairment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48"/>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taxes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48"/>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49"/>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Changes in other operating assets and liabilities: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8"/>
        </w:trPr>
        <w:tc>
          <w:tcPr>
            <w:tcW w:w="56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receivable, net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48"/>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Inventories, net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48"/>
        </w:trPr>
        <w:tc>
          <w:tcPr>
            <w:tcW w:w="56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 assets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r>
      <w:tr>
        <w:trPr>
          <w:trHeight w:val="148"/>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49"/>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42"/>
        </w:trPr>
        <w:tc>
          <w:tcPr>
            <w:tcW w:w="5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cash (used in) provided by operating activities from continuing operations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(1,460)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444</w:t>
            </w:r>
          </w:p>
        </w:tc>
      </w:tr>
      <w:tr>
        <w:trPr>
          <w:trHeight w:val="148"/>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cash provided by operating activities from discontinued operations</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w:t>
            </w:r>
          </w:p>
        </w:tc>
      </w:tr>
      <w:tr>
        <w:trPr>
          <w:trHeight w:val="142"/>
        </w:trPr>
        <w:tc>
          <w:tcPr>
            <w:tcW w:w="5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provided by operating activities</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(416)</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(1,460)</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923</w:t>
            </w:r>
          </w:p>
        </w:tc>
      </w:tr>
      <w:tr>
        <w:trPr>
          <w:trHeight w:val="142"/>
        </w:trPr>
        <w:tc>
          <w:tcPr>
            <w:tcW w:w="56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r>
      <w:tr>
        <w:trPr>
          <w:trHeight w:val="148"/>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Turnaround expenditures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4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48"/>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investments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4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 of investments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8"/>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disposition of businesses and assets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3,370</w:t>
            </w:r>
          </w:p>
        </w:tc>
      </w:tr>
      <w:tr>
        <w:trPr>
          <w:trHeight w:val="14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net</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42"/>
        </w:trPr>
        <w:tc>
          <w:tcPr>
            <w:tcW w:w="568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Net cash (used in) provided by investing activities from continuing operations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(581)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586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3,024</w:t>
            </w:r>
          </w:p>
        </w:tc>
      </w:tr>
      <w:tr>
        <w:trPr>
          <w:trHeight w:val="14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investing activities from discontinued operations</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r>
      <w:tr>
        <w:trPr>
          <w:trHeight w:val="142"/>
        </w:trPr>
        <w:tc>
          <w:tcPr>
            <w:tcW w:w="56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(581)</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586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2,587</w:t>
            </w:r>
          </w:p>
        </w:tc>
      </w:tr>
      <w:tr>
        <w:trPr>
          <w:trHeight w:val="142"/>
        </w:trPr>
        <w:tc>
          <w:tcPr>
            <w:tcW w:w="5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8"/>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Investment segment contributions from non-controlling interests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r>
      <w:tr>
        <w:trPr>
          <w:trHeight w:val="14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Partnership contributions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Partnership distributions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4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additional interests in consolidated subsidiaries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49"/>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Dividends and distributions to non-controlling interests in subsidiaries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4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Holding Company senior unsecured notes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Repayments of Holding Company senior unsecured notes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subsidiary borrowings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1,268</w:t>
            </w:r>
          </w:p>
        </w:tc>
      </w:tr>
      <w:tr>
        <w:trPr>
          <w:trHeight w:val="148"/>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Repayments of subsidiary borrowings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w:t>
            </w:r>
          </w:p>
        </w:tc>
      </w:tr>
      <w:tr>
        <w:trPr>
          <w:trHeight w:val="14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net</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42"/>
        </w:trPr>
        <w:tc>
          <w:tcPr>
            <w:tcW w:w="568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Net cash (used in) provided by financing activities from continuing operations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566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w:t>
            </w:r>
          </w:p>
        </w:tc>
      </w:tr>
      <w:tr>
        <w:trPr>
          <w:trHeight w:val="14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financing activities from discontinued operations</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r>
      <w:tr>
        <w:trPr>
          <w:trHeight w:val="142"/>
        </w:trPr>
        <w:tc>
          <w:tcPr>
            <w:tcW w:w="56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(653)</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566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(157)</w:t>
            </w:r>
          </w:p>
        </w:tc>
      </w:tr>
      <w:tr>
        <w:trPr>
          <w:trHeight w:val="116"/>
        </w:trPr>
        <w:tc>
          <w:tcPr>
            <w:tcW w:w="56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Effect of exchange rate changes on cash and cash equivalents and restricted cash and restricted cash</w:t>
            </w: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61"/>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equivalents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49"/>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Add back change in cash and restricted cash of assets held for sale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32"/>
        </w:trPr>
        <w:tc>
          <w:tcPr>
            <w:tcW w:w="56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Net (decrease) increase in cash and cash equivalents and restricted cash and restricted cash</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65"/>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equivalents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3,427</w:t>
            </w:r>
          </w:p>
        </w:tc>
      </w:tr>
      <w:tr>
        <w:trPr>
          <w:trHeight w:val="149"/>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and cash equivalents and restricted cash and restricted cash equivalents, beginning of period</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5,338</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1,911</w:t>
            </w:r>
          </w:p>
        </w:tc>
      </w:tr>
      <w:tr>
        <w:trPr>
          <w:trHeight w:val="142"/>
        </w:trPr>
        <w:tc>
          <w:tcPr>
            <w:tcW w:w="56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Cash and cash equivalents and restricted cash and restricted cash equivalents, end of period</w:t>
            </w:r>
          </w:p>
        </w:tc>
        <w:tc>
          <w:tcPr>
            <w:tcW w:w="2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3,291</w:t>
            </w:r>
          </w:p>
        </w:tc>
        <w:tc>
          <w:tcPr>
            <w:tcW w:w="1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4,945</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5,338</w:t>
            </w:r>
          </w:p>
        </w:tc>
      </w:tr>
      <w:tr>
        <w:trPr>
          <w:trHeight w:val="20"/>
        </w:trPr>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9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 contracts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 contracts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brokers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Icahn Enterprises Holdings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00" w:type="dxa"/>
            <w:vAlign w:val="bottom"/>
            <w:gridSpan w:val="5"/>
          </w:tcPr>
          <w:p>
            <w:pPr>
              <w:ind w:left="1960"/>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6900" w:type="dxa"/>
            <w:vAlign w:val="bottom"/>
            <w:gridSpan w:val="4"/>
          </w:tcPr>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5"/>
        </w:trPr>
        <w:tc>
          <w:tcPr>
            <w:tcW w:w="5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42"/>
        </w:trPr>
        <w:tc>
          <w:tcPr>
            <w:tcW w:w="5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(1,421)</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disposition of assets, net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 income, net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w:t>
            </w:r>
          </w:p>
        </w:tc>
      </w:tr>
      <w:tr>
        <w:trPr>
          <w:trHeight w:val="21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09"/>
        </w:trPr>
        <w:tc>
          <w:tcPr>
            <w:tcW w:w="5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11,553</w:t>
            </w:r>
          </w:p>
        </w:tc>
      </w:tr>
      <w:tr>
        <w:trPr>
          <w:trHeight w:val="21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benefit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09"/>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09"/>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Icahn Enterprises Holdings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5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Icahn Enterprises Holdings from:</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50"/>
        </w:trPr>
        <w:tc>
          <w:tcPr>
            <w:tcW w:w="58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196"/>
        </w:trPr>
        <w:tc>
          <w:tcPr>
            <w:tcW w:w="58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Icahn Enterprises Holdings allocated to:</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partner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10"/>
        </w:trPr>
        <w:tc>
          <w:tcPr>
            <w:tcW w:w="58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980" w:type="dxa"/>
            <w:vAlign w:val="bottom"/>
            <w:gridSpan w:val="4"/>
          </w:tcPr>
          <w:p>
            <w:pPr>
              <w:ind w:left="196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 AND SUBSIDIARIES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8040" w:type="dxa"/>
            <w:vAlign w:val="bottom"/>
            <w:gridSpan w:val="7"/>
          </w:tcPr>
          <w:p>
            <w:pPr>
              <w:ind w:left="14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5"/>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29"/>
        </w:trPr>
        <w:tc>
          <w:tcPr>
            <w:tcW w:w="5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right"/>
              <w:ind w:right="1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(2,467)</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 adjustments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benefits and other</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5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Icahn Enterprises Holdings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196"/>
        </w:trPr>
        <w:tc>
          <w:tcPr>
            <w:tcW w:w="5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8"/>
        </w:trPr>
        <w:tc>
          <w:tcPr>
            <w:tcW w:w="5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Comprehensive (loss) income attributable to Icahn Enterprises Holdings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allocated to:</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(1,636)</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09"/>
        </w:trPr>
        <w:tc>
          <w:tcPr>
            <w:tcW w:w="59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20" w:type="dxa"/>
            <w:vAlign w:val="bottom"/>
            <w:gridSpan w:val="12"/>
          </w:tcPr>
          <w:p>
            <w:pPr>
              <w:ind w:left="1960"/>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20" w:type="dxa"/>
            <w:vAlign w:val="bottom"/>
            <w:gridSpan w:val="12"/>
          </w:tcPr>
          <w:p>
            <w:pPr>
              <w:ind w:left="2060"/>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620" w:type="dxa"/>
            <w:vAlign w:val="bottom"/>
          </w:tcPr>
          <w:p>
            <w:pPr>
              <w:spacing w:after="0"/>
              <w:rPr>
                <w:sz w:val="24"/>
                <w:szCs w:val="24"/>
                <w:color w:val="auto"/>
              </w:rPr>
            </w:pPr>
          </w:p>
        </w:tc>
        <w:tc>
          <w:tcPr>
            <w:tcW w:w="4240" w:type="dxa"/>
            <w:vAlign w:val="bottom"/>
            <w:gridSpan w:val="10"/>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 Attributable to Icahn Enterprises Holdings</w:t>
            </w:r>
          </w:p>
        </w:tc>
        <w:tc>
          <w:tcPr>
            <w:tcW w:w="160" w:type="dxa"/>
            <w:vAlign w:val="bottom"/>
          </w:tcPr>
          <w:p>
            <w:pPr>
              <w:spacing w:after="0"/>
              <w:rPr>
                <w:sz w:val="24"/>
                <w:szCs w:val="24"/>
                <w:color w:val="auto"/>
              </w:rPr>
            </w:pPr>
          </w:p>
        </w:tc>
        <w:tc>
          <w:tcPr>
            <w:tcW w:w="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140" w:type="dxa"/>
            <w:vAlign w:val="bottom"/>
          </w:tcPr>
          <w:p>
            <w:pPr>
              <w:spacing w:after="0"/>
              <w:rPr>
                <w:sz w:val="18"/>
                <w:szCs w:val="18"/>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Partners’</w:t>
            </w: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Equity (Deficit)</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Total Equity</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right"/>
              <w:ind w:right="43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 in</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2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Cumulative effect adjustment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adoption of accounting</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principle</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Changes in subsidiary equity 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2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 in</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Changes in subsidiary equity 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segment contributions</w:t>
            </w:r>
          </w:p>
        </w:tc>
        <w:tc>
          <w:tcPr>
            <w:tcW w:w="2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 in</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Changes in subsidiary equity 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168"/>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(in millions)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9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(2,467)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(1,790)</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4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income to net cash (used in) provided by operating activities: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(income) from discontinued operations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w:t>
            </w:r>
          </w:p>
        </w:tc>
        <w:tc>
          <w:tcPr>
            <w:tcW w:w="0" w:type="dxa"/>
            <w:vAlign w:val="bottom"/>
          </w:tcPr>
          <w:p>
            <w:pPr>
              <w:spacing w:after="0"/>
              <w:rPr>
                <w:sz w:val="1"/>
                <w:szCs w:val="1"/>
                <w:color w:val="auto"/>
              </w:rPr>
            </w:pPr>
          </w:p>
        </w:tc>
      </w:tr>
      <w:tr>
        <w:trPr>
          <w:trHeight w:val="148"/>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 (gain) from securities transactions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(570)</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Purchases of securities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(1,945)</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(4,948)</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(4,810)</w:t>
            </w:r>
          </w:p>
        </w:tc>
        <w:tc>
          <w:tcPr>
            <w:tcW w:w="0" w:type="dxa"/>
            <w:vAlign w:val="bottom"/>
          </w:tcPr>
          <w:p>
            <w:pPr>
              <w:spacing w:after="0"/>
              <w:rPr>
                <w:sz w:val="1"/>
                <w:szCs w:val="1"/>
                <w:color w:val="auto"/>
              </w:rPr>
            </w:pPr>
          </w:p>
        </w:tc>
      </w:tr>
      <w:tr>
        <w:trPr>
          <w:trHeight w:val="148"/>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Proceeds from sales of securities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6,763</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Payments to cover securities sold, not yet purchased</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(2,336)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(938)</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0" w:type="dxa"/>
            <w:vAlign w:val="bottom"/>
          </w:tcPr>
          <w:p>
            <w:pPr>
              <w:spacing w:after="0"/>
              <w:rPr>
                <w:sz w:val="1"/>
                <w:szCs w:val="1"/>
                <w:color w:val="auto"/>
              </w:rPr>
            </w:pPr>
          </w:p>
        </w:tc>
      </w:tr>
      <w:tr>
        <w:trPr>
          <w:trHeight w:val="148"/>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Proceeds from securities sold, not yet purchased</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Changes in receivables and payables relating to securities transactions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(1,880)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(220)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0" w:type="dxa"/>
            <w:vAlign w:val="bottom"/>
          </w:tcPr>
          <w:p>
            <w:pPr>
              <w:spacing w:after="0"/>
              <w:rPr>
                <w:sz w:val="1"/>
                <w:szCs w:val="1"/>
                <w:color w:val="auto"/>
              </w:rPr>
            </w:pPr>
          </w:p>
        </w:tc>
      </w:tr>
      <w:tr>
        <w:trPr>
          <w:trHeight w:val="148"/>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Changes in unrealized gains/losses on derivative contracts</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(433)</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(gain) on disposition of assets, net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(253)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48"/>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Impairment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48"/>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taxes</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(89)</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net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49"/>
        </w:trPr>
        <w:tc>
          <w:tcPr>
            <w:tcW w:w="5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Changes in other operating assets and liabilities: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48"/>
        </w:trPr>
        <w:tc>
          <w:tcPr>
            <w:tcW w:w="5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Inventories, net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0" w:type="dxa"/>
            <w:vAlign w:val="bottom"/>
          </w:tcPr>
          <w:p>
            <w:pPr>
              <w:spacing w:after="0"/>
              <w:rPr>
                <w:sz w:val="1"/>
                <w:szCs w:val="1"/>
                <w:color w:val="auto"/>
              </w:rPr>
            </w:pPr>
          </w:p>
        </w:tc>
      </w:tr>
      <w:tr>
        <w:trPr>
          <w:trHeight w:val="148"/>
        </w:trPr>
        <w:tc>
          <w:tcPr>
            <w:tcW w:w="59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42"/>
        </w:trPr>
        <w:tc>
          <w:tcPr>
            <w:tcW w:w="59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Net cash (used in) provided by operating activities from continuing operations</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(416)</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(1,460)</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444</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 from discontinued operations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provided by operating activities</w:t>
            </w: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(416)</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(1,460)</w:t>
            </w: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923</w:t>
            </w:r>
          </w:p>
        </w:tc>
        <w:tc>
          <w:tcPr>
            <w:tcW w:w="0" w:type="dxa"/>
            <w:vAlign w:val="bottom"/>
          </w:tcPr>
          <w:p>
            <w:pPr>
              <w:spacing w:after="0"/>
              <w:rPr>
                <w:sz w:val="1"/>
                <w:szCs w:val="1"/>
                <w:color w:val="auto"/>
              </w:rPr>
            </w:pPr>
          </w:p>
        </w:tc>
      </w:tr>
      <w:tr>
        <w:trPr>
          <w:trHeight w:val="142"/>
        </w:trPr>
        <w:tc>
          <w:tcPr>
            <w:tcW w:w="5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(250)</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Turnaround expenditures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9"/>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(39)</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investments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49"/>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 of investments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disposition of businesses and assets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3,370</w:t>
            </w:r>
          </w:p>
        </w:tc>
        <w:tc>
          <w:tcPr>
            <w:tcW w:w="0" w:type="dxa"/>
            <w:vAlign w:val="bottom"/>
          </w:tcPr>
          <w:p>
            <w:pPr>
              <w:spacing w:after="0"/>
              <w:rPr>
                <w:sz w:val="1"/>
                <w:szCs w:val="1"/>
                <w:color w:val="auto"/>
              </w:rPr>
            </w:pPr>
          </w:p>
        </w:tc>
      </w:tr>
      <w:tr>
        <w:trPr>
          <w:trHeight w:val="14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2"/>
        </w:trPr>
        <w:tc>
          <w:tcPr>
            <w:tcW w:w="59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Net cash (used in) provided by investing activities from continuing operations</w:t>
            </w: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(581)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586</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3,024</w:t>
            </w:r>
          </w:p>
        </w:tc>
        <w:tc>
          <w:tcPr>
            <w:tcW w:w="0" w:type="dxa"/>
            <w:vAlign w:val="bottom"/>
          </w:tcPr>
          <w:p>
            <w:pPr>
              <w:spacing w:after="0"/>
              <w:rPr>
                <w:sz w:val="1"/>
                <w:szCs w:val="1"/>
                <w:color w:val="auto"/>
              </w:rPr>
            </w:pPr>
          </w:p>
        </w:tc>
      </w:tr>
      <w:tr>
        <w:trPr>
          <w:trHeight w:val="14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 from discontinued operations</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0" w:type="dxa"/>
            <w:vAlign w:val="bottom"/>
          </w:tcPr>
          <w:p>
            <w:pPr>
              <w:spacing w:after="0"/>
              <w:rPr>
                <w:sz w:val="1"/>
                <w:szCs w:val="1"/>
                <w:color w:val="auto"/>
              </w:rPr>
            </w:pPr>
          </w:p>
        </w:tc>
      </w:tr>
      <w:tr>
        <w:trPr>
          <w:trHeight w:val="142"/>
        </w:trPr>
        <w:tc>
          <w:tcPr>
            <w:tcW w:w="59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(581)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586</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2,587</w:t>
            </w:r>
          </w:p>
        </w:tc>
        <w:tc>
          <w:tcPr>
            <w:tcW w:w="0" w:type="dxa"/>
            <w:vAlign w:val="bottom"/>
          </w:tcPr>
          <w:p>
            <w:pPr>
              <w:spacing w:after="0"/>
              <w:rPr>
                <w:sz w:val="1"/>
                <w:szCs w:val="1"/>
                <w:color w:val="auto"/>
              </w:rPr>
            </w:pPr>
          </w:p>
        </w:tc>
      </w:tr>
      <w:tr>
        <w:trPr>
          <w:trHeight w:val="142"/>
        </w:trPr>
        <w:tc>
          <w:tcPr>
            <w:tcW w:w="59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segment contributions from non-controlling interests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0" w:type="dxa"/>
            <w:vAlign w:val="bottom"/>
          </w:tcPr>
          <w:p>
            <w:pPr>
              <w:spacing w:after="0"/>
              <w:rPr>
                <w:sz w:val="1"/>
                <w:szCs w:val="1"/>
                <w:color w:val="auto"/>
              </w:rPr>
            </w:pPr>
          </w:p>
        </w:tc>
      </w:tr>
      <w:tr>
        <w:trPr>
          <w:trHeight w:val="149"/>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Partnership contributions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Partnership distributions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4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additional interests in consolidated subsidiaries</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(241)</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and distributions to non-controlling interests in subsidiaries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(119)</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4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Holding Company senior unsecured notes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Repayments of Holding Company senior unsecured notes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(1,700)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subsidiary borrowings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Repayments of subsidiary borrowings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(1,644)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(847)</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0" w:type="dxa"/>
            <w:vAlign w:val="bottom"/>
          </w:tcPr>
          <w:p>
            <w:pPr>
              <w:spacing w:after="0"/>
              <w:rPr>
                <w:sz w:val="1"/>
                <w:szCs w:val="1"/>
                <w:color w:val="auto"/>
              </w:rPr>
            </w:pPr>
          </w:p>
        </w:tc>
      </w:tr>
      <w:tr>
        <w:trPr>
          <w:trHeight w:val="149"/>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2"/>
        </w:trPr>
        <w:tc>
          <w:tcPr>
            <w:tcW w:w="59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Net cash (used in) provided by financing activities from continuing operations</w:t>
            </w: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(653)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566</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49"/>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 from discontinued operations</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42"/>
        </w:trPr>
        <w:tc>
          <w:tcPr>
            <w:tcW w:w="59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(653)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566</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16"/>
        </w:trPr>
        <w:tc>
          <w:tcPr>
            <w:tcW w:w="598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Effect of exchange rate changes on cash and cash equivalents and restricted cash and restricted cash</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equivalents</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 back change in cash and restricted cash of assets held for sale</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32"/>
        </w:trPr>
        <w:tc>
          <w:tcPr>
            <w:tcW w:w="598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Net (decrease) increase in cash and cash equivalents and restricted cash and restricted cash</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9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equivalents</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(1,654)</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(393)</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3,427</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and restricted cash and restricted cash equivalents, beginning of period</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5,338</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w:t>
            </w:r>
          </w:p>
        </w:tc>
        <w:tc>
          <w:tcPr>
            <w:tcW w:w="0" w:type="dxa"/>
            <w:vAlign w:val="bottom"/>
          </w:tcPr>
          <w:p>
            <w:pPr>
              <w:spacing w:after="0"/>
              <w:rPr>
                <w:sz w:val="1"/>
                <w:szCs w:val="1"/>
                <w:color w:val="auto"/>
              </w:rPr>
            </w:pPr>
          </w:p>
        </w:tc>
      </w:tr>
      <w:tr>
        <w:trPr>
          <w:trHeight w:val="142"/>
        </w:trPr>
        <w:tc>
          <w:tcPr>
            <w:tcW w:w="59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and cash equivalents and restricted cash and restricted cash equivalents, end of period</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3,291</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4,945</w:t>
            </w:r>
          </w:p>
        </w:tc>
        <w:tc>
          <w:tcPr>
            <w:tcW w:w="180" w:type="dxa"/>
            <w:vAlign w:val="bottom"/>
          </w:tcPr>
          <w:p>
            <w:pPr>
              <w:spacing w:after="0"/>
              <w:rPr>
                <w:sz w:val="12"/>
                <w:szCs w:val="12"/>
                <w:color w:val="auto"/>
              </w:rPr>
            </w:pPr>
          </w:p>
        </w:tc>
        <w:tc>
          <w:tcPr>
            <w:tcW w:w="18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5,338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February 17, 1987. References to “we,” “our” or “us” herein include both Icahn Enterprises and Icahn Enterprises Holdings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their subsidiaries, unless the context otherwise requires.</w:t>
      </w:r>
    </w:p>
    <w:p>
      <w:pPr>
        <w:spacing w:after="0" w:line="20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December 31, 2020.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92% of Icahn Enterprises’ outstanding depositary units as of December 31, 2020.</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Operating Businesses</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are a diversified holding company owning subsidiaries currently engaged in the following continuing operating businesses: </w:t>
      </w:r>
      <w:r>
        <w:rPr>
          <w:rFonts w:ascii="Times New Roman" w:cs="Times New Roman" w:eastAsia="Times New Roman" w:hAnsi="Times New Roman"/>
          <w:sz w:val="18"/>
          <w:szCs w:val="18"/>
          <w:color w:val="231F20"/>
        </w:rPr>
        <w:t>Investment, Energy, Automotive, Food Packaging, Metals, Real Estate, Home Fashion and, as of December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2020, Pharma. </w:t>
      </w:r>
      <w:r>
        <w:rPr>
          <w:rFonts w:ascii="Times New Roman" w:cs="Times New Roman" w:eastAsia="Times New Roman" w:hAnsi="Times New Roman"/>
          <w:sz w:val="18"/>
          <w:szCs w:val="18"/>
          <w:color w:val="000000"/>
        </w:rPr>
        <w:t>We also report the results of our Holding Company, which includes the results of certain subsidiaries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Icahn Enterprises and Icahn Enterprises Holdings (unless otherwise noted), and investment activity and expenses associated with our Holding Company. Our historical results also report the results of our Mining segment, until sold on August 1, 2019, and our Railcar segment through the date we sold our last remaining railcars on lease, which occurred in the third quarter of 2018. See Note 13, “Segment and Geographic Reporting,” for a reconciliation of each of our reporting segment’s results of operations to our consolidated results. Certain additional information with respect to our segments are discussed below.</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(“Investment Funds”) in which we have general partner interests and through which we invest our proprietary capital. We, certain of Mr. Icahn’s wholly-owned affiliates and Brett Icahn, son of Mr. Icahn, are the only investors in the Investment Funds. As general partner, we provide investment advisory and certain administrative and back office services to the Investment Funds but do not provide such services to any other entities, individuals or accounts. Interests in the Investment Funds are not offered to outside investors. We had interests in the Investment Funds with a fair market value of approximately $4.3 billion and $4.3 billion as of December 31, 2020 and 2019, respectively.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36% of the outstanding common units of CVR Partners as of December 31, 2020. As of December 31, 2020, we owned approximately 71% of the total outstanding common stock of CVR Energy.</w:t>
      </w:r>
    </w:p>
    <w:p>
      <w:pPr>
        <w:spacing w:after="0" w:line="192"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On January 29, 2019, CVR Energy, pursuant to the exercise of its right to purchase all of the issued and outstanding common units in CVR Refining, purchased the remaining common units of CVR Refining not already owned by CVR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Energy, including the purchase of CVR Refining common units owned directly by us. Prior to this, CVR Energy owned approximately 81% of the common units of CVR Refining and we directly owned approximately 4% of the common units of CVR Refining. As a result of exercising its purchase right, as of January 29, 2019, CVR Energy owns all of the common units of CVR Refining and we no longer have any direct ownership in CVR Refining. In addition, the common units of CVR Refining have subsequently ceased to be publicly traded or listed on the New York Stock Exchange or any other national securities exchange. The remaining common units of CVR Refining acquired in this transaction were purchased for $241 million, excluding the amount paid by CVR Energy to us for the common units of CVR Refining directly owned by us.</w:t>
      </w:r>
    </w:p>
    <w:p>
      <w:pPr>
        <w:spacing w:after="0" w:line="192" w:lineRule="exact"/>
        <w:rPr>
          <w:sz w:val="20"/>
          <w:szCs w:val="20"/>
          <w:color w:val="auto"/>
        </w:rPr>
      </w:pPr>
    </w:p>
    <w:p>
      <w:pPr>
        <w:ind w:left="60" w:right="479" w:firstLine="324"/>
        <w:spacing w:after="0" w:line="261" w:lineRule="auto"/>
        <w:rPr>
          <w:sz w:val="20"/>
          <w:szCs w:val="20"/>
          <w:color w:val="auto"/>
        </w:rPr>
      </w:pPr>
      <w:r>
        <w:rPr>
          <w:rFonts w:ascii="Times New Roman" w:cs="Times New Roman" w:eastAsia="Times New Roman" w:hAnsi="Times New Roman"/>
          <w:sz w:val="18"/>
          <w:szCs w:val="18"/>
          <w:color w:val="auto"/>
        </w:rPr>
        <w:t>Prior to this, on August 1, 2018, CVR Energy completed an exchange offer whereby CVR Refining’s public unitholders tendered a total of 21,625,106 common units of CVR Refining in exchange for 13,699,549 shares of CVR Energy common stock. In connection with this transaction, our equity attributable to Icahn Enterprises and Icahn Enterprises Holdings increased by $99 million.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We conduct our Automotive segment through our wholly-owned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Chief Executive Officer and management teams, and both of which are supported by a central shared service group. Our Automotive segment also includes our separate equity method investment in 767 Auto Leasing LLC (“767 Leasing”), a joint venture created by us to purchase vehicles for lease, as described further in Note 3, “Related Party Transactions.” Our investment in 767 Leasing is included as a component of our Automotive segment due to the nature of the joint venture activities.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We conduct our Food Packaging segment through our majority owned subsidiary, Viskase Companies, Inc. (“Viskase”). Viskase is a producer of cellulosic, fibrous and plastic casings used to prepare and package processed meat products.</w:t>
      </w:r>
    </w:p>
    <w:p>
      <w:pPr>
        <w:spacing w:after="0" w:line="1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October 2020, Viskase completed an equity private placement whereby we acquired an additional 50,000,000 shares of Viskase common stock for $100 million. In connection with this transaction, our ownership of Viskase increased from approximately 79% to 89%.</w:t>
      </w:r>
    </w:p>
    <w:p>
      <w:pPr>
        <w:spacing w:after="0" w:line="1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Prior to this, during January 2018, Viskase received $50 million in connection with its common stock rights offering. In connection with this rights offering, we fully exercised our subscription rights under our basic and over subscription privileges to purchase additional shares of Viskase common stock, thereby increasing our ownership of Viskase from 75% to 79%, for an aggregate additional investment of $44 million.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We conduct our Metals segment through our indirect wholly-owned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Times New Roman" w:cs="Times New Roman" w:eastAsia="Times New Roman" w:hAnsi="Times New Roman"/>
          <w:sz w:val="18"/>
          <w:szCs w:val="18"/>
          <w:i w:val="1"/>
          <w:iCs w:val="1"/>
          <w:color w:val="auto"/>
        </w:rPr>
        <w: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Our Real Estate segment consists primarily of investment properties, the development and sale of single-family homes and the management of a country club.</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During 2018, our Real Estate segment sold two commercial rental properties for aggregate proceeds of $179 million, resulting in aggregate pretax gain on disposition of assets of $89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Home Fashion segment through our wholly-owned subsidiary, WestPoint Home LLC (“WPH”).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WPH’s business consists of manufacturing, sourcing, marketing, distributing and selling home fashion consumer products.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We conduct our Pharma segment through our wholly owned subsidiary, Vivus, Inc. (“Vivus”). We acquired all of the outstanding commons stock of Vivus in December 2020 upon its emergence from bankruptcy. Vivus is a specialty pharmaceutical company with two approved therapies and one product candidate in active clinical development.</w:t>
      </w:r>
    </w:p>
    <w:p>
      <w:pPr>
        <w:spacing w:after="0" w:line="1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Prior to Vivus’ emergence from bankruptcy, we held an investment in Vivus’ convertible corporate debt securities with a fair value of $183 million. In addition to the fair value of the convertible corporate debt securities, our total consideration transferred included an exit financing facility of $81 million and a contingent liability of $3 million. The $81 million exit financing facility replaced an existing $63 million term loan previously held by us.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Mining</w:t>
      </w:r>
    </w:p>
    <w:p>
      <w:pPr>
        <w:spacing w:after="0" w:line="227"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We conducted our Mining segment through our majority owned subsidiary, Ferrous Resources Ltd. (“Ferrous Resources”). Ferrous Resources acquired certain rights to iron ore mineral resources in Brazil and develops mining operations and related infrastructure to produce and sell iron ore products to the global steel industry. Prior to the sale of Ferrous Resources, as discussed below, we owned approximately 77% of its total outstanding common stock.</w:t>
      </w:r>
    </w:p>
    <w:p>
      <w:pPr>
        <w:spacing w:after="0" w:line="180"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On December 5, 2018, we announced a definitive agreement to sell Ferrous Resources for total consideration of $550 million (including repaid indebtedness). On August 1, 2019, we closed on the sale of Ferrous Resources. Our proportionate share of the cash proceeds from the sale, net of adjustments, was $463 million. As a result of the sale of Ferrous Resources, our Mining segment recorded a pretax gain on disposition of assets of $252 million in 2019. Subsequent to the sale, we no longer operate an active Mining segment.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Railcar</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conducted our Railcar segment through our wholly-owned subsidiary, American Railcar Leasing, LLC (“ARL”).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ARL operated a leasing business consisting of purchased railcars leased to third parties under operating leases.</w:t>
      </w:r>
    </w:p>
    <w:p>
      <w:pPr>
        <w:spacing w:after="0" w:line="20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During 2017, we sold ARL and a majority of its railcar lease fleet. During 2018, we sold all remaining railcars of ARL not previously sold for additional cash consideration of $17 million. In connection with these transactions, we recorded a pretax gain on disposition of assets of $5 million in 2018. As a result of the sale of all remaining railcars during 2018, our business no longer includes an active Railcar segment.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Discontinued Operating Businesses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also report discontinued operations previously reported in our Automotive and Railcar segments and former Gaming segment. In addition to below, see Note 14, “Discontinued Operations,” for additional information with respect to our discontinued operating businesses.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jc w:val="both"/>
        <w:ind w:left="60" w:right="359" w:firstLine="324"/>
        <w:spacing w:after="0" w:line="289" w:lineRule="auto"/>
        <w:rPr>
          <w:sz w:val="20"/>
          <w:szCs w:val="20"/>
          <w:color w:val="auto"/>
        </w:rPr>
      </w:pPr>
      <w:r>
        <w:rPr>
          <w:rFonts w:ascii="Times New Roman" w:cs="Times New Roman" w:eastAsia="Times New Roman" w:hAnsi="Times New Roman"/>
          <w:sz w:val="17"/>
          <w:szCs w:val="17"/>
          <w:color w:val="auto"/>
        </w:rPr>
        <w:t>Our discontinued Automotive operations consists of our previously wholly-owned subsidiary, Federal-Mogul LLC (“Federal-Mogul”). On October 1, 2018, we closed on the previously announced sale of Federal-Mogul to Tenneco Inc. (“Tenneco”). In connection with the sale, we received $800 million in cash and approximately 29.5 million shares of</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Tenneco common stock, of which approximately 23.8 million shares were non-voting shares convertible into voting shares if and when sold. The remaining approximately 5.7 million voting shares received by us represented approximately 9.9% of the aggregate voting interest in Tenneco. There were restrictions on how many shares of Tenneco common stock that could be sold by us within the first 150 days after the closing of the sale. The voting and non-voting shares of Tenneco common stock have the same economic value. As of October 1, 2018, the approximately 29.5 million voting and non-voting shares of Tenneco common stock had a fair market value of approximately $1.2 billion, which our Holding Company will hold and record as a Level 1 investment measured at fair value on a recurring basis. In addition, Federal-Mogul’s outstanding debt was assumed by Tenneco.</w:t>
      </w:r>
    </w:p>
    <w:p>
      <w:pPr>
        <w:spacing w:after="0" w:line="19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sale of Federal-Mogul, we recorded a pretax gain on sale of discontinued operations attributable to Icahn Enterprises of $251 million in the fourth quarter of 2018.</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Gaming</w:t>
      </w:r>
    </w:p>
    <w:p>
      <w:pPr>
        <w:spacing w:after="0" w:line="22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discontinued Gaming operations consists of our previous majority ownership in Tropicana Entertainment Inc. (“Tropicana”). On October 1, 2018, Tropicana closed on the previously announced real estate sales and merger transaction for aggregate cash consideration, net of adjustments, of approximately $1.8 billion. The transaction did not include Tropicana Aruba Resort and Casino, which was retained by us and is now reported within our Real Estate segment. Our proportionate share of the cash proceeds, net of adjustments, was approximately $1.5 billion.</w:t>
      </w:r>
    </w:p>
    <w:p>
      <w:pPr>
        <w:spacing w:after="0" w:line="183"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sale of Tropicana, we recorded a pretax gain on sale of discontinued operations attributable to Icahn Enterprises of $779 million in the fourth quarter of 2018.</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Railcar</w:t>
      </w:r>
    </w:p>
    <w:p>
      <w:pPr>
        <w:spacing w:after="0" w:line="227"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Our discontinued Railcar operations consists of our previous majority ownership in American Railcar Industries, Inc. (“ARI”). On December 5, 2018, we closed on the previously announced sale of ARI for aggregate cash consideration of $831 million.</w:t>
      </w:r>
    </w:p>
    <w:p>
      <w:pPr>
        <w:spacing w:after="0" w:line="176"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sale of ARI, we recorded a pretax gain on sale of discontinued operations attributable to Icahn Enterprises of $400 million in the fourth quarter of 2018.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have been prepared in accordance with accounting principles generally accepted in the United States (“U.S. GAAP”).</w:t>
      </w:r>
    </w:p>
    <w:p>
      <w:pPr>
        <w:spacing w:after="0" w:line="162"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8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Tropicana, ARI and Ferrous Resources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Conditions</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categorized COVID-19 as a pandemic and the President of the United States declared the COVID-19 outbreak a national emergency. The COVID-19 pandemic, and actions taken by governments and others in response thereto, has negatively impacted the global economy, financial markets, and the industries in which our subsidiaries operate. Our consolidated results of operations and financial condition have been impacted primarily by the volatility in the fair value of investments held by our Investment segment and the Holding Company (primarily unrealized) as well as declines in the global demand for refined products, especially gasoline and diesel fuels, with respect to our Energy segment. The impact on our businesses has also included the acceleration of selective planned store closures in our Automotive segment, lowering current year forecasts across various segments and recording write-downs to inventories. The extent and duration of the impact on our future results of operations, liquidity and financial condition is uncertain and may be significant.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consolidated financial statements include the accounts of (i) Icahn Enterprises and Icahn Enterprises Holdings and</w:t>
      </w:r>
    </w:p>
    <w:p>
      <w:pPr>
        <w:spacing w:after="0" w:line="27" w:lineRule="exact"/>
        <w:rPr>
          <w:sz w:val="20"/>
          <w:szCs w:val="20"/>
          <w:color w:val="auto"/>
        </w:rPr>
      </w:pPr>
    </w:p>
    <w:p>
      <w:pPr>
        <w:ind w:left="60" w:right="79" w:hanging="10"/>
        <w:spacing w:after="0" w:line="251" w:lineRule="auto"/>
        <w:tabs>
          <w:tab w:leader="none" w:pos="3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94"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 and Held For Sale</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classify assets and liabilities as held for sale when management, having the authority to approve the action, commits to a plan to sell the disposal group, the sale is probable within one year, and the disposal group is available for immediate sale in its present condition. We also consider whether an active program to locate a buyer has been initiated, whether the disposal group is marketed actively for sale at a price that is reasonable in relation to its current fair value, and whether actions required to complete the plan indicate it is unlikely significant changes to the plan will be made or the plan will be withdrawn.</w:t>
      </w:r>
    </w:p>
    <w:p>
      <w:pPr>
        <w:spacing w:after="0" w:line="187"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U.S. GAAP, we classify operations as discontinued when they meet all the criteria to be classified as held for sale and when the sale represents a strategic shift that will have a major impact on our financial condition and results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Preparation of Financial Statements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Due to the inherent uncertainty involved in making estimates, actual results may differ from the estimates and assumptions used in preparing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Certain reclassifications from the prior year presentation have been made to conform to the current year presentation, which did not have an impact on previously reported net income and equity and are not deemed material.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variable interest entities in which we are deemed to be the primary beneficiary and in which we therefore consolidate. In addition, as discussed in Note 3, “Related Party Transactions,” we have a variable interest in an entity in which we are not the primary beneficiary and therefore we do not consolidate.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Icahn Enterprises Holdings</w:t>
      </w:r>
    </w:p>
    <w:p>
      <w:pPr>
        <w:spacing w:after="0" w:line="227"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consolidated financial statements of Icahn Enterprises Holdings are included in this Report. The balances with respect to Icahn Enterprises Holdings’ consolidated VIEs are discussed below, comprising the Investment Funds, CVR Partners and Viskase’s joint venture.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CVR Partners is considered a VIE because it is a limited partnership that lacks both substantive kick-out and participating rights. In addition, CVR Energy also concluded that, based upon its general partner’s roles and rights in CVR Partners as afforded by CVR Partners’ partnership agreement, coupled with its exposure to losses and benefits in CVR Partners through its significant limited partner interest, intercompany credit facilities and services agreements, it is the primary beneficiary of CVR Partners.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balances of assets and liabilities of VIE’s included in Icahn Enterprises Holdings’ consolidated balance sheets.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28"/>
        </w:trPr>
        <w:tc>
          <w:tcPr>
            <w:tcW w:w="6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00" w:type="dxa"/>
            <w:vAlign w:val="bottom"/>
          </w:tcPr>
          <w:p>
            <w:pPr>
              <w:spacing w:after="0"/>
              <w:rPr>
                <w:sz w:val="11"/>
                <w:szCs w:val="1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 contracts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 contracts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brokers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83" w:lineRule="exact"/>
        <w:rPr>
          <w:sz w:val="20"/>
          <w:szCs w:val="20"/>
          <w:color w:val="auto"/>
        </w:rPr>
      </w:pPr>
    </w:p>
    <w:p>
      <w:pPr>
        <w:ind w:left="60" w:right="399" w:firstLine="324"/>
        <w:spacing w:after="0" w:line="281" w:lineRule="auto"/>
        <w:rPr>
          <w:sz w:val="20"/>
          <w:szCs w:val="20"/>
          <w:color w:val="auto"/>
        </w:rPr>
      </w:pPr>
      <w:r>
        <w:rPr>
          <w:rFonts w:ascii="Times New Roman" w:cs="Times New Roman" w:eastAsia="Times New Roman" w:hAnsi="Times New Roman"/>
          <w:sz w:val="17"/>
          <w:szCs w:val="17"/>
          <w:color w:val="auto"/>
        </w:rPr>
        <w:t>The fair value of our long-term debt is based on the quoted market prices for the same or similar issues or on the current rates offered to us for debt of the same remaining maturities. The carrying value and estimated fair value of our debt as of December 31, 2020 was approximately $8.1 billion and $8.2 billion, respectively. The carrying value and estimated fair value of our debt as of December 31, 2019 was approximately $8.2 billion and $7.6 billion,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Acquisitions of Businesses</w:t>
      </w:r>
    </w:p>
    <w:p>
      <w:pPr>
        <w:spacing w:after="0" w:line="22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We account for business combinations under the acquisition method of accounting (other than acquisitions of businesses under common control),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w:t>
      </w:r>
    </w:p>
    <w:p>
      <w:pPr>
        <w:spacing w:after="0" w:line="183"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Accounting for business combinations requires us to make significant estimates and assumptions, especially at the acquisition date including our estimates for intangible assets, contractual obligations assumed, pre-acquisition contingencies, and contingent consideration, where applicable. In valuing our acquisitions, we estimate fair values based on industry data and trends and by reference to relevant market rates and transactions, and discounted cash flow valuation methods, among other factors. The discount rates used were commensurate with the inherent risks associated with each type of asset and the level and timing of cash flows appropriately reflect market participant assumptions. The primary items that generate goodwill include the value of the synergies between the acquired company and our existing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businesses and the value of the acquired assembled workforce, neither of which qualifies for recognition as an intangible asset.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Investments and Disposition of Entities under Common Control</w:t>
      </w:r>
    </w:p>
    <w:p>
      <w:pPr>
        <w:spacing w:after="0" w:line="22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Acquisitions or investments of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 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 in our consolidated statements of cash flows is comprised of (i) cash and cash equivalents and (ii) cash held at consolidated affiliated partnerships and restricted cash.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We consider short-term investments, which are highly liquid with original maturities of three months or less at date of purchase,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Held at Consolidated Affiliated Partnerships and Restricted Cash</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cash held at consolidated affiliated partnerships balance was $686 million and $86 million as of December 31, 2020 and 2019, respectively. Cash held at consolidated affiliated partnerships relates to our Investment segment and consists of cash and cash equivalents held by the Investment Funds that, although not legally restricted, is not available to fund the general liquidity needs of the Investment segment or Icahn Enterprises.</w:t>
      </w:r>
    </w:p>
    <w:p>
      <w:pPr>
        <w:spacing w:after="0" w:line="180"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restricted cash balance was $906 million and $1,065 million as of December 31, 2020 and 2019, respectively. Restricted cash includes, but is not limited to, our Investment segment’s cash pledged and held for margin requirements on derivative transactions.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Related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Transactions and Related Investment Income (Loss). </w:t>
      </w:r>
      <w:r>
        <w:rPr>
          <w:rFonts w:ascii="Times New Roman" w:cs="Times New Roman" w:eastAsia="Times New Roman" w:hAnsi="Times New Roman"/>
          <w:sz w:val="18"/>
          <w:szCs w:val="18"/>
          <w:color w:val="auto"/>
        </w:rPr>
        <w:t>Investment transactions of the Investment Funds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on a trade date basis. 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Investments held by our Investment segment are carried at fair value. Our Investment segment applies the fair value option to those investments that are otherwise subject to the equity method of accounting.</w:t>
      </w:r>
    </w:p>
    <w:p>
      <w:pPr>
        <w:spacing w:after="0" w:line="16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Valuation of Investments. </w:t>
      </w:r>
      <w:r>
        <w:rPr>
          <w:rFonts w:ascii="Times New Roman" w:cs="Times New Roman" w:eastAsia="Times New Roman" w:hAnsi="Times New Roman"/>
          <w:sz w:val="18"/>
          <w:szCs w:val="18"/>
          <w:color w:val="auto"/>
        </w:rPr>
        <w:t>Securities of the Investment Funds that are listed on a securities exchange are valued at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Investment Funds.</w:t>
      </w:r>
    </w:p>
    <w:p>
      <w:pPr>
        <w:spacing w:after="0" w:line="18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Transactions. </w:t>
      </w:r>
      <w:r>
        <w:rPr>
          <w:rFonts w:ascii="Times New Roman" w:cs="Times New Roman" w:eastAsia="Times New Roman" w:hAnsi="Times New Roman"/>
          <w:sz w:val="18"/>
          <w:szCs w:val="18"/>
          <w:color w:val="auto"/>
        </w:rPr>
        <w:t>The books and records of the Investment Funds are maintained in U.S. dollars.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denominated in 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statements of operations.</w:t>
      </w:r>
    </w:p>
    <w:p>
      <w:pPr>
        <w:spacing w:after="0" w:line="185"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Financial Instruments. </w:t>
      </w:r>
      <w:r>
        <w:rPr>
          <w:rFonts w:ascii="Times New Roman" w:cs="Times New Roman" w:eastAsia="Times New Roman" w:hAnsi="Times New Roman"/>
          <w:sz w:val="18"/>
          <w:szCs w:val="18"/>
          <w:color w:val="auto"/>
        </w:rPr>
        <w:t>The fair values of the Investment Funds’ assets and liabilities that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under applicable U.S. GAAP approximate the carrying amounts presented in the consolidated balance sheets.</w:t>
      </w:r>
    </w:p>
    <w:p>
      <w:pPr>
        <w:spacing w:after="0" w:line="17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Securities Sold, Not Yet Purchased. </w:t>
      </w:r>
      <w:r>
        <w:rPr>
          <w:rFonts w:ascii="Times New Roman" w:cs="Times New Roman" w:eastAsia="Times New Roman" w:hAnsi="Times New Roman"/>
          <w:sz w:val="18"/>
          <w:szCs w:val="18"/>
          <w:color w:val="auto"/>
        </w:rPr>
        <w:t>The Investment Funds may sell an investment they do not own in anticipation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decline in the fair value of that 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spacing w:after="0" w:line="183"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Due From Brokers. </w:t>
      </w:r>
      <w:r>
        <w:rPr>
          <w:rFonts w:ascii="Times New Roman" w:cs="Times New Roman" w:eastAsia="Times New Roman" w:hAnsi="Times New Roman"/>
          <w:sz w:val="18"/>
          <w:szCs w:val="18"/>
          <w:color w:val="auto"/>
        </w:rPr>
        <w:t>Due from brokers represents cash balances with the Investment Funds’ clearing brokers.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as well as fully-paid for and marginable securities are essentially restricted to the extent that they serve as collateral against securities sold, not yet purchased. Due from brokers may also include unrestricted balances with derivative counterparties.</w:t>
      </w:r>
    </w:p>
    <w:p>
      <w:pPr>
        <w:spacing w:after="0" w:line="180" w:lineRule="exact"/>
        <w:rPr>
          <w:sz w:val="20"/>
          <w:szCs w:val="20"/>
          <w:color w:val="auto"/>
        </w:rPr>
      </w:pPr>
    </w:p>
    <w:p>
      <w:pPr>
        <w:ind w:left="60" w:right="3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Due To Brokers. </w:t>
      </w:r>
      <w:r>
        <w:rPr>
          <w:rFonts w:ascii="Times New Roman" w:cs="Times New Roman" w:eastAsia="Times New Roman" w:hAnsi="Times New Roman"/>
          <w:sz w:val="18"/>
          <w:szCs w:val="18"/>
          <w:color w:val="auto"/>
        </w:rPr>
        <w:t>Due to brokers represents margin debit balances collateralized by certain of the Investment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securities.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Segments and Holding Company</w:t>
      </w:r>
    </w:p>
    <w:p>
      <w:pPr>
        <w:spacing w:after="0" w:line="22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Investments in equity and debt securities are carried at fair value with the unrealized gains or losses reflected in the consolidated statements of operations. For purposes of determining gains and losses, the cost of securities is based on specific identification. Dividend income is recorded when declared and interest income is recognized when earned.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Financial Assets and Financial Liabilities</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the Financial Accounting Standards Board (“FASB”) Accounting Standards Codification (“ASC”) Topic 825, </w:t>
      </w:r>
      <w:r>
        <w:rPr>
          <w:rFonts w:ascii="Times New Roman" w:cs="Times New Roman" w:eastAsia="Times New Roman" w:hAnsi="Times New Roman"/>
          <w:sz w:val="18"/>
          <w:szCs w:val="18"/>
          <w:i w:val="1"/>
          <w:iCs w:val="1"/>
          <w:color w:val="auto"/>
        </w:rPr>
        <w:t>Financial Instrument</w:t>
      </w:r>
      <w:r>
        <w:rPr>
          <w:rFonts w:ascii="Times New Roman" w:cs="Times New Roman" w:eastAsia="Times New Roman" w:hAnsi="Times New Roman"/>
          <w:sz w:val="18"/>
          <w:szCs w:val="18"/>
          <w:color w:val="auto"/>
        </w:rPr>
        <w:t>s. The election to use the fair value option is available when an entity first recognizes a financial asset or financial liability or upon 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5, “Fair Value Measurements.” For our Investment segment, we apply the fair value option to our investments that would otherwise be accounted under the equity method.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6, “Financial Instruments.”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net consists of trade receivables from customers, including contract assets when we have an unconditional right to receive consideration. An allowance for doubtful accounts is determined through analysis of the aging of accounts receivable at the date of the consolidated financial statements, assessments of collectability based on an evaluation of historic and anticipated trends, the financial condition of our customers, and an evaluation of the impact of economic conditions. Our allowance for doubtful accounts is an estimate based on specifically identified accounts as well as general reserves based on historical experience.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Energy segment inventories consist primarily of domestic and foreign crude oil, blending stock and components, work in progress, fertilizer products, and refined fuels and by-products. Inventories are valued at the lower of FIFO cost, or net realizable value for fertilizer products, refined fuels and by-products for all periods presented. Refinery unfinished and finished products inventory values were determined using the ability-to-bear process, whereby raw materials and production costs are allocated to work-in-process and finished goods based on their relative fair values. Other inventories, including other raw materials, spare parts and supplies, are valued at the lower of moving-average cost, which approximates FIFO, or net realizable value. The cost of inventories includes inbound freight costs.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 Food Packaging, Home Fashion and Pharma</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Automotive, Food Packaging, Home Fashion and Pharma segments’ inventories are stated at the lower of cost or net realizable value. Cost is determined by using the first-in, first-out basis method (“FIFO”), except for our Automotive and Pharma segment, which also utilizes weighted-average cost. Our Automotive segment also determines cost using the last-in, first-out method for certain of its subsidiaries. Inventory recorded using the last-in, first-out method was $555 million and $869 million as of December 31, 2020 and 2019, respectively, all of which relates to finished goods. The cost of manufactured goods includes the cost of direct materials, labor and manufacturing overhead. Our Automotive, Food Packaging, Home Fashion and Pharma segments reserve for estimated excess, slow-moving and obsolete inventory as well as inventory whose carrying value is in excess of net realizable value.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22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Our Metals segment inventories are stated at the lower of cost or net realizable value. Cost is determined using the average cost method. The production and accounting process utilized by our Metals segment to record recycled metals inventory quantities relies on significant estimates. Our Metals segment relies upon perpetual inventory records that utilize estimated recoveries and yields that are based upon historical trends and periodic tests for certain unprocessed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73" w:lineRule="auto"/>
        <w:rPr>
          <w:sz w:val="20"/>
          <w:szCs w:val="20"/>
          <w:color w:val="auto"/>
        </w:rPr>
      </w:pPr>
      <w:r>
        <w:rPr>
          <w:rFonts w:ascii="Times New Roman" w:cs="Times New Roman" w:eastAsia="Times New Roman" w:hAnsi="Times New Roman"/>
          <w:sz w:val="17"/>
          <w:szCs w:val="17"/>
          <w:color w:val="auto"/>
        </w:rPr>
        <w:t>metal commodities. Over time, these estimates are reasonably good indicators of what is ultimately produced; however, actual recoveries and yields can vary depending on product quality, moisture content and source of the unprocessed metal. To assist in validating the reasonableness of the estimates, our Metals segment performs periodic physical inventories which involve the use of estimation techniques. Physical inventories may detect significant variations in volume, but because of variations in product density and production processes utilized to manufacture the product, physical inventories will not generally detect smaller variations. To help mitigate this risk, our Metals segment adjusts its physical inventories when the volume of a commodity is low and a physical inventory can more accurately estimate the remaining volume.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jc w:val="both"/>
        <w:ind w:left="60" w:right="319" w:firstLine="324"/>
        <w:spacing w:after="0" w:line="270" w:lineRule="auto"/>
        <w:rPr>
          <w:sz w:val="20"/>
          <w:szCs w:val="20"/>
          <w:color w:val="auto"/>
        </w:rPr>
      </w:pPr>
      <w:r>
        <w:rPr>
          <w:rFonts w:ascii="Times New Roman" w:cs="Times New Roman" w:eastAsia="Times New Roman" w:hAnsi="Times New Roman"/>
          <w:sz w:val="17"/>
          <w:szCs w:val="17"/>
          <w:color w:val="auto"/>
        </w:rPr>
        <w:t>Long-lived assets such as property, plant, and equipment, and definite-lived intangible assets are recorded at cost or fair value established at acquisition, less accumulated depreciation or amortization, unless the expected future use of the assets indicate a lower value is appropriate. Long-lived assets are evaluated for impairment when impairment indicators exist. An evaluation of impairment consists of reviewing the carrying value of a long-lived asset for recoverability.</w:t>
      </w:r>
    </w:p>
    <w:p>
      <w:pPr>
        <w:spacing w:after="0" w:line="3"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Recoverability of long-lived assets to be held and used is measured by a comparison of the carrying amount of an asset to estimated undiscounted future net cash flows expected to be generated by the asset. If the carrying value of a long-lived asset is not determined to be recoverable, a fair value assessment is performed. If the carrying amount of the asset exceeds its fair value, an impairment loss is recognized in accordance with U.S. GAAP. Depreciation and amortization are computed principally by the straight-line method for financial reporting purposes.</w:t>
      </w:r>
    </w:p>
    <w:p>
      <w:pPr>
        <w:spacing w:after="0" w:line="18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spacing w:after="0" w:line="17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Costs for planned major maintenance activities (“turnarounds”) for our Energy segment represent major maintenance activities that require shutdown of significant parts of a plant to perform necessary inspection, cleaning, repairs, and replacement of assets. Our Energy segment’s turnaround expenditures are deferred for its petroleum business and expensed as incurred for its nitrogen fertilizer business. Turnarounds generally occur every four to five years for our Energy segment’s refineries and every two to three years for its nitrogen fertilizer plants. Deferred turnaround costs, net of accumulated amortization, are included in other assets in the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primarily include trademarks and brand names acquired in acquisitions. For a complete discussion of the impairment of goodwill and indefinite-lived intangible assets related to our various segments, see Note 9, “Goodwill and Intangible Assets, Net.”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Goodwill is determined as the excess of the fair value of consideration transferred in a business combination over the net amounts of identifiable assets acquired and liabilities assumed. Goodwill is reviewed for impairment annually, or more frequently if impairment indicators exist. An impairment exists when a reporting unit’s carrying value exceeds its fair value. When performing the goodwill impairment testing, we first consider qualitative factors to determine if it is more likely than not that the fair value of a reporting unit is less than its carrying amount. Qualitative factors include considering macroeconomic conditions, industry and market conditions, overall financial performance and other factors. If necessary, a quantitative impairment test is performed. When a quantitative impairment test is performed, a reporting units’ fair value is based on valuation techniques using the best available information, primarily discounted cash flows projections, guideline transaction multiples, and multiples of current and future earnings. The impairment charge, if any, is the excess of the tested reporting unit’s carrying value over its fair value, limited to the total amount of goodwill allocated to the tested reporting unit.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are stated at fair value established at acquisition or cost. These indefinite-lived intangible assets are reviewed for impairment annually, or more frequently if impairment indicators exist. An impairment exists when a trademark or brand names’ carrying value exceeds its fair value. The fair values of these assets are based upon the prospective stream of hypothetical after-tax royalty cost savings discounted at rates that reflect the rates of return appropriate for these intangible assets. The impairment charge, if any, is the excess of the assets carrying value over its fair value.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Benefit Plan Obligations</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Post-retirement benefit liabilities were $81 million and $73 million as of December 31, 2020 and 2019, respectively, and are included in accrued expenses and other liabilities in our consolidated balance sheets.</w:t>
      </w:r>
    </w:p>
    <w:p>
      <w:pPr>
        <w:spacing w:after="0" w:line="16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Appropriate actuarial methods and assumptions are used in accounting for defined benefit pension plans and other post-retirement benefit plans. These assumptions include long-term rate of return on plan assets, discount rates and other factors. Actual results that differ from the assumptions used are accumulated and amortized over future periods. Therefore, assumptions used to calculate benefit obligations as of the end of the year directly impact the expense to be recognized in future periods. The measurement date for all defined benefit plans is December 31 of each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Accumulated other comprehensive loss is included in the limited partners and general partner components of equity in the consolidated balance sheets in the amounts of $83 million and $82 million as of December 31, 2020 and 2019, respectively. Refer to Note 16, “Changes in Accumulated Other Comprehensive Loss,” for further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Net Profits and Losses in Consolidated Affiliated Partnerships</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Partnership Interest of Icahn Enterprises and Icahn Enterprises Holdings</w:t>
      </w:r>
    </w:p>
    <w:p>
      <w:pPr>
        <w:spacing w:after="0" w:line="229" w:lineRule="exact"/>
        <w:rPr>
          <w:sz w:val="20"/>
          <w:szCs w:val="20"/>
          <w:color w:val="auto"/>
        </w:rPr>
      </w:pPr>
    </w:p>
    <w:p>
      <w:pPr>
        <w:ind w:left="60" w:right="419" w:firstLine="324"/>
        <w:spacing w:after="0" w:line="258" w:lineRule="auto"/>
        <w:rPr>
          <w:sz w:val="20"/>
          <w:szCs w:val="20"/>
          <w:color w:val="auto"/>
        </w:rPr>
      </w:pPr>
      <w:r>
        <w:rPr>
          <w:rFonts w:ascii="Times New Roman" w:cs="Times New Roman" w:eastAsia="Times New Roman" w:hAnsi="Times New Roman"/>
          <w:sz w:val="18"/>
          <w:szCs w:val="18"/>
          <w:color w:val="auto"/>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spacing w:after="0" w:line="183"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(1% in the case of Icahn Enterprises Holdings) of the total capital accounts of all partners.</w:t>
      </w:r>
    </w:p>
    <w:p>
      <w:pPr>
        <w:spacing w:after="0" w:line="187"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Generally, net earnings for U.S. federal income tax purposes are allocated 1.99% (1% in the case of Icahn Enterprises Holdings) and 98.01% (99% in the case of Icahn Enterprises Holdings)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If a deficit balance still remains in the general partner’s capital account after all allocations are made between the partners, the general partner would not be required to make whole any such deficit.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Income Per LP Unit</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For Icahn Enterprises, basic income (loss) per LP unit is based on net income or loss attributable to Icahn Enterprises allocated to limited partners. Net income or loss allocated to limited partners is divided by the weighted-average number of LP units outstanding. Diluted income (loss) per LP unit, when applicable, is based on basic income (loss) adjusted for the potential effect of dilutive securities as well as the related weighted-average number of units and equivalent units outstanding.</w:t>
      </w:r>
    </w:p>
    <w:p>
      <w:pPr>
        <w:spacing w:after="0" w:line="183"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For accounting purposes, when applicable, earnings prior to dates of acquisitions of entities under common control are excluded from the computation of basic and diluted income per LP unit as such earnings are allocated to our general partner.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are limited to amounts considered to be realizable in future periods. A valuation allowance is recorded against deferred tax assets if management does not believe that we have met the “more-likely-than-not” standard to allow recognition of such an asset.</w:t>
      </w:r>
    </w:p>
    <w:p>
      <w:pPr>
        <w:spacing w:after="0" w:line="17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percent likely to be recognized upon ultimate settlement with the taxing authority is recorded. See Note 15, “Income Taxes,” 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determination of whether an arrangement is or contains a lease occurs at inception. We account for arrangements that contain lease and non-lease components as a single lease component for all classes of underlying assets. Leases in which we are the lessor are primarily within our Real Estate segment. Refer to Real Estate below for further discussion. In addition, all of our businesses, including our Real Estate segment, enter into lease arrangements as the lessee. The following is our accounting policy for leases in which we are the lessee.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 Segments and Holding Company</w:t>
      </w:r>
    </w:p>
    <w:p>
      <w:pPr>
        <w:spacing w:after="0" w:line="22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Leases are classified as either operating or financing by the lessee depending on whether or not the lease terms provide for control of the underlying asset to be transferred to the lessee. When control transfers to the lessee, we classify the lease as a financing lease. All other leases are recorded as operating leases. Effective January 1, 2019, for all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leases with an initial lease term in excess of twelve months, we record a right-of-use asset with a corresponding liability in the consolidated balance sheet. Right-of-use assets represent our right to use an underlying asset for the lease term and lease liabilities represent our obligation to make lease payments arising from the lease. Right-of-use assets and lease liabilities are recognized at commencement of the lease based on the present value of the lease payments over the lease term. Right-of-use assets are adjusted for any lease payments made on or before commencement of the lease, less any lease incentives received. As most of our leases do not provide an implicit rate, we use the incremental borrowing rate with respect to each of our businesses based on the information available at commencement of the lease in determining the present value of lease payments. We use the implicit rate when readily determinable. The lease terms used in the determination of our right-of-use assets and lease liabilities reflect any options to extend or terminate the lease when it is reasonably certain that we will exercise such option. We and our subsidiaries, independently of each other, apply a portfolio approach to account for the right-of-use assets and lease liabilities when we or our subsidiaries do not believe that applying the portfolio approach would be materially different from accounting for right-of-use assets and lease liabilities individually.</w:t>
      </w:r>
    </w:p>
    <w:p>
      <w:pPr>
        <w:spacing w:after="0" w:line="18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Operating lease costs are recorded as a single expense recognized on a straight-line basis over the lease term. Operating lease right-of-use assets are amortized for the difference between the straight-line expense less the accretion of interest of the related lease liability. Financing lease costs consists of interest expense on the financing lease liability as well as amortization of the right-of-use financing lease assets on a straight-line basis over the lease term.</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jc w:val="both"/>
        <w:ind w:left="60" w:right="399" w:firstLine="324"/>
        <w:spacing w:after="0" w:line="270" w:lineRule="auto"/>
        <w:rPr>
          <w:sz w:val="20"/>
          <w:szCs w:val="20"/>
          <w:color w:val="auto"/>
        </w:rPr>
      </w:pPr>
      <w:r>
        <w:rPr>
          <w:rFonts w:ascii="Times New Roman" w:cs="Times New Roman" w:eastAsia="Times New Roman" w:hAnsi="Times New Roman"/>
          <w:sz w:val="17"/>
          <w:szCs w:val="17"/>
          <w:color w:val="auto"/>
        </w:rPr>
        <w:t xml:space="preserve">Leases are classified as either operating, sales-type or direct financing by the lessor. Our Real Estate segment’s net lease portfolio consists of commercial real estate leased to others under long-term operating leases and we account for these leases in accordance with FASB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These assets leased to others are recorded at cost, net of accumulated depreciation, and are included in property, plant and equipment, net on our consolidated balance sheets.</w:t>
      </w:r>
    </w:p>
    <w:p>
      <w:pPr>
        <w:spacing w:after="0" w:line="3"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Assets leased to others are depreciated on a straight-line basis over the useful lives of the assets, ranging from 5 years to 39 years. Lease revenue is recognized on a straight-line basis over the lease term. Cash receipts for all lease payments received are included in net cash flows from operating activities in the consolidated statements of cash flows.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and Contract Balances</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in accordance with U.S. GAAP. Such revenue from contracts with customers are included in net sales and other revenues from operations in the consolidated statements of operations; however, our Real Estate segment’s leasing revenue, as disclosed in Note 10, “Leases,” is also included in other revenues from operations. Related contract assets are included in accounts receivable, net or other assets and related contract liabilities are included in accrued expenses and other liabilities in the consolidated balance sheets. Our disaggregation of revenue information includes our net sales and other revenues from operations for each of our reporting segments as well as additional disaggregation of revenue information for our Energy and Automotive segments. See Note 13, “Segment and Geographic Reporting,” for our complete disaggregation of revenue information. In addition, we disclose additional information with respect to revenue from contracts with customers and contract balances for our Energy and Automotive segments below.</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Energy segment revenues from the sale of petroleum products are recorded upon delivery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to customers, which is the point at which title is transferred and the customer has assumed the risk of loss. This generally takes place as product passes into the pipeline, as a product transfer order occurs within a pipeline system, or as product enters equipment or locations supplied or designated by the customer. For our Energy segment’s nitrogen fertilizer products sold, revenues are recorded at the point in time at which the customer obtains control of the product, which is generally upon delivery and acceptance by the customer. Nitrogen fertilizer products are sold on a wholesale basis under a contract or by purchase order. Excise and other taxes collected from customers and remitted to governmental authorities by our Energy segment are not included in reported revenues.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petroleum business’ contracts with its customers state the terms of the sale, including the description, quantity, and price of each product sold. Depending on the product sold, and the type of contract, payments from customers are generally due in full within 30 days of product delivery or invoice date. Many of the petroleum business’ contracts have index-based pricing which is considered variable consideration that should be estimated in determining the transaction price. Our Energy segment determined that it does not need to estimate the variable consideration because the uncertainty related to the consideration is resolved on the pricing date or the date when the product is delivered. The nitrogen fertilizer business has an immaterial amount of variable consideration for contracts with an original duration of less than a year. A small portion of the nitrogen fertilizer partnership’s revenue includes contracts extending beyond one year and contain variable pricing in which the majority of the variability is attributed to the market-based pricing. The nitrogen fertilizer business’ contracts do not contain a significant financing component.</w:t>
      </w:r>
    </w:p>
    <w:p>
      <w:pPr>
        <w:spacing w:after="0" w:line="194"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Energy segment generally provides no warranty other than the implicit promise that goods delivered are free of liens and encumbrances and meet the agreed upon specifications. In addition, product returns are very rare and are accounted for as they occur; however, contracts do include provisions which state that the petroleum business will except returns of off-spec product, refund the customer, provide on-spec product, and pay for damages to any customer equipment which resulted from off-spec product. Typically, if a customer is not satisfied with a product, the price is adjusted downward instead of the product being returned or exchanged.</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our Energy segment had $6 million of remaining performance obligations for contracts with an original expected duration of more than one year. Our Energy segment expects to recognize approximately $3 million of these performance obligations as revenue by the end of 2021 and the remaining balance thereafter.</w:t>
      </w:r>
    </w:p>
    <w:p>
      <w:pPr>
        <w:spacing w:after="0" w:line="174"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Our Energy segment’s deferred revenue is a contract liability that primarily relates to fertilizer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$31 million and $28 million as of December 31, 2020 and 2019, respectively. Deferred revenue is included in accrued expense and other liabilities in the consolidated balance sheets. For the year ended December 31, 2020, 2019 and 2018, our Energy segment recorded revenue of $27 million, $68 million and $34 million, respectively, with respect to deferred revenue outstanding as of the beginning of each respective year.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Automotive segment recognizes revenue when it satisfies a performance obligation by transferring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a product or service to a customer. Our Automotive segment revenue from retail and commercial parts sales is measured based on consideration specified in a contract with a customer and excludes any sales incentives and amounts collected on behalf of third parties. Automotive service revenues are recognized on completion of the service and consist of products and the labor charged for installing products or maintaining or repairing vehicles. Automotive services labor revenues are included in other revenues from operations in our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(recognized over 3 years) and 1-year, 3-year and lifetime plans for alignments (recognized over</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1 year, 3 years and 5 years, respectively), for which it receives payment upfront. Revenues from extended warranties are recognized over the term of the warranty contract with the satisfaction of its performance obligations measured using the output method. Our Automotive segment recognizes revenues from franchise royalties, for which it receives payment over time, in the period in which royalties are earned, generally based on a percentage of franchise sales.</w:t>
      </w:r>
    </w:p>
    <w:p>
      <w:pPr>
        <w:spacing w:after="0" w:line="187" w:lineRule="exact"/>
        <w:rPr>
          <w:sz w:val="20"/>
          <w:szCs w:val="20"/>
          <w:color w:val="auto"/>
        </w:rPr>
      </w:pPr>
    </w:p>
    <w:p>
      <w:pPr>
        <w:ind w:left="60" w:right="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balances: </w:t>
      </w:r>
      <w:r>
        <w:rPr>
          <w:rFonts w:ascii="Times New Roman" w:cs="Times New Roman" w:eastAsia="Times New Roman" w:hAnsi="Times New Roman"/>
          <w:sz w:val="18"/>
          <w:szCs w:val="18"/>
          <w:color w:val="auto"/>
        </w:rPr>
        <w:t>Our Automotive segment has deferred revenue with respect to extended warranty plans of $41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$42 million as of December 31, 2020 and 2019, respectively, which are included in accrued expenses and other liabilities in our consolidated balance sheets. For the year ended December 31, 2020, 2019 and 2018, our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Automotive segment recorded revenue of $25 million, $21 million and $18 million, respectively, with respect to deferred revenue outstanding as of the beginning of each respective year.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Our Food Packaging segment revenues are recognized at the time products are shipped to the customer, under F.O.B. shipping point or F.O.B. port terms, which 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22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Our Metals segment’s primary source of revenue is from the sale of processed ferrous scrap metal, non-ferrous scrap metals, steel pipe and steel plate. PSC Metals also generates revenues from sales of secondary plate and pipe, the brokering of scrap metals and from services performed. All sales are recognized when title passes to the customer. Revenues from services are recognized as the service is performed. Sales adjustments related to price and weight differences are reflected as a reduction of revenues when settled.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Home Fashion segment records revenue upon delivery and when title is transferred and the customer has assumed the risk of loss. Unless otherwise agreed in writing, title and risk of loss pass from WPH to the customer when WPH delivers the merchandise to the designated point of delivery, to the designated point of destination or to the designated carrier, free on board. Provisions for certain rebates, sales incentives, product returns and discounts to customers are recorded in the same period the related revenue is recorded.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Pharma segment records product and supply revenue at the time of shipment at which time it has satisfied its performance obligations. Product revenue represents the significant majority of our Pharma segment’s revenue and is recognized net of estimated returns as well as net of considerations paid to customers, wholesalers and certified pharmacies for services rendered in accordance with their respective services network agreements and includes a fixed rate per prescription shipped and monthly program management and data fees. Consideration fees are not deemed sufficiently separable from the customers’ purchase of the products and therefore, such fees are recorded as a reduction of revenue at the time of revenue recognition. Our Pharma segment, as the principal party in a supply arrangement, recognizes supply revenue on a gross basis. Our Pharma segment also recognizes license and royalty revenue, which are not significant.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Mining</w:t>
      </w:r>
    </w:p>
    <w:p>
      <w:pPr>
        <w:spacing w:after="0" w:line="227"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Our Mining segment recognized revenue when title, ownership, and risk of loss pass to the customer, all of which occur upon shipment or delivery of the product and is based on the applicable shipping terms. Revenue was measured at the fair value of the consideration received or receivable, with any adjustments as a result of provisional pricing recorded against revenue.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 and Expense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5"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from real estate sales and related costs are recognized at the time of closing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specific identification. Substantially all of the property comprising our net lease portfolio is leased to others under long-term net leases and we account for these leases in accordance with applicable U.S. GAAP. We account for our leases as follows: (i) for operating leases, revenue is recognized on a straight line basis over the lease term and</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hanging="10"/>
        <w:spacing w:after="0" w:line="261" w:lineRule="auto"/>
        <w:tabs>
          <w:tab w:leader="none" w:pos="3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financing leases (x) minimum lease payments to be received plus the estimated value of the property at the end of the lease are considered the gross investment in the lease and (y) unearned income, representing the difference between gross investment and actual cost of the leased property, is amortized to income over the lease term so as to produce a constant periodic rate of return on the net investment in the lease.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6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Costs: </w:t>
      </w:r>
      <w:r>
        <w:rPr>
          <w:rFonts w:ascii="Times New Roman" w:cs="Times New Roman" w:eastAsia="Times New Roman" w:hAnsi="Times New Roman"/>
          <w:sz w:val="18"/>
          <w:szCs w:val="18"/>
          <w:color w:val="auto"/>
        </w:rPr>
        <w:t>Our Energy segment’s pass-through finished goods delivery costs reimbursed by customers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net sales, while an offsetting expense is included in cost of goods sold.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5" w:lineRule="exact"/>
        <w:rPr>
          <w:sz w:val="20"/>
          <w:szCs w:val="20"/>
          <w:color w:val="auto"/>
        </w:rPr>
      </w:pPr>
    </w:p>
    <w:p>
      <w:pPr>
        <w:ind w:left="60" w:right="5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Costs: </w:t>
      </w:r>
      <w:r>
        <w:rPr>
          <w:rFonts w:ascii="Times New Roman" w:cs="Times New Roman" w:eastAsia="Times New Roman" w:hAnsi="Times New Roman"/>
          <w:sz w:val="18"/>
          <w:szCs w:val="18"/>
          <w:color w:val="auto"/>
        </w:rPr>
        <w:t>Our Automotive segment recognizes shipping and handling costs as incurred and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general and administrative in the consolidated statements of operations for its commercial and retail parts businesses.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Liabilities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recognize environmental liabilities when a loss is probable and reasonably estimable. Estimates of these costs are based upon currently available facts, internal and third-party assessments of contamination, available remediation technology, site-specific costs, and currently enacted laws and regulations. In reporting environmental liabilities, no offset is made for potential recoveries. Loss contingency accruals, including those for environmental remediation, are subject to revision as further information develops or circumstances change, and such accruals can take into account the legal liability of other parties. Environmental expenditures are capitalized at the time of the expenditure when such costs provide future economic benefits.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other than for intercompany loans not designated as permanently reinvested, as the earnings of the subsidiaries are considered to be permanently reinvested.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Concentrations of credit risk relate primarily to derivative instruments from our Investment segment. See Note 6, “Financial Instruments,” for further discussion.</w:t>
      </w:r>
    </w:p>
    <w:p>
      <w:pPr>
        <w:spacing w:after="0" w:line="162" w:lineRule="exact"/>
        <w:rPr>
          <w:sz w:val="20"/>
          <w:szCs w:val="20"/>
          <w:color w:val="auto"/>
        </w:rPr>
      </w:pPr>
    </w:p>
    <w:p>
      <w:pPr>
        <w:ind w:left="60" w:right="259" w:firstLine="324"/>
        <w:spacing w:after="0" w:line="312" w:lineRule="auto"/>
        <w:rPr>
          <w:sz w:val="20"/>
          <w:szCs w:val="20"/>
          <w:color w:val="auto"/>
        </w:rPr>
      </w:pPr>
      <w:r>
        <w:rPr>
          <w:rFonts w:ascii="Times New Roman" w:cs="Times New Roman" w:eastAsia="Times New Roman" w:hAnsi="Times New Roman"/>
          <w:sz w:val="17"/>
          <w:szCs w:val="17"/>
          <w:color w:val="auto"/>
        </w:rPr>
        <w:t>In addition, at our Holding Company, financial instruments that potentially subject us to concentrations of credit risk are primarily cash and cash equivalent deposits. These cash and cash equivalent deposits are maintained with several</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financial institutions. The deposits held at the various financial institutions may exceed federally insured limits. Exposure to this credit risk is reduced by placing such deposits with major financial institutions and monitoring their credit ratings and, therefore, these deposits bear minimal credit risk.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which amends FASB ASC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In addition, in May 2019, the FASB issued ASU 2019-05, </w:t>
      </w:r>
      <w:r>
        <w:rPr>
          <w:rFonts w:ascii="Times New Roman" w:cs="Times New Roman" w:eastAsia="Times New Roman" w:hAnsi="Times New Roman"/>
          <w:sz w:val="18"/>
          <w:szCs w:val="18"/>
          <w:i w:val="1"/>
          <w:iCs w:val="1"/>
          <w:color w:val="auto"/>
        </w:rPr>
        <w:t>Targeted Transition Relief</w:t>
      </w:r>
      <w:r>
        <w:rPr>
          <w:rFonts w:ascii="Times New Roman" w:cs="Times New Roman" w:eastAsia="Times New Roman" w:hAnsi="Times New Roman"/>
          <w:sz w:val="18"/>
          <w:szCs w:val="18"/>
          <w:color w:val="auto"/>
        </w:rPr>
        <w:t>, which updates FASB ASU 2016-13. These ASUs require financial assets measured at amortized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to be presented at the net amount to be collected and broadens the information, including forecasted information incorporating more timely information, that an entity must consider in developing its expected credit loss estimate for assets measured. These ASUs are effective for fiscal years beginning after December 15, 2019, and interim periods within those fiscal years. We have adopted this standard on January 1, 2020. Most of our financial assets are excluded from the requirements of this standard as they are measured at fair value or are subject to other accounting standards. In addition, certain of our other financial assets are short-term in nature and therefore were not subject to significant credit losses beyond what was previously recorded under prior accounting standards. As a result, the adoption of this standard did not have a significant impact on our consolidated financial statements.</w:t>
      </w:r>
    </w:p>
    <w:p>
      <w:pPr>
        <w:spacing w:after="0" w:line="19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Framework-Changes to the Disclosure Requirements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which amends FASB ASC Topic 820,</w:t>
      </w:r>
      <w:r>
        <w:rPr>
          <w:rFonts w:ascii="Times New Roman" w:cs="Times New Roman" w:eastAsia="Times New Roman" w:hAnsi="Times New Roman"/>
          <w:sz w:val="18"/>
          <w:szCs w:val="18"/>
          <w:i w:val="1"/>
          <w:iCs w:val="1"/>
          <w:color w:val="auto"/>
        </w:rPr>
        <w:t xml:space="preserve"> Fair Value Measurements</w:t>
      </w:r>
      <w:r>
        <w:rPr>
          <w:rFonts w:ascii="Times New Roman" w:cs="Times New Roman" w:eastAsia="Times New Roman" w:hAnsi="Times New Roman"/>
          <w:sz w:val="18"/>
          <w:szCs w:val="18"/>
          <w:color w:val="auto"/>
        </w:rPr>
        <w:t>. This ASU eliminates, modifies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adds various disclosure requirements for fair value measurements. This ASU is effective for fiscal years beginning after December 15, 2019, and interim periods within those fiscal years. Certain disclosures are required to be applied using a retrospective approach and others using a prospective approach. We have adopted this standard on January 1, 2020. The various disclosure requirements being eliminated, modified or added are not significant to us. As a result, the adoption of this standard did not have a significant impact on our consolidated financial statements.</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Computing Arrangement That is a Service Contract</w:t>
      </w:r>
      <w:r>
        <w:rPr>
          <w:rFonts w:ascii="Times New Roman" w:cs="Times New Roman" w:eastAsia="Times New Roman" w:hAnsi="Times New Roman"/>
          <w:sz w:val="18"/>
          <w:szCs w:val="18"/>
          <w:color w:val="auto"/>
        </w:rPr>
        <w:t>, which amends FASB ASC Subtopic 350-40,</w:t>
      </w:r>
      <w:r>
        <w:rPr>
          <w:rFonts w:ascii="Times New Roman" w:cs="Times New Roman" w:eastAsia="Times New Roman" w:hAnsi="Times New Roman"/>
          <w:sz w:val="18"/>
          <w:szCs w:val="18"/>
          <w:i w:val="1"/>
          <w:iCs w:val="1"/>
          <w:color w:val="auto"/>
        </w:rPr>
        <w:t xml:space="preserve"> Intangibles-Goodwill and Other-Internal-Use Software</w:t>
      </w:r>
      <w:r>
        <w:rPr>
          <w:rFonts w:ascii="Times New Roman" w:cs="Times New Roman" w:eastAsia="Times New Roman" w:hAnsi="Times New Roman"/>
          <w:sz w:val="18"/>
          <w:szCs w:val="18"/>
          <w:color w:val="auto"/>
        </w:rPr>
        <w:t>. This ASU adds certain disclosure requirements related to implementation costs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The amendments in this ASU should be applied either using a retrospective or prospective approach. We have adopted this standard on January 1, 2020 prospectively. The adoption of this standard did not have a significant impact on our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which amends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This ASU simplifies the accounting for income taxes by removing certain exceptions to the general principles in the standard and modifies other areas of the standard to clarify the application of U.S. GAAP. This ASU is effective for fiscal years beginning after December 15, 2020, and interim periods within those fiscal years. Certain amendments in this ASU should be applied using a retrospective approach and others using the prospective approach. Early adoption is permitted. We currently do not anticipate this standard to have a significant impact on our consolidated financial statements.</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amends FASB ASC Topic 848,</w:t>
      </w:r>
      <w:r>
        <w:rPr>
          <w:rFonts w:ascii="Times New Roman" w:cs="Times New Roman" w:eastAsia="Times New Roman" w:hAnsi="Times New Roman"/>
          <w:sz w:val="18"/>
          <w:szCs w:val="18"/>
          <w:i w:val="1"/>
          <w:iCs w:val="1"/>
          <w:color w:val="auto"/>
        </w:rPr>
        <w:t xml:space="preserve"> Reference Rate Reform</w:t>
      </w:r>
      <w:r>
        <w:rPr>
          <w:rFonts w:ascii="Times New Roman" w:cs="Times New Roman" w:eastAsia="Times New Roman" w:hAnsi="Times New Roman"/>
          <w:sz w:val="18"/>
          <w:szCs w:val="18"/>
          <w:color w:val="auto"/>
        </w:rPr>
        <w:t>. By June 30, 2023, banks will no longer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away from these reference rates. Companies can apply this ASU immediately and will only be available for a limited time (generally through December 31, 2022). We are currently assessing the impact of this standard on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Funds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Mr. Icahn and his affiliates (excluding us) contributed $1,241 million to the Investment Funds consisting primarily of in-kind investments previously held directly by Mr. Icahn and his affiliates (excluding us). During the years ended December 31, 2019 and 2018, Mr. Icahn and his affiliates (excluding us) invested $220 million and $310 million, respectively, in the Investment Funds, net of redemptions. As of December 31, 2020 and 2019, the total fair market value of investments in the Investment Funds made by Mr. Icahn and his affiliates (excluding us) was approximately $5.0 billion and $4.5 billion, respectively, representing approximately 54% and 51% of the Investment Funds’ assets under management as of each respective date.</w:t>
      </w:r>
    </w:p>
    <w:p>
      <w:pPr>
        <w:spacing w:after="0" w:line="18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years ended December 31, 2020, 2019 and 2018, $2 million, $23 million and $12 million, respectively, was allocated to the Investment Funds based on this expense-sharing arrangement.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Hertz Global Holdings, Inc.</w:t>
      </w:r>
    </w:p>
    <w:p>
      <w:pPr>
        <w:spacing w:after="0" w:line="229"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As discussed in Note 4, “Investments,” the Investment Funds had an investment in the common stock of Hertz Global Holdings, Inc. (“Hertz”) measured at fair value that would have otherwise been subject to the equity method of accounting (until sold in the second quarter of 2020). Icahn Automotive provides services to Hertz in the ordinary course of business.</w:t>
      </w:r>
    </w:p>
    <w:p>
      <w:pPr>
        <w:spacing w:after="0" w:line="2"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For the years ended December 31, 2020, 2019 and 2018, revenue from Hertz was $20 million, $54 million and $40 million, respectively.</w:t>
      </w:r>
    </w:p>
    <w:p>
      <w:pPr>
        <w:spacing w:after="0" w:line="181"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 Investment Funds purchased shares of a certain investment from Hertz in the amount of $36 million.</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Our exposure to loss with respect to 767 Leasing is primarily limited to our direct investment in 767 Leasing as well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any payment obligations of 767 Leasing that we guarantee, which are not material as of December 31, 2020 and 2019. As of December 31, 2020 and 2019, 767 Leasing had assets of $36 million and $121 million, respectively, (primarily vehicles for lease) and total liabilities of $0 million and $1 million, respectively, which represents a payable to Icahn Automotive in connection with a shared services agreement. For the years ended December 31, 2020, 2019 and 2018, 767 Leasing had revenues of $43 million, $75 million and $7 million, respectively and net (loss) income of $(12) million, $10 million and $(3) million, respectively.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 ended December 31, 2020, 767 Leasing distributed $75 million to us. For the years ended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2019 and 2018, we invested $50 million and $60 million, respectively, in 767 Leasing. During the years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2020, 2019 and 2018, we had equity (losses) earnings from 767 Leasing of $(7) million, $11 million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million, respectively. As of December 31, 2020 and 2019, we had an equity method investment in 767 Leasing of $40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and $120 million, respectively, which we report in our Automotive segment.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ACF Industries LLC</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Railcar operations, prior to December 5, 2018 (the date we closed on the sale of ARI), had certain transactions with ACF Industries LLC (“ACF”), an affiliate of Mr. Icahn, under various agreements, as well as on a purchase order basis. ACF is a manufacturer and fabricator of specialty railcar parts and miscellaneous steel products. Agreements and transactions with ACF include (i) railcar component purchases from ACF, (ii) railcar parts purchases from and sales to ACF, (iii) railcar purchasing and engineering services agreements with ACF, (iv) lease of certain intellectual property to ACF and (v) railcar repair services and support for ACF. For the year ended December 31, 2018, purchases from ACF were $3 million and revenues from ACF were $6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Insight Portfolio Group LLC</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has a minority equity interest in Insight Portfolio Group and agreed to pay a portion of Insight Portfolio Group’s operating expenses. In addition to the minority equity interest held by Icahn Enterprises Holdings, certain subsidiaries of ours, including CVR Energy, Viskase, PSC Metals, WPH, Federal-Mogul (prior to October 1, 2018), ARI (prior to December 5, 2018) and Tropicana (prior to October 1, 2018) also acquired minority equity interests in Insight Portfolio Group and agreed to pay a portion of Insight Portfolio Group’s operating expenses. A number of other entities with which Mr. Icahn has a relationship also have minority equity interests in Insight Portfolio Group and also agreed to pay certain of Insight Portfolio Group’s operating expenses. Insight Portfolio Group ceased operations effective January 1, 2020. For the years ended December 31, 2019 and 2018, we and certain of our subsidiaries paid certain of the Insight Portfolio Group’s operating expenses of $3 million and $4 million, respectively.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Agreements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On October 1, 2020, we entered into a manager agreement with Brett Icahn, the son of Carl C. Icahn, and affiliates of Brett Icahn. Under the manager agreement, Brett Icahn will serve as the portfolio manager of a designated portfolio of assets within the Investment Funds over a seven-year term, subject to veto rights by our Investment segment and Carl. C. Icahn. Additionally, Brett Icahn will provide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agreement. Brett Icahn will not be entitled to receive from us any other compensation (including any salary or bonus) in respect of the services he is to provide under the manager agreement other than restricted depositary units granted under a restricted unit agreement, as discussed below.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2020, Brett Icahn contributed $12 million in accordance with the manager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all of which are reported at fair value in our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82"/>
        </w:trPr>
        <w:tc>
          <w:tcPr>
            <w:tcW w:w="512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12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materials</w:t>
            </w:r>
          </w:p>
        </w:tc>
        <w:tc>
          <w:tcPr>
            <w:tcW w:w="17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non-cyclical</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2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materials</w:t>
            </w:r>
          </w:p>
        </w:tc>
        <w:tc>
          <w:tcPr>
            <w:tcW w:w="17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non-cyclical</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Communication</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portion of unrealized gains (losses) that relates to securities still held by our Investment segment, primarily equity securities, was $65 million, $706 million and $(800) million for the years ended December 31, 2020, 2019 and 2018, respectively.</w:t>
      </w:r>
    </w:p>
    <w:p>
      <w:pPr>
        <w:spacing w:after="0" w:line="176" w:lineRule="exact"/>
        <w:rPr>
          <w:sz w:val="20"/>
          <w:szCs w:val="20"/>
          <w:color w:val="auto"/>
        </w:rPr>
      </w:pPr>
    </w:p>
    <w:p>
      <w:pPr>
        <w:ind w:left="60" w:right="259" w:firstLine="324"/>
        <w:spacing w:after="0" w:line="289" w:lineRule="auto"/>
        <w:rPr>
          <w:sz w:val="20"/>
          <w:szCs w:val="20"/>
          <w:color w:val="auto"/>
        </w:rPr>
      </w:pPr>
      <w:r>
        <w:rPr>
          <w:rFonts w:ascii="Times New Roman" w:cs="Times New Roman" w:eastAsia="Times New Roman" w:hAnsi="Times New Roman"/>
          <w:sz w:val="17"/>
          <w:szCs w:val="17"/>
          <w:color w:val="auto"/>
        </w:rPr>
        <w:t>As discussed in Note 2, “Basis of Presentation and Summary of Significant Accounting Policies,” when certain investments become subject to the equity method of accounting, our Investment segment elects the fair value option to such investment. Investments become subject to the equity method of accounting when we possess the ability to exercise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significant influence, but not control, over the operating and financial policies of the investee. The ability to exercise significant influence is presumed when we possess more than 20% of the voting interests of the investee. This presumption may be overcome based on specific facts and circumstances that demonstrate that the ability to exercise significant influence is restricted. Conversely, there is a presumption that for investments in which we have less than 20% of the voting interests of the investee that we do not have the ability to exercise significant influence. However, such presumption may be overcome based on specific facts and circumstances that demonstrate that the ability to exercise significant influence is present, such as when we have representation on the board of directors of such investee.</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After considering specific facts and circumstances, including the collective ownership in entities by the Investment Funds and affiliates of Mr. Icahn, as well as their collective representation on each of the boards of directors, we have determined that we had the ability to exercise significant influence over the operating and financial policies of certain investees of our Investment segment. The following table summarizes our direct ownership in the most significant of such investees.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80" w:type="dxa"/>
            <w:vAlign w:val="bottom"/>
          </w:tcPr>
          <w:p>
            <w:pPr>
              <w:spacing w:after="0"/>
              <w:rPr>
                <w:sz w:val="18"/>
                <w:szCs w:val="18"/>
                <w:color w:val="auto"/>
              </w:rPr>
            </w:pPr>
          </w:p>
        </w:tc>
        <w:tc>
          <w:tcPr>
            <w:tcW w:w="19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74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80" w:type="dxa"/>
            <w:vAlign w:val="bottom"/>
          </w:tcPr>
          <w:p>
            <w:pPr>
              <w:spacing w:after="0"/>
              <w:rPr>
                <w:sz w:val="20"/>
                <w:szCs w:val="20"/>
                <w:color w:val="auto"/>
              </w:rPr>
            </w:pPr>
          </w:p>
        </w:tc>
        <w:tc>
          <w:tcPr>
            <w:tcW w:w="19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60" w:type="dxa"/>
            <w:vAlign w:val="bottom"/>
          </w:tcPr>
          <w:p>
            <w:pPr>
              <w:spacing w:after="0"/>
              <w:rPr>
                <w:sz w:val="20"/>
                <w:szCs w:val="20"/>
                <w:color w:val="auto"/>
              </w:rPr>
            </w:pPr>
          </w:p>
        </w:tc>
        <w:tc>
          <w:tcPr>
            <w:tcW w:w="2680" w:type="dxa"/>
            <w:vAlign w:val="bottom"/>
            <w:gridSpan w:val="9"/>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Recognized in Income</w:t>
            </w:r>
          </w:p>
        </w:tc>
      </w:tr>
      <w:tr>
        <w:trPr>
          <w:trHeight w:val="209"/>
        </w:trPr>
        <w:tc>
          <w:tcPr>
            <w:tcW w:w="27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8"/>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Pr>
          <w:p>
            <w:pPr>
              <w:spacing w:after="0"/>
              <w:rPr>
                <w:sz w:val="18"/>
                <w:szCs w:val="18"/>
                <w:color w:val="auto"/>
              </w:rPr>
            </w:pPr>
          </w:p>
        </w:tc>
      </w:tr>
      <w:tr>
        <w:trPr>
          <w:trHeight w:val="210"/>
        </w:trPr>
        <w:tc>
          <w:tcPr>
            <w:tcW w:w="274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8"/>
                <w:szCs w:val="18"/>
                <w:color w:val="auto"/>
              </w:rPr>
            </w:pPr>
          </w:p>
        </w:tc>
      </w:tr>
      <w:tr>
        <w:trPr>
          <w:trHeight w:val="128"/>
        </w:trPr>
        <w:tc>
          <w:tcPr>
            <w:tcW w:w="2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Herbalife Nutrition Ltd.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 w:type="dxa"/>
            <w:vAlign w:val="bottom"/>
          </w:tcPr>
          <w:p>
            <w:pPr>
              <w:spacing w:after="0"/>
              <w:rPr>
                <w:sz w:val="18"/>
                <w:szCs w:val="18"/>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Hertz Global Holdings, Inc.</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Caesars Entertainment Corporation</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2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During the second quarter of 2020, the Investment Funds sold their entire investment in Hertz. Prior to the sale of its investment in Hertz, the Investment Funds owned approximately 38.9% of the outstanding common stock of Hertz. During the third quarter of 2020, the Investment Funds sold their entire investment in Caesars Entertainment Corporation (“Caesars”). Prior to the sale of their investment in Caesars, the Investment Funds owned approximately 16.7% of the outstanding common stock of Caesars.</w:t>
      </w:r>
    </w:p>
    <w:p>
      <w:pPr>
        <w:spacing w:after="0" w:line="183"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addition, in August 2020, the Investment Funds sold a portion of their investment in Herbalife Nutrition Ltd. (“Herbalife”) pursuant to Herbalife’s “modified Dutch auction” tender offer to purchase its common shares, and as a result, the Investment Funds ceased to have an ability to exercise significant influence over the operating and financial policies of Herbalife. Prior to this transaction, the Investment Funds owned approximately 23.8% of the outstanding common stock of Herbalife. In January 2021, Herbalife repurchased shares of its common stock from us and as a result, we owned 6.7% of the outstanding common stock of Herbalife.</w:t>
      </w:r>
    </w:p>
    <w:p>
      <w:pPr>
        <w:spacing w:after="0" w:line="187"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Due to the nature of our Investment segment’s operations, the sales of Hertz, Caesars and Herbalife are deemed to be in the ordinary course of business.</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contain summarized financial information with respect to our investments in Hertz and Herbalife during the respective periods (or partial periods) in which we possessed the ability to exercise significant influence over the operating and financial policies of the investee.</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09"/>
        </w:trPr>
        <w:tc>
          <w:tcPr>
            <w:tcW w:w="66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Hertz</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Herbalife</w:t>
            </w:r>
          </w:p>
        </w:tc>
        <w:tc>
          <w:tcPr>
            <w:tcW w:w="20" w:type="dxa"/>
            <w:vAlign w:val="bottom"/>
          </w:tcPr>
          <w:p>
            <w:pPr>
              <w:spacing w:after="0"/>
              <w:rPr>
                <w:sz w:val="18"/>
                <w:szCs w:val="18"/>
                <w:color w:val="auto"/>
              </w:rPr>
            </w:pPr>
          </w:p>
        </w:tc>
      </w:tr>
      <w:tr>
        <w:trPr>
          <w:trHeight w:val="129"/>
        </w:trPr>
        <w:tc>
          <w:tcPr>
            <w:tcW w:w="6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gridSpan w:val="4"/>
          </w:tcPr>
          <w:p>
            <w:pPr>
              <w:jc w:val="right"/>
              <w:ind w:right="67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 w:type="dxa"/>
            <w:vAlign w:val="bottom"/>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attributable to investee shareholders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majority of total assets in the table above consists of property, plant and equipment, net for Hertz and cash and cash equivalents, inventories, net and property, plant and equipment, net for Herbalife. The majority of total liabilities in the table above consists of debt for each of Hertz and Herbalife.</w:t>
      </w:r>
    </w:p>
    <w:p>
      <w:pPr>
        <w:sectPr>
          <w:pgSz w:w="11900" w:h="16838" w:orient="portrait"/>
          <w:cols w:equalWidth="0" w:num="1">
            <w:col w:w="9019"/>
          </w:cols>
          <w:pgMar w:left="1440" w:top="513" w:right="1440" w:bottom="1440" w:gutter="0" w:footer="0" w:header="0"/>
        </w:sectPr>
      </w:pPr>
    </w:p>
    <w:p>
      <w:pPr>
        <w:spacing w:after="0" w:line="185"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b w:val="1"/>
          <w:bCs w:val="1"/>
          <w:color w:val="auto"/>
        </w:rPr>
        <w:t>Hertz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19685</wp:posOffset>
            </wp:positionV>
            <wp:extent cx="1457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1"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21590</wp:posOffset>
            </wp:positionV>
            <wp:extent cx="1457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14" w:lineRule="exact"/>
        <w:rPr>
          <w:sz w:val="20"/>
          <w:szCs w:val="20"/>
          <w:color w:val="auto"/>
        </w:rPr>
      </w:pPr>
    </w:p>
    <w:p>
      <w:pPr>
        <w:ind w:left="4480"/>
        <w:spacing w:after="0"/>
        <w:tabs>
          <w:tab w:leader="none" w:pos="5300" w:val="left"/>
          <w:tab w:leader="none" w:pos="610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14605</wp:posOffset>
            </wp:positionV>
            <wp:extent cx="1457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Herbalife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19685</wp:posOffset>
            </wp:positionV>
            <wp:extent cx="14230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21590</wp:posOffset>
            </wp:positionV>
            <wp:extent cx="14230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800" w:val="left"/>
          <w:tab w:leader="none" w:pos="162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14605</wp:posOffset>
            </wp:positionV>
            <wp:extent cx="14230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6480" w:space="340"/>
            <w:col w:w="219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sales/Other revenue from operations</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2,755</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$ 9,779</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$ 9,504</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$ 2,609</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$ 4,877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$ 4,892</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sold/Other expenses from operations</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3,231</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8,051</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8,045</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investee shareholders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bl>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Segments and Holding Company</w:t>
      </w:r>
    </w:p>
    <w:p>
      <w:pPr>
        <w:spacing w:after="0" w:line="22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certain equity method investments at our operating subsidiaries and our Holding Company disclosed in the table below, our investments are measured at fair value in our consolidated balance sheets. The carrying value of investments held by our other segments and our Holding Company consist of the following:</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19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r>
      <w:tr>
        <w:trPr>
          <w:trHeight w:val="210"/>
        </w:trPr>
        <w:tc>
          <w:tcPr>
            <w:tcW w:w="66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r>
      <w:tr>
        <w:trPr>
          <w:trHeight w:val="128"/>
        </w:trPr>
        <w:tc>
          <w:tcPr>
            <w:tcW w:w="6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jc w:val="right"/>
              <w:ind w:right="35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68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201</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to maturity debt investments measured at amortized cost</w:t>
            </w: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fair value</w:t>
            </w:r>
          </w:p>
        </w:tc>
        <w:tc>
          <w:tcPr>
            <w:tcW w:w="6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534</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537</w:t>
            </w:r>
          </w:p>
        </w:tc>
      </w:tr>
      <w:tr>
        <w:trPr>
          <w:trHeight w:val="210"/>
        </w:trPr>
        <w:tc>
          <w:tcPr>
            <w:tcW w:w="6660" w:type="dxa"/>
            <w:vAlign w:val="bottom"/>
          </w:tcPr>
          <w:p>
            <w:pPr>
              <w:spacing w:after="0"/>
              <w:rPr>
                <w:sz w:val="18"/>
                <w:szCs w:val="18"/>
                <w:color w:val="auto"/>
              </w:rPr>
            </w:pPr>
          </w:p>
        </w:tc>
        <w:tc>
          <w:tcPr>
            <w:tcW w:w="6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674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738</w:t>
            </w:r>
          </w:p>
        </w:tc>
      </w:tr>
      <w:tr>
        <w:trPr>
          <w:trHeight w:val="20"/>
        </w:trPr>
        <w:tc>
          <w:tcPr>
            <w:tcW w:w="6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portion of unrealized losses that relates to equity securities still held by our other segments and our Holding Company was $36 million, $421 million and $339 million for the years ended December 31, 2020, 2019 and 2018,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w:t>
      </w:r>
    </w:p>
    <w:p>
      <w:pPr>
        <w:spacing w:after="0" w:line="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8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Investments and non-financial assets and/or liabilities measured and reported at fair value are classified and disclosed in one of the following categories:</w:t>
      </w:r>
    </w:p>
    <w:p>
      <w:pPr>
        <w:spacing w:after="0" w:line="162" w:lineRule="exact"/>
        <w:rPr>
          <w:sz w:val="20"/>
          <w:szCs w:val="20"/>
          <w:color w:val="auto"/>
        </w:rPr>
      </w:pPr>
    </w:p>
    <w:p>
      <w:pPr>
        <w:ind w:left="460" w:right="539"/>
        <w:spacing w:after="0" w:line="282" w:lineRule="auto"/>
        <w:rPr>
          <w:sz w:val="20"/>
          <w:szCs w:val="20"/>
          <w:color w:val="auto"/>
        </w:rPr>
      </w:pPr>
      <w:r>
        <w:rPr>
          <w:rFonts w:ascii="Times New Roman" w:cs="Times New Roman" w:eastAsia="Times New Roman" w:hAnsi="Times New Roman"/>
          <w:sz w:val="18"/>
          <w:szCs w:val="18"/>
          <w:color w:val="auto"/>
        </w:rPr>
        <w:t>Level 1 - Quoted prices are available in active markets for identical investments and non-financial assets and/or liabilities as of the reporting date.</w:t>
      </w:r>
    </w:p>
    <w:p>
      <w:pPr>
        <w:spacing w:after="0" w:line="162" w:lineRule="exact"/>
        <w:rPr>
          <w:sz w:val="20"/>
          <w:szCs w:val="20"/>
          <w:color w:val="auto"/>
        </w:rPr>
      </w:pPr>
    </w:p>
    <w:p>
      <w:pPr>
        <w:ind w:left="460" w:right="79"/>
        <w:spacing w:after="0" w:line="261"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right="359"/>
        <w:spacing w:after="0" w:line="258" w:lineRule="auto"/>
        <w:rPr>
          <w:sz w:val="20"/>
          <w:szCs w:val="20"/>
          <w:color w:val="auto"/>
        </w:rPr>
      </w:pPr>
      <w:r>
        <w:rPr>
          <w:rFonts w:ascii="Times New Roman" w:cs="Times New Roman" w:eastAsia="Times New Roman" w:hAnsi="Times New Roman"/>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83"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assets and liabilities by the above fair value hierarchy levels measured on a recurring basis: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8"/>
                <w:szCs w:val="18"/>
                <w:color w:val="auto"/>
              </w:rPr>
            </w:pP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200" w:type="dxa"/>
            <w:vAlign w:val="bottom"/>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2"/>
        </w:trPr>
        <w:tc>
          <w:tcPr>
            <w:tcW w:w="286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8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(Note 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$ 8,546</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$ 8,761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$ 9,448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$ 9,732</w:t>
            </w:r>
          </w:p>
        </w:tc>
        <w:tc>
          <w:tcPr>
            <w:tcW w:w="0" w:type="dxa"/>
            <w:vAlign w:val="bottom"/>
          </w:tcPr>
          <w:p>
            <w:pPr>
              <w:spacing w:after="0"/>
              <w:rPr>
                <w:sz w:val="1"/>
                <w:szCs w:val="1"/>
                <w:color w:val="auto"/>
              </w:rPr>
            </w:pPr>
          </w:p>
        </w:tc>
      </w:tr>
      <w:tr>
        <w:trPr>
          <w:trHeight w:val="198"/>
        </w:trPr>
        <w:tc>
          <w:tcPr>
            <w:tcW w:w="2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Derivative contracts, at fair value</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 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9"/>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$ 8,546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$ 9,546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$ 9,448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$ 9,914</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Securities sold, not yet purchased</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$ 2,521</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$ 2,521</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$ 1,190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$ 1,190</w:t>
            </w:r>
          </w:p>
        </w:tc>
        <w:tc>
          <w:tcPr>
            <w:tcW w:w="0" w:type="dxa"/>
            <w:vAlign w:val="bottom"/>
          </w:tcPr>
          <w:p>
            <w:pPr>
              <w:spacing w:after="0"/>
              <w:rPr>
                <w:sz w:val="1"/>
                <w:szCs w:val="1"/>
                <w:color w:val="auto"/>
              </w:rPr>
            </w:pPr>
          </w:p>
        </w:tc>
      </w:tr>
      <w:tr>
        <w:trPr>
          <w:trHeight w:val="198"/>
        </w:trPr>
        <w:tc>
          <w:tcPr>
            <w:tcW w:w="2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Derivative contracts, at fair value</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 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$ 2,532</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$ 3,374</w:t>
            </w: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$ 1,190</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$ 2,427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Refer to Note 19, “Pension and Other Post-Retirement Benefit Plans,” for our Food Packaging segment’s defined benefit plan assets measured at fair value on a recurring basis as of December 31, 2020 and 2019.</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 for Which We Use Level 3 Inputs to Determine Fair Value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changes in investments measured at fair value on a recurring basis for which we use Level 3 inputs to determine fair value are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10"/>
        </w:trPr>
        <w:tc>
          <w:tcPr>
            <w:tcW w:w="4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28"/>
        </w:trPr>
        <w:tc>
          <w:tcPr>
            <w:tcW w:w="44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Transfer in from Level 2</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recognized in income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out of Level 3</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During 2020, we transferred our debt investment in Vivus from Level 2 to Level 3 due to the reduction in market observable sources occurring during the period. The fair value of this investment was derived from the enterprise value of Vivus at emergence from bankruptcy, which was valued using a discounted cash flow method. We recognized a gain of $48 million as a result of adjusting the fair value of this investment just prior to emergence. In the fourth quarter of 2020, this debt investment, consisting of convertible debt securities, along with a separate debt investment in Vivus, consisting of a term loan, was transferred out of Level 3 upon Vivus’ emergence from bankruptcy, at which point, we acquired all of the equity interests in Vivus, resulting in Vivus becoming a consolidated subsidiary of ours.</w:t>
      </w:r>
    </w:p>
    <w:p>
      <w:pPr>
        <w:spacing w:after="0" w:line="18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As of the beginning of 2019, we had a certain equity investment which was considered a Level 3 investment due to unobservable market data and was measured at fair value on a recurring basis. We determined the fair value of this investment based on recent market transactions. During 2019, we sold this equity investment in its entirety.</w:t>
      </w:r>
    </w:p>
    <w:p>
      <w:pPr>
        <w:spacing w:after="0" w:line="176"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During 2020, our Real Estate segment recorded an impairment of certain development property, included in other assets in the consolidated balance sheets, of $5 million, and property, plant and equipment, net of $2 million.</w:t>
      </w:r>
    </w:p>
    <w:p>
      <w:pPr>
        <w:spacing w:after="0" w:line="162" w:lineRule="exact"/>
        <w:rPr>
          <w:sz w:val="20"/>
          <w:szCs w:val="20"/>
          <w:color w:val="auto"/>
        </w:rPr>
      </w:pPr>
    </w:p>
    <w:p>
      <w:pPr>
        <w:ind w:left="60" w:right="939" w:firstLine="324"/>
        <w:spacing w:after="0" w:line="282" w:lineRule="auto"/>
        <w:rPr>
          <w:sz w:val="20"/>
          <w:szCs w:val="20"/>
          <w:color w:val="auto"/>
        </w:rPr>
      </w:pPr>
      <w:r>
        <w:rPr>
          <w:rFonts w:ascii="Times New Roman" w:cs="Times New Roman" w:eastAsia="Times New Roman" w:hAnsi="Times New Roman"/>
          <w:sz w:val="18"/>
          <w:szCs w:val="18"/>
          <w:color w:val="auto"/>
        </w:rPr>
        <w:t>Refer to Note 9, “Goodwill and Intangible Assets, Net,” for discussion of our goodwill and intangible asset impairments.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Note 13, “Segment and Geographic Reporting,” for total impairment recorded by each of our segments.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8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9"/>
        <w:spacing w:after="0" w:line="266" w:lineRule="auto"/>
        <w:rPr>
          <w:sz w:val="20"/>
          <w:szCs w:val="20"/>
          <w:color w:val="auto"/>
        </w:rPr>
      </w:pPr>
      <w:r>
        <w:rPr>
          <w:rFonts w:ascii="Times New Roman" w:cs="Times New Roman" w:eastAsia="Times New Roman" w:hAnsi="Times New Roman"/>
          <w:sz w:val="18"/>
          <w:szCs w:val="18"/>
          <w:color w:val="auto"/>
        </w:rPr>
        <w:t>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18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8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183"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8" w:lineRule="exact"/>
        <w:rPr>
          <w:sz w:val="20"/>
          <w:szCs w:val="20"/>
          <w:color w:val="auto"/>
        </w:rPr>
      </w:pPr>
    </w:p>
    <w:p>
      <w:pPr>
        <w:jc w:val="both"/>
        <w:ind w:left="60" w:right="17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w:t>
      </w:r>
    </w:p>
    <w:p>
      <w:pPr>
        <w:spacing w:after="0" w:line="168"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December 31, 2020 and 2019 was $1 million and $266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volume of our Investment segment’s derivative activities based on their notional exposure, categorized by primary underlying risk:</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2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Long</w:t>
            </w:r>
          </w:p>
        </w:tc>
        <w:tc>
          <w:tcPr>
            <w:tcW w:w="7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Short</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Long</w:t>
            </w:r>
          </w:p>
        </w:tc>
        <w:tc>
          <w:tcPr>
            <w:tcW w:w="7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Exposure</w:t>
            </w:r>
          </w:p>
        </w:tc>
        <w:tc>
          <w:tcPr>
            <w:tcW w:w="18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Exposure</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Exposure</w:t>
            </w:r>
          </w:p>
        </w:tc>
        <w:tc>
          <w:tcPr>
            <w:tcW w:w="0" w:type="dxa"/>
            <w:vAlign w:val="bottom"/>
          </w:tcPr>
          <w:p>
            <w:pPr>
              <w:spacing w:after="0"/>
              <w:rPr>
                <w:sz w:val="1"/>
                <w:szCs w:val="1"/>
                <w:color w:val="auto"/>
              </w:rPr>
            </w:pPr>
          </w:p>
        </w:tc>
      </w:tr>
      <w:tr>
        <w:trPr>
          <w:trHeight w:val="21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Primary underlying risk:</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contracts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13,113</w:t>
            </w:r>
          </w:p>
        </w:tc>
        <w:tc>
          <w:tcPr>
            <w:tcW w:w="0" w:type="dxa"/>
            <w:vAlign w:val="bottom"/>
          </w:tcPr>
          <w:p>
            <w:pPr>
              <w:spacing w:after="0"/>
              <w:rPr>
                <w:sz w:val="1"/>
                <w:szCs w:val="1"/>
                <w:color w:val="auto"/>
              </w:rPr>
            </w:pPr>
          </w:p>
        </w:tc>
      </w:tr>
      <w:tr>
        <w:trPr>
          <w:trHeight w:val="355"/>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contracts</w:t>
            </w:r>
            <w:r>
              <w:rPr>
                <w:rFonts w:ascii="Times New Roman" w:cs="Times New Roman" w:eastAsia="Times New Roman" w:hAnsi="Times New Roman"/>
                <w:sz w:val="26"/>
                <w:szCs w:val="26"/>
                <w:color w:val="auto"/>
                <w:vertAlign w:val="superscript"/>
              </w:rPr>
              <w:t>(1)</w:t>
            </w: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wp:posOffset>
            </wp:positionV>
            <wp:extent cx="141414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5" w:lineRule="exact"/>
        <w:rPr>
          <w:sz w:val="20"/>
          <w:szCs w:val="20"/>
          <w:color w:val="auto"/>
        </w:rPr>
      </w:pPr>
    </w:p>
    <w:p>
      <w:pPr>
        <w:ind w:left="380" w:right="99" w:hanging="330"/>
        <w:spacing w:after="0" w:line="236" w:lineRule="auto"/>
        <w:tabs>
          <w:tab w:leader="none" w:pos="3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short notional amount on our credit default swap positions was approximately $6.3 billion at December 31, 2020. However, because credit spreads cannot compress below zero, our downside short notional exposure to loss is approximately $2.1 billion as of December 31, 2020. The short notional amount on our credit default swap positions was approximately $4.7 billion as of December 31, 2019. However, because credit spreads cannot compress below zero, our downside short notional exposure to loss is $622 million as of December 31, 2019.</w:t>
      </w:r>
    </w:p>
    <w:p>
      <w:pPr>
        <w:spacing w:after="0" w:line="18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0"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our Investment segment’s derivatives that are not designated as hedging instruments in accordance with U.S. GAAP:</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0" w:type="dxa"/>
            <w:vAlign w:val="bottom"/>
          </w:tcPr>
          <w:p>
            <w:pPr>
              <w:spacing w:after="0"/>
              <w:rPr>
                <w:sz w:val="18"/>
                <w:szCs w:val="18"/>
                <w:color w:val="auto"/>
              </w:rPr>
            </w:pPr>
          </w:p>
        </w:tc>
      </w:tr>
      <w:tr>
        <w:trPr>
          <w:trHeight w:val="21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8"/>
                <w:szCs w:val="18"/>
                <w:color w:val="auto"/>
              </w:rPr>
            </w:pPr>
          </w:p>
        </w:tc>
      </w:tr>
      <w:tr>
        <w:trPr>
          <w:trHeight w:val="209"/>
        </w:trPr>
        <w:tc>
          <w:tcPr>
            <w:tcW w:w="2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 w:type="dxa"/>
            <w:vAlign w:val="bottom"/>
          </w:tcPr>
          <w:p>
            <w:pPr>
              <w:spacing w:after="0"/>
              <w:rPr>
                <w:sz w:val="18"/>
                <w:szCs w:val="18"/>
                <w:color w:val="auto"/>
              </w:rPr>
            </w:pPr>
          </w:p>
        </w:tc>
      </w:tr>
      <w:tr>
        <w:trPr>
          <w:trHeight w:val="216"/>
        </w:trPr>
        <w:tc>
          <w:tcPr>
            <w:tcW w:w="24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Netting across contract types</w:t>
            </w:r>
            <w:r>
              <w:rPr>
                <w:rFonts w:ascii="Times New Roman" w:cs="Times New Roman" w:eastAsia="Times New Roman" w:hAnsi="Times New Roman"/>
                <w:sz w:val="25"/>
                <w:szCs w:val="25"/>
                <w:color w:val="auto"/>
                <w:vertAlign w:val="superscript"/>
              </w:rPr>
              <w:t>(1)</w:t>
            </w:r>
          </w:p>
        </w:tc>
        <w:tc>
          <w:tcPr>
            <w:tcW w:w="5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8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r>
      <w:tr>
        <w:trPr>
          <w:trHeight w:val="209"/>
        </w:trPr>
        <w:tc>
          <w:tcPr>
            <w:tcW w:w="246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58" w:lineRule="exact"/>
        <w:rPr>
          <w:sz w:val="20"/>
          <w:szCs w:val="20"/>
          <w:color w:val="auto"/>
        </w:rPr>
      </w:pPr>
    </w:p>
    <w:p>
      <w:pPr>
        <w:jc w:val="both"/>
        <w:ind w:left="380" w:right="439" w:hanging="330"/>
        <w:spacing w:after="0" w:line="24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netting of cash collateral received and posted. The total collateral posted at December 31, 2020 and 2019 was $872 million and $903 million, respectively, across all counterparties, which are included in cash held at consolidated affiliated partnerships and restricted cash in the consolidated balance sheets.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amount of gain (loss) recognized in the consolidated statements of operations for our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segment’s derivatives not designated as hedging instruments:</w:t>
      </w:r>
    </w:p>
    <w:p>
      <w:pPr>
        <w:spacing w:after="0" w:line="1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Gain (Loss) Recognized in Income</w:t>
      </w:r>
      <w:r>
        <w:rPr>
          <w:rFonts w:ascii="Times New Roman" w:cs="Times New Roman" w:eastAsia="Times New Roman" w:hAnsi="Times New Roman"/>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-8890</wp:posOffset>
            </wp:positionV>
            <wp:extent cx="25800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4445</wp:posOffset>
            </wp:positionV>
            <wp:extent cx="25800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5320"/>
        <w:spacing w:after="0"/>
        <w:tabs>
          <w:tab w:leader="none" w:pos="6720" w:val="left"/>
          <w:tab w:leader="none" w:pos="814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14605</wp:posOffset>
            </wp:positionV>
            <wp:extent cx="25800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(2,152)</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2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58" w:lineRule="exact"/>
        <w:rPr>
          <w:sz w:val="20"/>
          <w:szCs w:val="20"/>
          <w:color w:val="auto"/>
        </w:rPr>
      </w:pPr>
    </w:p>
    <w:p>
      <w:pPr>
        <w:ind w:left="380" w:right="219" w:hanging="330"/>
        <w:spacing w:after="0" w:line="26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Gains (losses) recognized on derivatives are classified in net gain (loss) from investment activities in our consolidated statements of operations for our Investment segment.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from time to time enters into various commodity derivative transactions. CVR Refining holds derivative instruments, such as exchange-traded crude oil futures and over-the-counter forward swap agreements, which it believes provide an economic hedge on future transactions, but such instruments are not designated as hedge instruments. CVR Refining may enter into forward purchase or sale contracts associated with renewable identification numbers (“RINs”).</w:t>
      </w:r>
    </w:p>
    <w:p>
      <w:pPr>
        <w:spacing w:after="0" w:line="189"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CVR Refining had 7 million outstanding commodity swap positions. As of December 31, 2020 and 2019, CVR Refining had open forward purchase and sale commitments for 6 million barrels and 4 million barrels, respectively. As of December 31, 2020, CVR Refining had open fixed-price commitments to purchase a net 13 million RINs.</w:t>
      </w:r>
    </w:p>
    <w:p>
      <w:pPr>
        <w:spacing w:after="0" w:line="180" w:lineRule="exact"/>
        <w:rPr>
          <w:sz w:val="20"/>
          <w:szCs w:val="20"/>
          <w:color w:val="auto"/>
        </w:rPr>
      </w:pPr>
    </w:p>
    <w:p>
      <w:pPr>
        <w:ind w:left="60" w:right="79" w:firstLine="369"/>
        <w:spacing w:after="0" w:line="256" w:lineRule="auto"/>
        <w:rPr>
          <w:sz w:val="20"/>
          <w:szCs w:val="20"/>
          <w:color w:val="auto"/>
        </w:rPr>
      </w:pPr>
      <w:r>
        <w:rPr>
          <w:rFonts w:ascii="Times New Roman" w:cs="Times New Roman" w:eastAsia="Times New Roman" w:hAnsi="Times New Roman"/>
          <w:sz w:val="18"/>
          <w:szCs w:val="18"/>
          <w:color w:val="auto"/>
        </w:rPr>
        <w:t>Certain derivative contracts executed by our Energy segment with a single counterparty are reported on a net-by-counterparty basis where a legal right of offset exists under an enforceable netting agreement. As of December 31, 2020 and 2019, our Energy segment had net liability derivatives of $17 million and $8 million, respectively. Gains recognized on derivatives for our Energy segment were $55 million, $19 million and $146 million for the years ended December 31, 2020, 2019 and 2018, respectively. Gains recognized on derivatives for our Energy segment are included in cost of goods sold on the consolidated statements of operations.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7. Inventories, Net</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45"/>
        </w:trPr>
        <w:tc>
          <w:tcPr>
            <w:tcW w:w="6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128"/>
        </w:trPr>
        <w:tc>
          <w:tcPr>
            <w:tcW w:w="6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09"/>
        </w:trPr>
        <w:tc>
          <w:tcPr>
            <w:tcW w:w="66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Inventories in the table above is presented net of reserves of $73 million and $27 million as of December 31, 2020 and 2019, respectively.</w:t>
      </w:r>
    </w:p>
    <w:p>
      <w:pPr>
        <w:spacing w:after="0" w:line="16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During the first quarter of 2020, our Energy segment had inventories, net with a carrying value in excess of net realizable value. As a result, our Energy segment recorded a write-down of its inventories of $58 million, which is included in cost of goods sold in the consolidated statements of operations for the year ended December 31, 2020.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write-down represents the difference between the carrying value of inventories accounted for using the first-in-first-out method and selling prices for refined products subsequent to March 31, 2020.</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00" w:type="dxa"/>
            <w:vAlign w:val="bottom"/>
          </w:tcPr>
          <w:p>
            <w:pPr>
              <w:spacing w:after="0"/>
              <w:rPr>
                <w:sz w:val="24"/>
                <w:szCs w:val="24"/>
                <w:color w:val="auto"/>
              </w:rPr>
            </w:pPr>
          </w:p>
        </w:tc>
        <w:tc>
          <w:tcPr>
            <w:tcW w:w="104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1040" w:type="dxa"/>
            <w:vAlign w:val="bottom"/>
          </w:tcPr>
          <w:p>
            <w:pPr>
              <w:jc w:val="right"/>
              <w:ind w:right="173"/>
              <w:spacing w:after="0" w:line="129" w:lineRule="exact"/>
              <w:rPr>
                <w:sz w:val="20"/>
                <w:szCs w:val="20"/>
                <w:color w:val="auto"/>
              </w:rPr>
            </w:pPr>
            <w:r>
              <w:rPr>
                <w:rFonts w:ascii="Times New Roman" w:cs="Times New Roman" w:eastAsia="Times New Roman" w:hAnsi="Times New Roman"/>
                <w:sz w:val="14"/>
                <w:szCs w:val="14"/>
                <w:color w:val="auto"/>
              </w:rPr>
              <w:t>(in years)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furniture</w:t>
            </w:r>
          </w:p>
        </w:tc>
        <w:tc>
          <w:tcPr>
            <w:tcW w:w="10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Assets leased to others</w:t>
            </w:r>
          </w:p>
        </w:tc>
        <w:tc>
          <w:tcPr>
            <w:tcW w:w="10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10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for the years ended December 31, 2020, 2019 and 2018 was $406 million, $410 million and $398 million, respectively.</w:t>
      </w:r>
    </w:p>
    <w:p>
      <w:pPr>
        <w:spacing w:after="0" w:line="162"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See Note 5, “Fair Value Measurements,” for discussion regarding certain impairments to our property, plant and equipment.</w:t>
      </w:r>
    </w:p>
    <w:p>
      <w:pPr>
        <w:spacing w:after="0" w:line="158" w:lineRule="exact"/>
        <w:rPr>
          <w:sz w:val="20"/>
          <w:szCs w:val="20"/>
          <w:color w:val="auto"/>
        </w:rPr>
      </w:pPr>
    </w:p>
    <w:p>
      <w:pPr>
        <w:jc w:val="center"/>
        <w:ind w:left="380" w:right="5999" w:hanging="330"/>
        <w:spacing w:after="0" w:line="538" w:lineRule="auto"/>
        <w:tabs>
          <w:tab w:leader="none" w:pos="281"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Net </w:t>
      </w:r>
      <w:r>
        <w:rPr>
          <w:rFonts w:ascii="Times New Roman" w:cs="Times New Roman" w:eastAsia="Times New Roman" w:hAnsi="Times New Roman"/>
          <w:sz w:val="17"/>
          <w:szCs w:val="17"/>
          <w:color w:val="auto"/>
        </w:rPr>
        <w:t>Goodwill consists of the following: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Food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Home</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Automotive</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Packaging</w:t>
            </w:r>
          </w:p>
        </w:tc>
        <w:tc>
          <w:tcPr>
            <w:tcW w:w="180" w:type="dxa"/>
            <w:vAlign w:val="bottom"/>
          </w:tcPr>
          <w:p>
            <w:pPr>
              <w:spacing w:after="0"/>
              <w:rPr>
                <w:sz w:val="20"/>
                <w:szCs w:val="20"/>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Metals</w:t>
            </w:r>
          </w:p>
        </w:tc>
        <w:tc>
          <w:tcPr>
            <w:tcW w:w="200" w:type="dxa"/>
            <w:vAlign w:val="bottom"/>
          </w:tcPr>
          <w:p>
            <w:pPr>
              <w:spacing w:after="0"/>
              <w:rPr>
                <w:sz w:val="20"/>
                <w:szCs w:val="20"/>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Fashion</w:t>
            </w:r>
          </w:p>
        </w:tc>
        <w:tc>
          <w:tcPr>
            <w:tcW w:w="180" w:type="dxa"/>
            <w:vAlign w:val="bottom"/>
          </w:tcPr>
          <w:p>
            <w:pPr>
              <w:spacing w:after="0"/>
              <w:rPr>
                <w:sz w:val="20"/>
                <w:szCs w:val="20"/>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Pharma</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 Jan 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 Dec 31</w:t>
            </w: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Jan 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3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Dec 31</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Dec 31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6"/>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Food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Home</w:t>
            </w: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Automotive</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Packaging</w:t>
            </w:r>
          </w:p>
        </w:tc>
        <w:tc>
          <w:tcPr>
            <w:tcW w:w="180" w:type="dxa"/>
            <w:vAlign w:val="bottom"/>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Metals</w:t>
            </w:r>
          </w:p>
        </w:tc>
        <w:tc>
          <w:tcPr>
            <w:tcW w:w="200" w:type="dxa"/>
            <w:vAlign w:val="bottom"/>
          </w:tcPr>
          <w:p>
            <w:pPr>
              <w:spacing w:after="0"/>
              <w:rPr>
                <w:sz w:val="20"/>
                <w:szCs w:val="20"/>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Fashion</w:t>
            </w: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 Jan 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carrying amount, Dec 31</w:t>
            </w:r>
          </w:p>
        </w:tc>
        <w:tc>
          <w:tcPr>
            <w:tcW w:w="1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Jan 1</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Dec 31</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value, Dec 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45"/>
        </w:trPr>
        <w:tc>
          <w:tcPr>
            <w:tcW w:w="3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6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c>
          <w:tcPr>
            <w:tcW w:w="640" w:type="dxa"/>
            <w:vAlign w:val="bottom"/>
            <w:tcBorders>
              <w:bottom w:val="single" w:sz="8" w:color="auto"/>
            </w:tcBorders>
          </w:tcPr>
          <w:p>
            <w:pPr>
              <w:spacing w:after="0"/>
              <w:rPr>
                <w:sz w:val="24"/>
                <w:szCs w:val="24"/>
                <w:color w:val="auto"/>
              </w:rPr>
            </w:pPr>
          </w:p>
        </w:tc>
      </w:t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0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30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6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0"/>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for the years ended December 31, 2020, 2019 and 2018 was $44 million, $40 million and $47 million, respectively. We utilize the straight-line method of amortization, recognized over the estimated useful lives of the assets.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estimated future amortization expense for our definite-lived intangible assets is as follows: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7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09"/>
        </w:trPr>
        <w:tc>
          <w:tcPr>
            <w:tcW w:w="7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Acquisitions during the year ended December 31, 2020 were not material individually or in the aggregate. As a result of Vivus’ emergence from bankruptcy in December 2020, our Pharma segment allocated $13 million to goodwill and $271 million to intangible assets during 2020, of which $250 million relates to developed technologies and $21 million relates to in process research and development. The fair value of the developed technologies recognized were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based on estimates of the future discounted cash flows expected to be generated over the useful lives of the developed technologies. The developed technologies consist of two approved therapies estimated to have useful lives ranging from 5 and 18 years. The allocations to goodwill and intangible assets are not final and are subject to change.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We perform the annual goodwill impairment test for our Automotive segment as of October 1 of each year, or more frequently if impairment indicators exist.</w:t>
      </w:r>
    </w:p>
    <w:p>
      <w:pPr>
        <w:spacing w:after="0" w:line="162"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first quarter of 2020, due to the COVID-19 pandemic and its impact on our Automotive segment’s operations, we performed an interim goodwill impairment analysis. At such time, our Automotive segment had $249 million of goodwill, all of which was allocated to its Service reporting unit. Based on the interim impairment analysis, we determined that the fair value of our Automotive segment’s Service reporting unit was significantly in excess of its carrying value and therefore, no impairment is required.</w:t>
      </w:r>
    </w:p>
    <w:p>
      <w:pPr>
        <w:spacing w:after="0" w:line="183" w:lineRule="exact"/>
        <w:rPr>
          <w:sz w:val="20"/>
          <w:szCs w:val="20"/>
          <w:color w:val="auto"/>
        </w:rPr>
      </w:pPr>
    </w:p>
    <w:p>
      <w:pPr>
        <w:ind w:left="60" w:right="759" w:firstLine="324"/>
        <w:spacing w:after="0" w:line="282" w:lineRule="auto"/>
        <w:rPr>
          <w:sz w:val="20"/>
          <w:szCs w:val="20"/>
          <w:color w:val="auto"/>
        </w:rPr>
      </w:pPr>
      <w:r>
        <w:rPr>
          <w:rFonts w:ascii="Times New Roman" w:cs="Times New Roman" w:eastAsia="Times New Roman" w:hAnsi="Times New Roman"/>
          <w:sz w:val="18"/>
          <w:szCs w:val="18"/>
          <w:color w:val="auto"/>
        </w:rPr>
        <w:t>During 2019, our Automotive segment considered qualitative factors to determine that goodwill at its Service reporting unit did not require further testing for impairment.</w:t>
      </w:r>
    </w:p>
    <w:p>
      <w:pPr>
        <w:spacing w:after="0" w:line="16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the fourth quarter of 2018, coinciding with our annual goodwill impairment analysis, we reorganized our Automotive segment’s reporting units. Prior to the reorganization, our Automotive segment had two reporting units, Pep-Boys and AutoPlus, with all of its goodwill allocated to the Pep-Boys reporting unit. A goodwill impairment analysis just prior to the reorganization did not have an impact on the Pep-Boys reporting unit goodwill. Upon reorganization of the reporting units, a portion of the Pep-Boys reporting unit was reallocated to the AutoPlus reporting unit, which resulted in our Automotive segment continuing to have two redefined reporting units, Service and Parts. As a result, a portion of the goodwill was reallocated using a relative fair value allocation approach, which resulted in approximately 27% of the goodwill being reallocated to the Parts reporting unit. Based on our annual goodwill impairment analysis for our Automotive segment, which reflected our reorganized reporting units, we determined that the carrying value of its Parts reporting unit exceeded its fair value and as a result, we recognized a goodwill impairment charge of $87 million in the fourth quarter of 2018, which represented the full amount of the goodwill allocated to the Parts reporting unit. This impairment was the result of our reporting unit reorganization, which resulted in a significant amount of carrying value of net assets being reallocated to the Parts reporting unit, primarily for inventory, with a significantly lesser fair value due to the future projected cash flows of the Parts reporting unit, which resulted in the Parts reporting unit having a carrying value in excess of its fair value. Therefore, the goodwill reallocated to the Parts reporting unit was immediately impaired. We also determined that the fair value of our Automotive segment’s Service reporting unit was significantly in excess of its carrying value and therefore, no additional impairment is required.</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We perform the annual goodwill impairment test for our Home Fashion segment as of October 1 of each year, or more frequently if impairment indicators exist. During the second quarter of 2020, our Home Fashion segment impaired a portion of its goodwill in the amount of $3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 Segments and Holding Company</w:t>
      </w:r>
    </w:p>
    <w:p>
      <w:pPr>
        <w:spacing w:after="0" w:line="22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 and lease liabilities are as follows:</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636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4"/>
                <w:szCs w:val="24"/>
                <w:color w:val="auto"/>
              </w:rPr>
            </w:pPr>
          </w:p>
        </w:tc>
      </w:tr>
      <w:tr>
        <w:trPr>
          <w:trHeight w:val="210"/>
        </w:trPr>
        <w:tc>
          <w:tcPr>
            <w:tcW w:w="63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18"/>
                <w:szCs w:val="18"/>
                <w:color w:val="auto"/>
              </w:rPr>
            </w:pPr>
          </w:p>
        </w:tc>
      </w:tr>
      <w:tr>
        <w:trPr>
          <w:trHeight w:val="128"/>
        </w:trPr>
        <w:tc>
          <w:tcPr>
            <w:tcW w:w="6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80" w:type="dxa"/>
            <w:vAlign w:val="bottom"/>
            <w:gridSpan w:val="3"/>
          </w:tcPr>
          <w:p>
            <w:pPr>
              <w:jc w:val="right"/>
              <w:ind w:right="45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(other assets)</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tcPr>
          <w:p>
            <w:pPr>
              <w:spacing w:after="0"/>
              <w:rPr>
                <w:sz w:val="18"/>
                <w:szCs w:val="18"/>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(accrued expenses and other liabilities)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6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(property, plant and equipment, net)</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(debt)</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198"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Additional information with respect to our operating leases as of December 31, 2020 and 2019 is presented below. The lease terms and discount rates for our Energy, Automotive and Food Packaging segments represent weighted averages based on their respective lease liability balances.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Discount</w:t>
            </w:r>
          </w:p>
        </w:tc>
      </w:tr>
      <w:tr>
        <w:trPr>
          <w:trHeight w:val="238"/>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December 31, 2020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0" w:type="dxa"/>
            <w:vAlign w:val="bottom"/>
          </w:tcPr>
          <w:p>
            <w:pPr>
              <w:spacing w:after="0"/>
              <w:rPr>
                <w:sz w:val="20"/>
                <w:szCs w:val="20"/>
                <w:color w:val="auto"/>
              </w:rPr>
            </w:pPr>
          </w:p>
        </w:tc>
      </w:tr>
      <w:tr>
        <w:trPr>
          <w:trHeight w:val="142"/>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3.1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4.6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11.1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Of-Use</w:t>
            </w:r>
          </w:p>
        </w:tc>
        <w:tc>
          <w:tcPr>
            <w:tcW w:w="14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December 31, 2019</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00" w:type="dxa"/>
            <w:vAlign w:val="bottom"/>
          </w:tcPr>
          <w:p>
            <w:pPr>
              <w:spacing w:after="0"/>
              <w:rPr>
                <w:sz w:val="20"/>
                <w:szCs w:val="20"/>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18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41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3.7 years</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5.2 years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11.7 years</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Maturities of lease liabilities as of December 31, 2020 are as follows: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23"/>
        </w:trPr>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38"/>
        </w:trPr>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09"/>
        </w:trPr>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4"/>
          </w:tcPr>
          <w:p>
            <w:pPr>
              <w:jc w:val="right"/>
              <w:ind w:right="550"/>
              <w:spacing w:after="0"/>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6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6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lease cost was comprised of operating lease cost of $200 million, amortization of financing lease right-of use assets of $11 million and interest expense on financing lease liabilities of $7 million. For the year ended December 31, 2019, lease cost was comprised of operating lease cost of $202 million, amortization of financing lease right-of use assets of $14 million and interest expense on financing lease liabilities of $7 million. Our Automotive segment accounted for $166 million and $173 million of total lease cost for the years ended December 31, 2020 and 2019, respectively.</w:t>
      </w:r>
    </w:p>
    <w:p>
      <w:pPr>
        <w:spacing w:after="0" w:line="187"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Rent expense under operating leases for the years ended December 31, 2018, prior to the adoption of ASC 842, was $168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Real Estate segment leases real estate, primarily commercial properties under long-term operating leases. As of December 31, 2020 and 2019, our Real Estate segment has assets leased to others included in property, plant and equipment of $222 million and $222 million, respectively, net of accumulated depreciation. Our Real Estate segment’s revenue from operating leases were $32 million, $33 million and $39 million for the years ended December 31, 2020, 2019 and 2018, respectively, and are included in other revenue from operations in the consolidated statements of operations. Our Real Estate segment’s anticipated future receipts of minimum operating lease payments receivable are $5 million for 2021, $1 million in 2022 and less than $1 million in 2023 and thereafter.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tbl>
      <w:tblPr>
        <w:tblLayout w:type="fixed"/>
        <w:tblInd w:w="60" w:type="dxa"/>
        <w:tblCellMar>
          <w:top w:w="0" w:type="dxa"/>
          <w:left w:w="0" w:type="dxa"/>
          <w:bottom w:w="0" w:type="dxa"/>
          <w:right w:w="0" w:type="dxa"/>
        </w:tblCellMar>
      </w:tblPr>
      <w:tr>
        <w:trPr>
          <w:trHeight w:val="234"/>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95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2"/>
        </w:trPr>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45"/>
        </w:trPr>
        <w:tc>
          <w:tcPr>
            <w:tcW w:w="4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4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28"/>
        </w:trPr>
        <w:tc>
          <w:tcPr>
            <w:tcW w:w="4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Holding Company:</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5.875% senior unsecured notes due 2022</w:t>
            </w:r>
          </w:p>
        </w:tc>
        <w:tc>
          <w:tcPr>
            <w:tcW w:w="20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6.250% senior unsecured notes due 2022</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6.750% senior unsecured notes due 2024</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4.750% senior unsecured notes due 2024</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1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10"/>
        </w:trPr>
        <w:tc>
          <w:tcPr>
            <w:tcW w:w="48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 Segments: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Packaging</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Metals</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Home Fashion</w:t>
            </w:r>
          </w:p>
        </w:tc>
        <w:tc>
          <w:tcPr>
            <w:tcW w:w="1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48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w:t>
            </w:r>
          </w:p>
        </w:tc>
      </w:tr>
      <w:tr>
        <w:trPr>
          <w:trHeight w:val="20"/>
        </w:trPr>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Holding Company</w:t>
      </w:r>
    </w:p>
    <w:p>
      <w:pPr>
        <w:spacing w:after="0" w:line="121"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Holding Company debt consists of various issues of fixed-rate senior unsecured notes issued by Icahn Enterprises and Icahn Enterprises Finance Corp. (the “Issuers”) and guaranteed by Icahn Enterprises Holdings (the “Guarantor”). Interest on each of the senior unsecured notes are payable semi-annually.</w:t>
      </w:r>
    </w:p>
    <w:p>
      <w:pPr>
        <w:spacing w:after="0" w:line="6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January 2020, the Issuers issued $600 million in aggregate principal amount of 4.750% senior unsecured notes due 2024 and $250 million in aggregate principal amount of 5.250% senior unsecured notes due 2027. The proceeds from these notes, together with cash on hand, were used to repay in full our prior outstanding $1.35 billion principal amount of 5.875% senior unsecured notes due 2022, and to pay accrued interest, related fees and expenses.</w:t>
      </w:r>
    </w:p>
    <w:p>
      <w:pPr>
        <w:spacing w:after="0" w:line="72"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In May and June 2019, the Issuers issued $1.250 billion in aggregate principal amount of 6.250% senior unsecured notes due 2026. The proceeds from these notes, together with cash on hand, were used to redeem all of the prior outstanding 6.000% senior unsecured notes due 2020 and to pay accrued interest, related fees and expenses.</w:t>
      </w:r>
    </w:p>
    <w:p>
      <w:pPr>
        <w:spacing w:after="0" w:line="6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In September 2019, the Issuers issued $500 million in aggregate principal amount of 4.750% senior unsecured notes due 2024. The proceeds from these notes were used for general limited partnership purposes.</w:t>
      </w:r>
    </w:p>
    <w:p>
      <w:pPr>
        <w:spacing w:after="0" w:line="54"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In December 2019, the Issuers issued $750 million in aggregate principal amount of 5.250% senior unsecured notes due 2027. The proceeds from these notes were used for general limited partnership purposes.</w:t>
      </w:r>
    </w:p>
    <w:p>
      <w:pPr>
        <w:spacing w:after="0" w:line="54"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January 2017, the Issuers issued $500 million in aggregate principal amount of 6.750% senior unsecured notes due 2024 and $695 million in aggregate principal amount of 6.250% senior unsecured notes due 2022. The proceeds from these notes were used to redeem all of the prior outstanding senior unsecured notes due 2017 and to pay accrued interest, related fees and expenses.</w:t>
      </w:r>
    </w:p>
    <w:p>
      <w:pPr>
        <w:spacing w:after="0" w:line="72"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In December 2017, the Issuers issued $750 million in aggregate principal amount of 6.375% senior unsecured notes due 2025 and an additional $510 million in aggregate principal amount of its existing 6.250% senior unsecured notes due 2022. The proceeds from these notes, together with cash on hand, were used to redeem all of the prior outstanding senior unsecured notes due 2019 and to pay accrued interest, related fees and expenses.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Icahn Enterprises recorded a loss on extinguishment of debt of $4 million in 2020 and a gain on extinguishment of debt of $2 million in 2019 in connection with the debt transactions discussed above.</w:t>
      </w:r>
    </w:p>
    <w:p>
      <w:pPr>
        <w:spacing w:after="0" w:line="54"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All of our senior unsecured notes and the related guarantees are effectively subordinated to the Issuers’ and the Guarantor’s existing and future secured indebtedness to the extent of the collateral securing such indebtedness. All of our senior unsecured notes and the related guarantees are also effectively subordinated to all indebtedness and other liabilities of the Issuers’ subsidiaries other than the Guarantor.</w:t>
      </w:r>
    </w:p>
    <w:p>
      <w:pPr>
        <w:spacing w:after="0" w:line="6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indentures governing each of our senior unsecured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December 31, 2020, except for the 4.750% senior unsecured notes due 2024 and the 5.250% senior unsecured notes due 2027, are subject to optional redemption premiums in the event we redeem any of the notes prior to certain dates as described in the indentures.</w:t>
      </w:r>
    </w:p>
    <w:p>
      <w:pPr>
        <w:spacing w:after="0" w:line="80"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and 2019, we were in compliance with all covenants, including maintaining certain minimum financial ratios, as defined in the indentures. Additionally, as of December 31, 2020, based on covenants in the indentures governing our senior unsecured notes, we are not permitted to incur additional indebtedness; however, we are permitted to issue new notes in connection with debt refinancings of existing notes.</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119"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 January 2021, the Issuers issued $750 million in aggregate principal amount of 4.375% senior unsecured notes due 2029. The proceeds from this issuance, together with cash on hand, were used to redeem $750 million principal amount of our 6.250% senior unsecured notes due 2022, and to pay accrued interest, related fees and expenses.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Reporting Segments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CVR Energy’s debt primarily consists of $600 million in aggregate principal amount of 5.25% senior unsecured notes due 2025 and $400 million in aggregate principal amount of 5.75% senior unsecured notes due 2028 (each issued by CVR Energy) and $645 million in aggregate principal amount of 9.25% senior secured notes due 2023 (issued by CVR Partners). Interest for each of these notes are accrued and paid based on contractual terms.</w:t>
      </w:r>
    </w:p>
    <w:p>
      <w:pPr>
        <w:spacing w:after="0" w:line="72"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The $600 million in aggregate principal amount of 5.25% senior unsecured notes due 2025 and $400 million in aggregate principal amount of 5.75% senior unsecured notes due 2028 were issued by CVR Energy in January 2020. A portion of the net proceeds from the issuance of these notes were used to fund the redemption of CVR Energy’s existing $500 million senior unsecured notes due 2022 (issued by CVR Refining). The remaining net proceeds will be used for CVR Energy’s general corporate purposes. In connection with these transactions, our Energy segment recorded a loss on extinguishment of debt of $8 million.</w:t>
      </w:r>
    </w:p>
    <w:p>
      <w:pPr>
        <w:spacing w:after="0" w:line="7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senior secured notes issued by CVR Refining are jointly and severally guaranteed on a senior secured basis by the wholly owned subsidiaries of CVR Energy with the exception of CVR Partners and its subsidiaries and certain immaterial wholly owned subsidiaries of CVR Energy. The senior secured notes issued by CVR Partners are guaranteed on a senior secured basis by all of CVR Partners’ existing subsidiaries.</w:t>
      </w:r>
    </w:p>
    <w:p>
      <w:pPr>
        <w:spacing w:after="0" w:line="72"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indentures governing these notes contain certain covenants that restrict the ability of the issuers and their restricted subsidiaries from incurring additional debt or issue certain disqualified equity, create liens on certain assets to secure debt, pay dividends/distributions or make other equity distributions, purchase or redeem capital stock/common units, make certain investments, sell assets, agree to certain restrictions on the ability of restricted subsidiaries to make distributions, loans, or other asset transfers to the issuers, consolidate, merge, sell, or otherwise dispose of all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substantially all of their assets, engage in transactions with affiliates and designate restricted subsidiaries as unrestricted subsidiaries.</w:t>
      </w:r>
    </w:p>
    <w:p>
      <w:pPr>
        <w:spacing w:after="0" w:line="54"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and 2019, total availability under CVR Refining and CVR Partners variable rate asset based revolving credit facilities aggregated $385 million and $443 million, respectively. CVR Refining also had $35 million and $7 million of letters of credit outstanding as of December 31, 2020 and 2019.</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Icahn Automotive’s debt primarily consists of an asset-based revolving credit facility with variable interest rates. Icahn Automotive debt outstanding under this credit facility was $350 million and $382 million as of December 31, 2020 and 2019, respectively, and matures in the third quarter of 2021. Interest for the credit facility is accrued and paid based on contractual terms. The interest rate on the credit facility was 2.01% and 4.15% as of December 31, 2020 and 2019, respectively. Substantially all of Icahn Automotive’s assets are pledged as collateral under the above credit facility.</w:t>
      </w:r>
    </w:p>
    <w:p>
      <w:pPr>
        <w:spacing w:after="0" w:line="75"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and 2019, there was availability under revolving credit facilities of $96 million and $107 million, respectively. Icahn Automotive also had $45 million and $41 million of letters of credit outstanding as of December 31, 2020 and 2019, respectively.</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121"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Viskase’s debt primarily consists of a credit agreement providing for a $150 million term loan and a $30 million revolving credit facility issued in October 2020 and maturing in 2023. The proceeds from the term loan, plus cash received from Viskase’s equity private placement in October 2020, as discussed in Note 1, “Description of Business,” were used to repay in full Viskase’s existing term loan. Interest for this note is accrued and paid based on contractual terms. The interest rate on Viskase’s term loans were 3.72% and 5.19% as of December 31, 2020 and 2019, respectively.</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60" w:right="559" w:firstLine="324"/>
        <w:spacing w:after="0" w:line="261" w:lineRule="auto"/>
        <w:rPr>
          <w:sz w:val="20"/>
          <w:szCs w:val="20"/>
          <w:color w:val="auto"/>
        </w:rPr>
      </w:pPr>
      <w:r>
        <w:rPr>
          <w:rFonts w:ascii="Times New Roman" w:cs="Times New Roman" w:eastAsia="Times New Roman" w:hAnsi="Times New Roman"/>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Non-Cash Charges to Interest Expense</w:t>
      </w:r>
    </w:p>
    <w:p>
      <w:pPr>
        <w:spacing w:after="0" w:line="121"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deferred financing costs and debt discounts and premiums included in interest expense in the consolidated statements of operations were $4 million, $6 million and $5 million for the years ended December 31, 2020, 2019 and 2018, respectively.</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Maturities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maturities of our debt: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payments (excluding financing lease payments)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discounts, premiums and deferred financing fees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 (Note 10)</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Net Income Per LP Unit</w:t>
      </w:r>
    </w:p>
    <w:p>
      <w:pPr>
        <w:spacing w:after="0" w:line="121"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the computation of basic and diluted income (loss) per LP unit from continuing and discontinued operations of Icahn Enterprises are as follows: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8"/>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color w:val="auto"/>
                <w:w w:val="99"/>
              </w:rPr>
              <w:t>(in millions,</w:t>
            </w:r>
          </w:p>
        </w:tc>
        <w:tc>
          <w:tcPr>
            <w:tcW w:w="8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except per unit</w:t>
            </w:r>
          </w:p>
        </w:tc>
        <w:tc>
          <w:tcPr>
            <w:tcW w:w="1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Icahn Enterprises from continuing operations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Net loss attributable to Icahn Enterprises from continuing operations allocated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60" w:type="dxa"/>
            <w:vAlign w:val="bottom"/>
            <w:vMerge w:val="continue"/>
          </w:tcPr>
          <w:p>
            <w:pPr>
              <w:spacing w:after="0"/>
              <w:rPr>
                <w:sz w:val="13"/>
                <w:szCs w:val="13"/>
                <w:color w:val="auto"/>
              </w:rPr>
            </w:pP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(1,620)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(1,045)</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61"/>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limited partners (98.01% allocation)</w:t>
            </w:r>
          </w:p>
        </w:tc>
        <w:tc>
          <w:tcPr>
            <w:tcW w:w="20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Icahn Enterprises from discontinued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net loss attributable to Icahn Enterprises from discontinued operations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allocated 100% to general partner</w:t>
            </w: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(loss) income attributable to Icahn Enterprises from discontinued</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vMerge w:val="restart"/>
          </w:tcPr>
          <w:p>
            <w:pPr>
              <w:spacing w:after="0"/>
              <w:rPr>
                <w:sz w:val="15"/>
                <w:szCs w:val="15"/>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operations allocable to limited partners</w:t>
            </w:r>
          </w:p>
        </w:tc>
        <w:tc>
          <w:tcPr>
            <w:tcW w:w="200" w:type="dxa"/>
            <w:vAlign w:val="bottom"/>
            <w:tcBorders>
              <w:bottom w:val="single" w:sz="8" w:color="auto"/>
            </w:tcBorders>
            <w:vMerge w:val="continue"/>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586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Net loss (income) attributable to Icahn Enterprises from discontinued</w:t>
            </w:r>
          </w:p>
        </w:tc>
        <w:tc>
          <w:tcPr>
            <w:tcW w:w="2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operations allocated to limited partners (98.01% allocation)</w:t>
            </w:r>
          </w:p>
        </w:tc>
        <w:tc>
          <w:tcPr>
            <w:tcW w:w="2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income per LP unit: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(loss) income per LP unit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GP Allocation</w:t>
      </w:r>
    </w:p>
    <w:p>
      <w:pPr>
        <w:spacing w:after="0" w:line="121"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As disclosed in Note 2, “Basis of Presentation and Summary of Significant Accounting Policies - Acquisition, Investments and Disposition of Entities under Common Control,” upon the sale of common control entities, such as Federal-Mogul and ARI, a portion of the gain or loss on the sale is first allocated to the general partner in order to restore the general partners’ capital account for cumulative charges or credits relating to periods prior to our obtaining a controlling interest in such entities from Mr. Icahn and his affiliates. After such general partner allocation, the remaining gain is allocated among our general partner and limited partners, in accordance with their respective ownership percentages.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LP Unit Transactions</w:t>
      </w:r>
    </w:p>
    <w:p>
      <w:pPr>
        <w:spacing w:after="0" w:line="121"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Icahn Enterprises outstanding depositary units during each of the years ended December 31, 2020, 2019 and 2018.</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Mr. Icahn and</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02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Unitholders</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2017</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157,898,582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15,665,725</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173,564,307</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 distributions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17,543,006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235,944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17,778,950</w:t>
            </w: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2017 Incentive Plan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22,840</w:t>
            </w:r>
          </w:p>
        </w:tc>
      </w:tr>
      <w:tr>
        <w:trPr>
          <w:trHeight w:val="21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31, 2018</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175,441,588</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15,924,509</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191,366,097</w:t>
            </w:r>
          </w:p>
        </w:tc>
      </w:tr>
      <w:tr>
        <w:trPr>
          <w:trHeight w:val="21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 distributions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21,608,064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290,789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21,898,853</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2017 Incentive Plan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w:t>
            </w: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2019 at-the-market offering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794,349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794,349</w:t>
            </w:r>
          </w:p>
        </w:tc>
      </w:tr>
      <w:tr>
        <w:trPr>
          <w:trHeight w:val="20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197,049,652</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17,028,906</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214,078,558</w:t>
            </w:r>
          </w:p>
        </w:tc>
      </w:tr>
      <w:tr>
        <w:trPr>
          <w:trHeight w:val="21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 distributions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24,902,568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449,610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25,352,178</w:t>
            </w: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2019 at-the-market offering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1,908,099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1,908,099</w:t>
            </w: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 to Brett Icahn</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(202,758)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202,758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221,749,462</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19,589,373</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241,338,835</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 Distributions</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During each of the years ended December 31, 2020, 2019 and 2018, we declared four quarterly distributions. Depositary unitholders were given the option to make an election to receive the distributions in either cash or additional depositary units. If a holder did not make an election, it was automatically deemed to have elected to receive the distributions in cash. In connection with these distributions, during 2020, aggregate cash distributions to all depositary unitholders was $516 million, of which $422 million relates to the distribution declared in the first quarter of 2020. Mr. Icahn and his affiliates have historically elected to receive their distributions in additional units; however, in the first quarter of 2020, they received their distribution in cash. For the distributions declared in the second, third and fourth quarters of 2020, Mr. Icahn and his affiliates elected to receive their distributions in additional units and cash distributions paid to other depositary unitholders was $30 million, $31 million and $33 million, respectively. Mr. Icahn and his affiliates may in the future elect to receive all or a portion of their distributions in cash or in additional depositary units.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At-The-Market Offering</w:t>
      </w:r>
    </w:p>
    <w:p>
      <w:pPr>
        <w:spacing w:after="0" w:line="22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On May 2, 2019, Icahn Enterprises announced the commencement of its “at-the-market” offering pursuant to its Open Market Sale Agreement, pursuant to which Icahn Enterprises may sell its depositary units, from time to time, for up to $400 million in aggregate sale proceeds. During the years ended December 31, 2020 and 2019, we received gross proceeds of $101 million and $55 million, respectively, in connection with this offering. As of December 31, 2020, Icahn Enterprises may sell its depositary units for up to an additional $244 million in aggregate sale proceeds pursuant to this agreement. No assurance can be made that any or all amounts will be sold during the term of the program.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2017 Incentive Plan</w:t>
      </w:r>
    </w:p>
    <w:p>
      <w:pPr>
        <w:spacing w:after="0" w:line="227" w:lineRule="exact"/>
        <w:rPr>
          <w:sz w:val="20"/>
          <w:szCs w:val="20"/>
          <w:color w:val="auto"/>
        </w:rPr>
      </w:pPr>
    </w:p>
    <w:p>
      <w:pPr>
        <w:ind w:left="60" w:right="459"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2020, 2019 and 2018, Icahn Enterprises distributed depositary units, net of payroll withholdings, with respect to certain restricted depositary units and deferred unit awards that vested during the respective periods in connection with the Icahn Enterprises L.P. 2017 Long Term Incentive Plan (the “2017 Incentive Plan”). The aggregate impact of the 2017 Incentive Plan is not material with respect to our consolidated financial statements, including the calculation of potentially dilutive units and diluted income per LP unit.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and Geographic Reporting</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2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140" w:type="dxa"/>
            <w:vAlign w:val="bottom"/>
          </w:tcPr>
          <w:p>
            <w:pPr>
              <w:spacing w:after="0"/>
              <w:rPr>
                <w:sz w:val="9"/>
                <w:szCs w:val="9"/>
                <w:color w:val="auto"/>
              </w:rPr>
            </w:pPr>
          </w:p>
        </w:tc>
        <w:tc>
          <w:tcPr>
            <w:tcW w:w="42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20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9"/>
              </w:rPr>
              <w:t>Metals</w:t>
            </w:r>
          </w:p>
        </w:tc>
        <w:tc>
          <w:tcPr>
            <w:tcW w:w="12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0"/>
              </w:rPr>
              <w:t>Fashion</w:t>
            </w: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3"/>
              </w:rPr>
              <w:t>Pharma</w:t>
            </w: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Mining</w:t>
            </w: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7"/>
              </w:rPr>
              <w:t>Railcar</w:t>
            </w: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1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right"/>
              <w:ind w:right="117"/>
              <w:spacing w:after="0" w:line="115" w:lineRule="exact"/>
              <w:rPr>
                <w:sz w:val="20"/>
                <w:szCs w:val="20"/>
                <w:color w:val="auto"/>
              </w:rPr>
            </w:pPr>
            <w:r>
              <w:rPr>
                <w:rFonts w:ascii="Times New Roman" w:cs="Times New Roman" w:eastAsia="Times New Roman" w:hAnsi="Times New Roman"/>
                <w:sz w:val="13"/>
                <w:szCs w:val="13"/>
                <w:color w:val="auto"/>
                <w:w w:val="98"/>
              </w:rPr>
              <w:t>(in millions)</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Revenues: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2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3,930</w:t>
            </w:r>
          </w:p>
        </w:tc>
        <w:tc>
          <w:tcPr>
            <w:tcW w:w="3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1,929</w:t>
            </w: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w:t>
            </w:r>
          </w:p>
        </w:tc>
        <w:tc>
          <w:tcPr>
            <w:tcW w:w="20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w:t>
            </w:r>
          </w:p>
        </w:tc>
        <w:tc>
          <w:tcPr>
            <w:tcW w:w="2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2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c>
          <w:tcPr>
            <w:tcW w:w="3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6,815</w:t>
            </w:r>
          </w:p>
        </w:tc>
        <w:tc>
          <w:tcPr>
            <w:tcW w:w="0" w:type="dxa"/>
            <w:vAlign w:val="bottom"/>
          </w:tcPr>
          <w:p>
            <w:pPr>
              <w:spacing w:after="0"/>
              <w:rPr>
                <w:sz w:val="1"/>
                <w:szCs w:val="1"/>
                <w:color w:val="auto"/>
              </w:rPr>
            </w:pPr>
          </w:p>
        </w:tc>
      </w:tr>
      <w:tr>
        <w:trPr>
          <w:trHeight w:val="117"/>
        </w:trPr>
        <w:tc>
          <w:tcPr>
            <w:tcW w:w="14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Other revenues from</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operations</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0" w:type="dxa"/>
            <w:vAlign w:val="bottom"/>
          </w:tcPr>
          <w:p>
            <w:pPr>
              <w:spacing w:after="0"/>
              <w:rPr>
                <w:sz w:val="1"/>
                <w:szCs w:val="1"/>
                <w:color w:val="auto"/>
              </w:rPr>
            </w:pPr>
          </w:p>
        </w:tc>
      </w:tr>
      <w:tr>
        <w:trPr>
          <w:trHeight w:val="117"/>
        </w:trPr>
        <w:tc>
          <w:tcPr>
            <w:tcW w:w="148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Net (loss) gain from</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investment activities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0" w:type="dxa"/>
            <w:vAlign w:val="bottom"/>
          </w:tcPr>
          <w:p>
            <w:pPr>
              <w:spacing w:after="0"/>
              <w:rPr>
                <w:sz w:val="1"/>
                <w:szCs w:val="1"/>
                <w:color w:val="auto"/>
              </w:rPr>
            </w:pPr>
          </w:p>
        </w:tc>
      </w:tr>
      <w:tr>
        <w:trPr>
          <w:trHeight w:val="117"/>
        </w:trPr>
        <w:tc>
          <w:tcPr>
            <w:tcW w:w="14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Interest and dividend</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17"/>
        </w:trPr>
        <w:tc>
          <w:tcPr>
            <w:tcW w:w="148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(Loss) gain on disposition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of assets, net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(loss) income, net</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28"/>
        </w:trPr>
        <w:tc>
          <w:tcPr>
            <w:tcW w:w="14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(1,249)</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3,966</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403</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317</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w:t>
            </w: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6,123</w:t>
            </w:r>
          </w:p>
        </w:tc>
        <w:tc>
          <w:tcPr>
            <w:tcW w:w="0" w:type="dxa"/>
            <w:vAlign w:val="bottom"/>
          </w:tcPr>
          <w:p>
            <w:pPr>
              <w:spacing w:after="0"/>
              <w:rPr>
                <w:sz w:val="1"/>
                <w:szCs w:val="1"/>
                <w:color w:val="auto"/>
              </w:rPr>
            </w:pPr>
          </w:p>
        </w:tc>
      </w:tr>
      <w:tr>
        <w:trPr>
          <w:trHeight w:val="128"/>
        </w:trPr>
        <w:tc>
          <w:tcPr>
            <w:tcW w:w="14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4,164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327</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6,320</w:t>
            </w:r>
          </w:p>
        </w:tc>
        <w:tc>
          <w:tcPr>
            <w:tcW w:w="0" w:type="dxa"/>
            <w:vAlign w:val="bottom"/>
          </w:tcPr>
          <w:p>
            <w:pPr>
              <w:spacing w:after="0"/>
              <w:rPr>
                <w:sz w:val="1"/>
                <w:szCs w:val="1"/>
                <w:color w:val="auto"/>
              </w:rPr>
            </w:pPr>
          </w:p>
        </w:tc>
      </w:tr>
      <w:tr>
        <w:trPr>
          <w:trHeight w:val="117"/>
        </w:trPr>
        <w:tc>
          <w:tcPr>
            <w:tcW w:w="14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Other expenses from</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operations</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0" w:type="dxa"/>
            <w:vAlign w:val="bottom"/>
          </w:tcPr>
          <w:p>
            <w:pPr>
              <w:spacing w:after="0"/>
              <w:rPr>
                <w:sz w:val="1"/>
                <w:szCs w:val="1"/>
                <w:color w:val="auto"/>
              </w:rPr>
            </w:pPr>
          </w:p>
        </w:tc>
      </w:tr>
      <w:tr>
        <w:trPr>
          <w:trHeight w:val="117"/>
        </w:trPr>
        <w:tc>
          <w:tcPr>
            <w:tcW w:w="148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Selling, general and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administrative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5"/>
        </w:trPr>
        <w:tc>
          <w:tcPr>
            <w:tcW w:w="148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Impairment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342</w:t>
            </w: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688</w:t>
            </w:r>
          </w:p>
        </w:tc>
        <w:tc>
          <w:tcPr>
            <w:tcW w:w="0" w:type="dxa"/>
            <w:vAlign w:val="bottom"/>
          </w:tcPr>
          <w:p>
            <w:pPr>
              <w:spacing w:after="0"/>
              <w:rPr>
                <w:sz w:val="1"/>
                <w:szCs w:val="1"/>
                <w:color w:val="auto"/>
              </w:rPr>
            </w:pPr>
          </w:p>
        </w:tc>
      </w:tr>
      <w:tr>
        <w:trPr>
          <w:trHeight w:val="128"/>
        </w:trPr>
        <w:tc>
          <w:tcPr>
            <w:tcW w:w="14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198</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4,405</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2,717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391</w:t>
            </w:r>
          </w:p>
        </w:tc>
        <w:tc>
          <w:tcPr>
            <w:tcW w:w="2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317</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114</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197</w:t>
            </w:r>
          </w:p>
        </w:tc>
        <w:tc>
          <w:tcPr>
            <w:tcW w:w="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364</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8,707</w:t>
            </w:r>
          </w:p>
        </w:tc>
        <w:tc>
          <w:tcPr>
            <w:tcW w:w="0" w:type="dxa"/>
            <w:vAlign w:val="bottom"/>
          </w:tcPr>
          <w:p>
            <w:pPr>
              <w:spacing w:after="0"/>
              <w:rPr>
                <w:sz w:val="1"/>
                <w:szCs w:val="1"/>
                <w:color w:val="auto"/>
              </w:rPr>
            </w:pPr>
          </w:p>
        </w:tc>
      </w:tr>
      <w:tr>
        <w:trPr>
          <w:trHeight w:val="97"/>
        </w:trPr>
        <w:tc>
          <w:tcPr>
            <w:tcW w:w="14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(Loss) income from</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continuing operations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before income tax</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benefit (expense)</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(2,584)</w:t>
            </w:r>
          </w:p>
        </w:tc>
        <w:tc>
          <w:tcPr>
            <w:tcW w:w="0" w:type="dxa"/>
            <w:vAlign w:val="bottom"/>
          </w:tcPr>
          <w:p>
            <w:pPr>
              <w:spacing w:after="0"/>
              <w:rPr>
                <w:sz w:val="1"/>
                <w:szCs w:val="1"/>
                <w:color w:val="auto"/>
              </w:rPr>
            </w:pPr>
          </w:p>
        </w:tc>
      </w:tr>
      <w:tr>
        <w:trPr>
          <w:trHeight w:val="117"/>
        </w:trPr>
        <w:tc>
          <w:tcPr>
            <w:tcW w:w="14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Income tax benefit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97"/>
        </w:trPr>
        <w:tc>
          <w:tcPr>
            <w:tcW w:w="148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Net (loss) income from</w:t>
            </w: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continuing operations</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0" w:type="dxa"/>
            <w:vAlign w:val="bottom"/>
          </w:tcPr>
          <w:p>
            <w:pPr>
              <w:spacing w:after="0"/>
              <w:rPr>
                <w:sz w:val="1"/>
                <w:szCs w:val="1"/>
                <w:color w:val="auto"/>
              </w:rPr>
            </w:pPr>
          </w:p>
        </w:tc>
      </w:tr>
      <w:tr>
        <w:trPr>
          <w:trHeight w:val="117"/>
        </w:trPr>
        <w:tc>
          <w:tcPr>
            <w:tcW w:w="14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Less: net (loss) income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from continuing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operations attributable to</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0" w:type="dxa"/>
            <w:vAlign w:val="bottom"/>
          </w:tcPr>
          <w:p>
            <w:pPr>
              <w:spacing w:after="0"/>
              <w:rPr>
                <w:sz w:val="1"/>
                <w:szCs w:val="1"/>
                <w:color w:val="auto"/>
              </w:rPr>
            </w:pPr>
          </w:p>
        </w:tc>
      </w:tr>
      <w:tr>
        <w:trPr>
          <w:trHeight w:val="97"/>
        </w:trPr>
        <w:tc>
          <w:tcPr>
            <w:tcW w:w="14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Net (loss) income from</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continuing operations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attributable to Icahn</w:t>
            </w:r>
          </w:p>
        </w:tc>
        <w:tc>
          <w:tcPr>
            <w:tcW w:w="2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3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3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0" w:type="dxa"/>
            <w:vAlign w:val="bottom"/>
          </w:tcPr>
          <w:p>
            <w:pPr>
              <w:spacing w:after="0"/>
              <w:rPr>
                <w:sz w:val="1"/>
                <w:szCs w:val="1"/>
                <w:color w:val="auto"/>
              </w:rPr>
            </w:pPr>
          </w:p>
        </w:tc>
      </w:tr>
      <w:tr>
        <w:trPr>
          <w:trHeight w:val="140"/>
        </w:trPr>
        <w:tc>
          <w:tcPr>
            <w:tcW w:w="148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3"/>
                <w:szCs w:val="13"/>
                <w:color w:val="auto"/>
              </w:rPr>
              <w:t>Enterprises</w:t>
            </w:r>
          </w:p>
        </w:tc>
        <w:tc>
          <w:tcPr>
            <w:tcW w:w="22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Supplemental information:</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22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3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20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38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3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17"/>
        </w:trPr>
        <w:tc>
          <w:tcPr>
            <w:tcW w:w="148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Depreciation and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Year Ended December 31, 2019</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140" w:type="dxa"/>
            <w:vAlign w:val="bottom"/>
          </w:tcPr>
          <w:p>
            <w:pPr>
              <w:spacing w:after="0"/>
              <w:rPr>
                <w:sz w:val="9"/>
                <w:szCs w:val="9"/>
                <w:color w:val="auto"/>
              </w:rPr>
            </w:pPr>
          </w:p>
        </w:tc>
        <w:tc>
          <w:tcPr>
            <w:tcW w:w="4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83"/>
              </w:rPr>
              <w:t>Energy</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5"/>
              </w:rPr>
              <w:t>Metals</w:t>
            </w:r>
          </w:p>
        </w:tc>
        <w:tc>
          <w:tcPr>
            <w:tcW w:w="14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2"/>
              </w:rPr>
              <w:t>Estate</w:t>
            </w: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3"/>
              </w:rPr>
              <w:t>Pharma</w:t>
            </w: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3"/>
              </w:rPr>
              <w:t>Mining</w:t>
            </w: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2"/>
              </w:rPr>
              <w:t>Railcar</w:t>
            </w:r>
          </w:p>
        </w:tc>
        <w:tc>
          <w:tcPr>
            <w:tcW w:w="142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Company Consolidated</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4"/>
          </w:tcPr>
          <w:p>
            <w:pPr>
              <w:jc w:val="right"/>
              <w:spacing w:after="0" w:line="115" w:lineRule="exact"/>
              <w:rPr>
                <w:sz w:val="20"/>
                <w:szCs w:val="20"/>
                <w:color w:val="auto"/>
              </w:rPr>
            </w:pPr>
            <w:r>
              <w:rPr>
                <w:rFonts w:ascii="Times New Roman" w:cs="Times New Roman" w:eastAsia="Times New Roman" w:hAnsi="Times New Roman"/>
                <w:sz w:val="13"/>
                <w:szCs w:val="13"/>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Revenues: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2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6,364</w:t>
            </w:r>
          </w:p>
        </w:tc>
        <w:tc>
          <w:tcPr>
            <w:tcW w:w="3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2,293</w:t>
            </w: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385</w:t>
            </w:r>
          </w:p>
        </w:tc>
        <w:tc>
          <w:tcPr>
            <w:tcW w:w="24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340</w:t>
            </w:r>
          </w:p>
        </w:tc>
        <w:tc>
          <w:tcPr>
            <w:tcW w:w="2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2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3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2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9,722</w:t>
            </w:r>
          </w:p>
        </w:tc>
        <w:tc>
          <w:tcPr>
            <w:tcW w:w="0" w:type="dxa"/>
            <w:vAlign w:val="bottom"/>
          </w:tcPr>
          <w:p>
            <w:pPr>
              <w:spacing w:after="0"/>
              <w:rPr>
                <w:sz w:val="1"/>
                <w:szCs w:val="1"/>
                <w:color w:val="auto"/>
              </w:rPr>
            </w:pPr>
          </w:p>
        </w:tc>
      </w:tr>
      <w:tr>
        <w:trPr>
          <w:trHeight w:val="117"/>
        </w:trPr>
        <w:tc>
          <w:tcPr>
            <w:tcW w:w="156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Other revenues from</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operations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0" w:type="dxa"/>
            <w:vAlign w:val="bottom"/>
          </w:tcPr>
          <w:p>
            <w:pPr>
              <w:spacing w:after="0"/>
              <w:rPr>
                <w:sz w:val="1"/>
                <w:szCs w:val="1"/>
                <w:color w:val="auto"/>
              </w:rPr>
            </w:pPr>
          </w:p>
        </w:tc>
      </w:tr>
      <w:tr>
        <w:trPr>
          <w:trHeight w:val="117"/>
        </w:trPr>
        <w:tc>
          <w:tcPr>
            <w:tcW w:w="156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Net loss from investment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activities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0" w:type="dxa"/>
            <w:vAlign w:val="bottom"/>
          </w:tcPr>
          <w:p>
            <w:pPr>
              <w:spacing w:after="0"/>
              <w:rPr>
                <w:sz w:val="1"/>
                <w:szCs w:val="1"/>
                <w:color w:val="auto"/>
              </w:rPr>
            </w:pPr>
          </w:p>
        </w:tc>
      </w:tr>
      <w:tr>
        <w:trPr>
          <w:trHeight w:val="117"/>
        </w:trPr>
        <w:tc>
          <w:tcPr>
            <w:tcW w:w="156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Interest and dividend</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17"/>
        </w:trPr>
        <w:tc>
          <w:tcPr>
            <w:tcW w:w="156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Gain (loss) on disposition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of assets, net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(loss) income, net</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28"/>
        </w:trPr>
        <w:tc>
          <w:tcPr>
            <w:tcW w:w="1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(1,414)</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6,385</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2,895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103</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186</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382</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(261)</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8,994</w:t>
            </w:r>
          </w:p>
        </w:tc>
        <w:tc>
          <w:tcPr>
            <w:tcW w:w="0" w:type="dxa"/>
            <w:vAlign w:val="bottom"/>
          </w:tcPr>
          <w:p>
            <w:pPr>
              <w:spacing w:after="0"/>
              <w:rPr>
                <w:sz w:val="1"/>
                <w:szCs w:val="1"/>
                <w:color w:val="auto"/>
              </w:rPr>
            </w:pPr>
          </w:p>
        </w:tc>
      </w:tr>
      <w:tr>
        <w:trPr>
          <w:trHeight w:val="128"/>
        </w:trPr>
        <w:tc>
          <w:tcPr>
            <w:tcW w:w="15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5,707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8,205</w:t>
            </w:r>
          </w:p>
        </w:tc>
        <w:tc>
          <w:tcPr>
            <w:tcW w:w="0" w:type="dxa"/>
            <w:vAlign w:val="bottom"/>
          </w:tcPr>
          <w:p>
            <w:pPr>
              <w:spacing w:after="0"/>
              <w:rPr>
                <w:sz w:val="1"/>
                <w:szCs w:val="1"/>
                <w:color w:val="auto"/>
              </w:rPr>
            </w:pPr>
          </w:p>
        </w:tc>
      </w:tr>
      <w:tr>
        <w:trPr>
          <w:trHeight w:val="117"/>
        </w:trPr>
        <w:tc>
          <w:tcPr>
            <w:tcW w:w="156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Other expenses from</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operations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0" w:type="dxa"/>
            <w:vAlign w:val="bottom"/>
          </w:tcPr>
          <w:p>
            <w:pPr>
              <w:spacing w:after="0"/>
              <w:rPr>
                <w:sz w:val="1"/>
                <w:szCs w:val="1"/>
                <w:color w:val="auto"/>
              </w:rPr>
            </w:pPr>
          </w:p>
        </w:tc>
      </w:tr>
      <w:tr>
        <w:trPr>
          <w:trHeight w:val="117"/>
        </w:trPr>
        <w:tc>
          <w:tcPr>
            <w:tcW w:w="156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Selling, general and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administrative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35"/>
        </w:trPr>
        <w:tc>
          <w:tcPr>
            <w:tcW w:w="1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Impairment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605</w:t>
            </w:r>
          </w:p>
        </w:tc>
        <w:tc>
          <w:tcPr>
            <w:tcW w:w="0" w:type="dxa"/>
            <w:vAlign w:val="bottom"/>
          </w:tcPr>
          <w:p>
            <w:pPr>
              <w:spacing w:after="0"/>
              <w:rPr>
                <w:sz w:val="1"/>
                <w:szCs w:val="1"/>
                <w:color w:val="auto"/>
              </w:rPr>
            </w:pPr>
          </w:p>
        </w:tc>
      </w:tr>
      <w:tr>
        <w:trPr>
          <w:trHeight w:val="128"/>
        </w:trPr>
        <w:tc>
          <w:tcPr>
            <w:tcW w:w="1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129</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5,959</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3,147</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393</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363</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203</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376</w:t>
            </w:r>
          </w:p>
        </w:tc>
        <w:tc>
          <w:tcPr>
            <w:tcW w:w="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10,733</w:t>
            </w:r>
          </w:p>
        </w:tc>
        <w:tc>
          <w:tcPr>
            <w:tcW w:w="0" w:type="dxa"/>
            <w:vAlign w:val="bottom"/>
          </w:tcPr>
          <w:p>
            <w:pPr>
              <w:spacing w:after="0"/>
              <w:rPr>
                <w:sz w:val="1"/>
                <w:szCs w:val="1"/>
                <w:color w:val="auto"/>
              </w:rPr>
            </w:pPr>
          </w:p>
        </w:tc>
      </w:tr>
      <w:tr>
        <w:trPr>
          <w:trHeight w:val="97"/>
        </w:trPr>
        <w:tc>
          <w:tcPr>
            <w:tcW w:w="15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(Loss) income from</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continuing operations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before income tax</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 benefit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w:t>
            </w:r>
          </w:p>
        </w:tc>
        <w:tc>
          <w:tcPr>
            <w:tcW w:w="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0" w:type="dxa"/>
            <w:vAlign w:val="bottom"/>
          </w:tcPr>
          <w:p>
            <w:pPr>
              <w:spacing w:after="0"/>
              <w:rPr>
                <w:sz w:val="1"/>
                <w:szCs w:val="1"/>
                <w:color w:val="auto"/>
              </w:rPr>
            </w:pPr>
          </w:p>
        </w:tc>
      </w:tr>
      <w:tr>
        <w:trPr>
          <w:trHeight w:val="135"/>
        </w:trPr>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97"/>
        </w:trPr>
        <w:tc>
          <w:tcPr>
            <w:tcW w:w="156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Net (loss) income from</w:t>
            </w: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continuing operations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w:t>
            </w:r>
          </w:p>
        </w:tc>
        <w:tc>
          <w:tcPr>
            <w:tcW w:w="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0" w:type="dxa"/>
            <w:vAlign w:val="bottom"/>
          </w:tcPr>
          <w:p>
            <w:pPr>
              <w:spacing w:after="0"/>
              <w:rPr>
                <w:sz w:val="1"/>
                <w:szCs w:val="1"/>
                <w:color w:val="auto"/>
              </w:rPr>
            </w:pPr>
          </w:p>
        </w:tc>
      </w:tr>
      <w:tr>
        <w:trPr>
          <w:trHeight w:val="117"/>
        </w:trPr>
        <w:tc>
          <w:tcPr>
            <w:tcW w:w="15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Less: net (loss) income from</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continuing operations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attributable to non-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controlling interests</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0" w:type="dxa"/>
            <w:vAlign w:val="bottom"/>
          </w:tcPr>
          <w:p>
            <w:pPr>
              <w:spacing w:after="0"/>
              <w:rPr>
                <w:sz w:val="1"/>
                <w:szCs w:val="1"/>
                <w:color w:val="auto"/>
              </w:rPr>
            </w:pPr>
          </w:p>
        </w:tc>
      </w:tr>
      <w:tr>
        <w:trPr>
          <w:trHeight w:val="97"/>
        </w:trPr>
        <w:tc>
          <w:tcPr>
            <w:tcW w:w="15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Net (loss) income from</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continuing operations</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attributable to Icahn</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60" w:type="dxa"/>
            <w:vAlign w:val="bottom"/>
            <w:shd w:val="clear" w:color="auto" w:fill="CCEEFF"/>
          </w:tcPr>
          <w:p>
            <w:pPr>
              <w:spacing w:after="0"/>
              <w:rPr>
                <w:sz w:val="11"/>
                <w:szCs w:val="11"/>
                <w:color w:val="auto"/>
              </w:rPr>
            </w:pPr>
          </w:p>
        </w:tc>
        <w:tc>
          <w:tcPr>
            <w:tcW w:w="14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3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2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0" w:type="dxa"/>
            <w:vAlign w:val="bottom"/>
          </w:tcPr>
          <w:p>
            <w:pPr>
              <w:spacing w:after="0"/>
              <w:rPr>
                <w:sz w:val="1"/>
                <w:szCs w:val="1"/>
                <w:color w:val="auto"/>
              </w:rPr>
            </w:pPr>
          </w:p>
        </w:tc>
      </w:tr>
      <w:tr>
        <w:trPr>
          <w:trHeight w:val="140"/>
        </w:trPr>
        <w:tc>
          <w:tcPr>
            <w:tcW w:w="1560" w:type="dxa"/>
            <w:vAlign w:val="bottom"/>
            <w:shd w:val="clear" w:color="auto" w:fill="CCEEFF"/>
          </w:tcPr>
          <w:p>
            <w:pPr>
              <w:ind w:left="120"/>
              <w:spacing w:after="0" w:line="140" w:lineRule="exact"/>
              <w:rPr>
                <w:sz w:val="20"/>
                <w:szCs w:val="20"/>
                <w:color w:val="auto"/>
              </w:rPr>
            </w:pPr>
            <w:r>
              <w:rPr>
                <w:rFonts w:ascii="Times New Roman" w:cs="Times New Roman" w:eastAsia="Times New Roman" w:hAnsi="Times New Roman"/>
                <w:sz w:val="13"/>
                <w:szCs w:val="13"/>
                <w:color w:val="auto"/>
              </w:rPr>
              <w:t>Enterprises</w:t>
            </w:r>
          </w:p>
        </w:tc>
        <w:tc>
          <w:tcPr>
            <w:tcW w:w="24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Supplemental information:</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24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3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4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2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26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3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2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17"/>
        </w:trPr>
        <w:tc>
          <w:tcPr>
            <w:tcW w:w="156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Depreciation and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5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b w:val="1"/>
                <w:bCs w:val="1"/>
                <w:color w:val="auto"/>
                <w:w w:val="97"/>
              </w:rPr>
              <w:t>Year Ended December 31, 2018</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3"/>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5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Packaging</w:t>
            </w:r>
          </w:p>
        </w:tc>
        <w:tc>
          <w:tcPr>
            <w:tcW w:w="5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Metals</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Fashion</w:t>
            </w:r>
          </w:p>
        </w:tc>
        <w:tc>
          <w:tcPr>
            <w:tcW w:w="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Pharma</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Mining</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Railcar</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right"/>
              <w:spacing w:after="0" w:line="115" w:lineRule="exact"/>
              <w:rPr>
                <w:sz w:val="20"/>
                <w:szCs w:val="20"/>
                <w:color w:val="auto"/>
              </w:rPr>
            </w:pPr>
            <w:r>
              <w:rPr>
                <w:rFonts w:ascii="Times New Roman" w:cs="Times New Roman" w:eastAsia="Times New Roman" w:hAnsi="Times New Roman"/>
                <w:sz w:val="13"/>
                <w:szCs w:val="13"/>
                <w:color w:val="auto"/>
              </w:rPr>
              <w:t>(in millions)</w:t>
            </w: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Revenues:</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7,124</w:t>
            </w:r>
          </w:p>
        </w:tc>
        <w:tc>
          <w:tcPr>
            <w:tcW w:w="14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2,295</w:t>
            </w:r>
          </w:p>
        </w:tc>
        <w:tc>
          <w:tcPr>
            <w:tcW w:w="12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466</w:t>
            </w:r>
          </w:p>
        </w:tc>
        <w:tc>
          <w:tcPr>
            <w:tcW w:w="120" w:type="dxa"/>
            <w:vAlign w:val="bottom"/>
          </w:tcPr>
          <w:p>
            <w:pPr>
              <w:spacing w:after="0"/>
              <w:rPr>
                <w:sz w:val="11"/>
                <w:szCs w:val="11"/>
                <w:color w:val="auto"/>
              </w:rPr>
            </w:pPr>
          </w:p>
        </w:tc>
        <w:tc>
          <w:tcPr>
            <w:tcW w:w="1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4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tcPr>
          <w:p>
            <w:pPr>
              <w:spacing w:after="0"/>
              <w:rPr>
                <w:sz w:val="11"/>
                <w:szCs w:val="11"/>
                <w:color w:val="auto"/>
              </w:rPr>
            </w:pP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10,576</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revenues from</w:t>
            </w: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operations</w:t>
            </w:r>
          </w:p>
        </w:tc>
        <w:tc>
          <w:tcPr>
            <w:tcW w:w="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0" w:type="dxa"/>
            <w:vAlign w:val="bottom"/>
          </w:tcPr>
          <w:p>
            <w:pPr>
              <w:spacing w:after="0"/>
              <w:rPr>
                <w:sz w:val="1"/>
                <w:szCs w:val="1"/>
                <w:color w:val="auto"/>
              </w:rPr>
            </w:pPr>
          </w:p>
        </w:tc>
      </w:tr>
      <w:tr>
        <w:trPr>
          <w:trHeight w:val="117"/>
        </w:trPr>
        <w:tc>
          <w:tcPr>
            <w:tcW w:w="15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Net income (loss) from</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investment activities</w:t>
            </w:r>
          </w:p>
        </w:tc>
        <w:tc>
          <w:tcPr>
            <w:tcW w:w="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(313)</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Interest and dividend</w:t>
            </w: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income</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17"/>
        </w:trPr>
        <w:tc>
          <w:tcPr>
            <w:tcW w:w="15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(Loss) gain on disposition</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of assets, net</w:t>
            </w:r>
          </w:p>
        </w:tc>
        <w:tc>
          <w:tcPr>
            <w:tcW w:w="22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(loss) income, net</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15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737</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7,135</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2,856</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379</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467</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212</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171</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106</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(291)</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11,777</w:t>
            </w:r>
          </w:p>
        </w:tc>
        <w:tc>
          <w:tcPr>
            <w:tcW w:w="0" w:type="dxa"/>
            <w:vAlign w:val="bottom"/>
          </w:tcPr>
          <w:p>
            <w:pPr>
              <w:spacing w:after="0"/>
              <w:rPr>
                <w:sz w:val="1"/>
                <w:szCs w:val="1"/>
                <w:color w:val="auto"/>
              </w:rPr>
            </w:pPr>
          </w:p>
        </w:tc>
      </w:tr>
      <w:tr>
        <w:trPr>
          <w:trHeight w:val="128"/>
        </w:trPr>
        <w:tc>
          <w:tcPr>
            <w:tcW w:w="15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2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6,508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8,993</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expenses from</w:t>
            </w: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operations</w:t>
            </w:r>
          </w:p>
        </w:tc>
        <w:tc>
          <w:tcPr>
            <w:tcW w:w="2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0" w:type="dxa"/>
            <w:vAlign w:val="bottom"/>
          </w:tcPr>
          <w:p>
            <w:pPr>
              <w:spacing w:after="0"/>
              <w:rPr>
                <w:sz w:val="1"/>
                <w:szCs w:val="1"/>
                <w:color w:val="auto"/>
              </w:rPr>
            </w:pPr>
          </w:p>
        </w:tc>
      </w:tr>
      <w:tr>
        <w:trPr>
          <w:trHeight w:val="117"/>
        </w:trPr>
        <w:tc>
          <w:tcPr>
            <w:tcW w:w="15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Selling, general and</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administrative</w:t>
            </w:r>
          </w:p>
        </w:tc>
        <w:tc>
          <w:tcPr>
            <w:tcW w:w="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w:t>
            </w: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15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Impairment</w:t>
            </w:r>
          </w:p>
        </w:tc>
        <w:tc>
          <w:tcPr>
            <w:tcW w:w="2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524</w:t>
            </w:r>
          </w:p>
        </w:tc>
        <w:tc>
          <w:tcPr>
            <w:tcW w:w="0" w:type="dxa"/>
            <w:vAlign w:val="bottom"/>
          </w:tcPr>
          <w:p>
            <w:pPr>
              <w:spacing w:after="0"/>
              <w:rPr>
                <w:sz w:val="1"/>
                <w:szCs w:val="1"/>
                <w:color w:val="auto"/>
              </w:rPr>
            </w:pPr>
          </w:p>
        </w:tc>
      </w:tr>
      <w:tr>
        <w:trPr>
          <w:trHeight w:val="128"/>
        </w:trPr>
        <w:tc>
          <w:tcPr>
            <w:tcW w:w="15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6,755</w:t>
            </w:r>
          </w:p>
        </w:tc>
        <w:tc>
          <w:tcPr>
            <w:tcW w:w="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3,138</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398</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461</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182</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362</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11,554</w:t>
            </w:r>
          </w:p>
        </w:tc>
        <w:tc>
          <w:tcPr>
            <w:tcW w:w="0" w:type="dxa"/>
            <w:vAlign w:val="bottom"/>
          </w:tcPr>
          <w:p>
            <w:pPr>
              <w:spacing w:after="0"/>
              <w:rPr>
                <w:sz w:val="1"/>
                <w:szCs w:val="1"/>
                <w:color w:val="auto"/>
              </w:rPr>
            </w:pPr>
          </w:p>
        </w:tc>
      </w:tr>
      <w:tr>
        <w:trPr>
          <w:trHeight w:val="97"/>
        </w:trPr>
        <w:tc>
          <w:tcPr>
            <w:tcW w:w="1580" w:type="dxa"/>
            <w:vAlign w:val="bottom"/>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Income (loss) from</w:t>
            </w:r>
          </w:p>
        </w:tc>
        <w:tc>
          <w:tcPr>
            <w:tcW w:w="2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continuing operations</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before income tax</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 benefit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(653)</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17"/>
        </w:trPr>
        <w:tc>
          <w:tcPr>
            <w:tcW w:w="15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Income tax (expense)</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w:t>
            </w:r>
          </w:p>
        </w:tc>
        <w:tc>
          <w:tcPr>
            <w:tcW w:w="22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w:t>
            </w:r>
          </w:p>
        </w:tc>
        <w:tc>
          <w:tcPr>
            <w:tcW w:w="1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97"/>
        </w:trPr>
        <w:tc>
          <w:tcPr>
            <w:tcW w:w="158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Net income (loss) from</w:t>
            </w:r>
          </w:p>
        </w:tc>
        <w:tc>
          <w:tcPr>
            <w:tcW w:w="22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continuing operations</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(230)</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(639)</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0" w:type="dxa"/>
            <w:vAlign w:val="bottom"/>
          </w:tcPr>
          <w:p>
            <w:pPr>
              <w:spacing w:after="0"/>
              <w:rPr>
                <w:sz w:val="1"/>
                <w:szCs w:val="1"/>
                <w:color w:val="auto"/>
              </w:rPr>
            </w:pPr>
          </w:p>
        </w:tc>
      </w:tr>
      <w:tr>
        <w:trPr>
          <w:trHeight w:val="117"/>
        </w:trPr>
        <w:tc>
          <w:tcPr>
            <w:tcW w:w="15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income (loss)</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from continuing</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operations attributable to</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0" w:type="dxa"/>
            <w:vAlign w:val="bottom"/>
          </w:tcPr>
          <w:p>
            <w:pPr>
              <w:spacing w:after="0"/>
              <w:rPr>
                <w:sz w:val="1"/>
                <w:szCs w:val="1"/>
                <w:color w:val="auto"/>
              </w:rPr>
            </w:pPr>
          </w:p>
        </w:tc>
      </w:tr>
      <w:tr>
        <w:trPr>
          <w:trHeight w:val="97"/>
        </w:trPr>
        <w:tc>
          <w:tcPr>
            <w:tcW w:w="1580" w:type="dxa"/>
            <w:vAlign w:val="bottom"/>
            <w:tcBorders>
              <w:top w:val="single" w:sz="8" w:color="CCEEFF"/>
            </w:tcBorders>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Net income (loss) from</w:t>
            </w:r>
          </w:p>
        </w:tc>
        <w:tc>
          <w:tcPr>
            <w:tcW w:w="22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continuing operations</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attributable to Icahn</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4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4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(230)</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4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(638)</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40"/>
        </w:trPr>
        <w:tc>
          <w:tcPr>
            <w:tcW w:w="158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3"/>
                <w:szCs w:val="13"/>
                <w:color w:val="auto"/>
              </w:rPr>
              <w:t>Enterprises</w:t>
            </w:r>
          </w:p>
        </w:tc>
        <w:tc>
          <w:tcPr>
            <w:tcW w:w="22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17"/>
        </w:trPr>
        <w:tc>
          <w:tcPr>
            <w:tcW w:w="158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Depreciation and</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4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60" w:right="109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condensed statements of operations by reporting segment above, we provide additional disaggregated revenue information for certain reportable segments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Disaggregated revenue for our Energy segment net sales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r>
      <w:tr>
        <w:trPr>
          <w:trHeight w:val="209"/>
        </w:trPr>
        <w:tc>
          <w:tcPr>
            <w:tcW w:w="5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28"/>
        </w:trPr>
        <w:tc>
          <w:tcPr>
            <w:tcW w:w="5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154"/>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Petroleum products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r>
      <w:tr>
        <w:trPr>
          <w:trHeight w:val="21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Nitrogen fertilizer products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0"/>
        </w:trPr>
        <w:tc>
          <w:tcPr>
            <w:tcW w:w="5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r>
      <w:tr>
        <w:trPr>
          <w:trHeight w:val="20"/>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Disaggregated revenue for our Automotive segment net sales and other revenues from operations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154"/>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services</w:t>
            </w:r>
          </w:p>
        </w:tc>
        <w:tc>
          <w:tcPr>
            <w:tcW w:w="2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Aftermarket parts sales</w:t>
            </w:r>
          </w:p>
        </w:tc>
        <w:tc>
          <w:tcPr>
            <w:tcW w:w="2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48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0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0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Icahn Enterprises’ condensed balance sheets by reporting segment are presented below. Icahn Enterprises Holdings’ condensed balance sheets are substantially the same, with immaterial differences relating to our Holding Company’s other assets, debt and equity attributable to Icahn Enterprises Holdings.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 2020</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0"/>
              </w:rPr>
              <w:t>Metals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Fashion</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Pharma</w:t>
            </w:r>
          </w:p>
        </w:tc>
        <w:tc>
          <w:tcPr>
            <w:tcW w:w="10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tcPr>
          <w:p>
            <w:pPr>
              <w:jc w:val="right"/>
              <w:ind w:right="157"/>
              <w:spacing w:after="0" w:line="115" w:lineRule="exact"/>
              <w:rPr>
                <w:sz w:val="20"/>
                <w:szCs w:val="20"/>
                <w:color w:val="auto"/>
              </w:rPr>
            </w:pPr>
            <w:r>
              <w:rPr>
                <w:rFonts w:ascii="Times New Roman" w:cs="Times New Roman" w:eastAsia="Times New Roman" w:hAnsi="Times New Roman"/>
                <w:sz w:val="13"/>
                <w:szCs w:val="13"/>
                <w:color w:val="auto"/>
              </w:rPr>
              <w:t>(in millions)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ind w:left="86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gridSpan w:val="2"/>
          </w:tcPr>
          <w:p>
            <w:pPr>
              <w:jc w:val="right"/>
              <w:ind w:right="5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200" w:type="dxa"/>
            <w:vAlign w:val="bottom"/>
            <w:gridSpan w:val="2"/>
          </w:tcPr>
          <w:p>
            <w:pPr>
              <w:jc w:val="right"/>
              <w:ind w:right="22"/>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667</w:t>
            </w:r>
          </w:p>
        </w:tc>
        <w:tc>
          <w:tcPr>
            <w:tcW w:w="2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60" w:type="dxa"/>
            <w:vAlign w:val="bottom"/>
          </w:tcPr>
          <w:p>
            <w:pPr>
              <w:spacing w:after="0"/>
              <w:rPr>
                <w:sz w:val="11"/>
                <w:szCs w:val="11"/>
                <w:color w:val="auto"/>
              </w:rPr>
            </w:pPr>
          </w:p>
        </w:tc>
        <w:tc>
          <w:tcPr>
            <w:tcW w:w="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300" w:type="dxa"/>
            <w:vAlign w:val="bottom"/>
            <w:gridSpan w:val="2"/>
          </w:tcPr>
          <w:p>
            <w:pPr>
              <w:jc w:val="right"/>
              <w:ind w:right="44"/>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925</w:t>
            </w:r>
          </w:p>
        </w:tc>
        <w:tc>
          <w:tcPr>
            <w:tcW w:w="6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Cash held at consolidated affiliated</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partnerships and restricted cash</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2,747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4,308</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335</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8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4,723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3,089</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485</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217</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486</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227</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1,315</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24,987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80" w:type="dxa"/>
            <w:vAlign w:val="bottom"/>
            <w:shd w:val="clear" w:color="auto" w:fill="CCEEFF"/>
          </w:tcPr>
          <w:p>
            <w:pPr>
              <w:ind w:left="300"/>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liabilities</w:t>
            </w:r>
          </w:p>
        </w:tc>
        <w:tc>
          <w:tcPr>
            <w:tcW w:w="2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w:t>
            </w:r>
          </w:p>
        </w:tc>
        <w:tc>
          <w:tcPr>
            <w:tcW w:w="20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60" w:type="dxa"/>
            <w:vAlign w:val="bottom"/>
          </w:tcPr>
          <w:p>
            <w:pPr>
              <w:spacing w:after="0"/>
              <w:rPr>
                <w:sz w:val="13"/>
                <w:szCs w:val="13"/>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60" w:type="dxa"/>
            <w:vAlign w:val="bottom"/>
          </w:tcPr>
          <w:p>
            <w:pPr>
              <w:spacing w:after="0"/>
              <w:rPr>
                <w:sz w:val="13"/>
                <w:szCs w:val="13"/>
                <w:color w:val="auto"/>
              </w:rPr>
            </w:pPr>
          </w:p>
        </w:tc>
        <w:tc>
          <w:tcPr>
            <w:tcW w:w="220" w:type="dxa"/>
            <w:vAlign w:val="bottom"/>
            <w:gridSpan w:val="2"/>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Securities sold, not yet purchased, at fair</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value</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1,691</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5,811</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8,059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4,777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2,880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1,535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332</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5,921</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15,730</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(4,606)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3,382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Equity attributable to non-controlling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9,342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1,843</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1,554</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128</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440</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(4,606)</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9,257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160" w:type="dxa"/>
            <w:vAlign w:val="bottom"/>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14,119</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4,723</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3,089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485</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486</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227</w:t>
            </w:r>
          </w:p>
        </w:tc>
        <w:tc>
          <w:tcPr>
            <w:tcW w:w="140" w:type="dxa"/>
            <w:vAlign w:val="bottom"/>
          </w:tcPr>
          <w:p>
            <w:pPr>
              <w:spacing w:after="0"/>
              <w:rPr>
                <w:sz w:val="11"/>
                <w:szCs w:val="11"/>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326</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1,315</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 2019</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97"/>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3"/>
              </w:rPr>
              <w:t>Packaging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0"/>
              </w:rPr>
              <w:t>Metals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Fashion</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Pharma</w:t>
            </w:r>
          </w:p>
        </w:tc>
        <w:tc>
          <w:tcPr>
            <w:tcW w:w="10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tcPr>
          <w:p>
            <w:pPr>
              <w:jc w:val="right"/>
              <w:ind w:right="157"/>
              <w:spacing w:after="0" w:line="115" w:lineRule="exact"/>
              <w:rPr>
                <w:sz w:val="20"/>
                <w:szCs w:val="20"/>
                <w:color w:val="auto"/>
              </w:rPr>
            </w:pPr>
            <w:r>
              <w:rPr>
                <w:rFonts w:ascii="Times New Roman" w:cs="Times New Roman" w:eastAsia="Times New Roman" w:hAnsi="Times New Roman"/>
                <w:sz w:val="13"/>
                <w:szCs w:val="13"/>
                <w:color w:val="auto"/>
              </w:rPr>
              <w:t>(in millions)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ind w:left="86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gridSpan w:val="2"/>
          </w:tcPr>
          <w:p>
            <w:pPr>
              <w:jc w:val="right"/>
              <w:ind w:right="54"/>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00" w:type="dxa"/>
            <w:vAlign w:val="bottom"/>
            <w:gridSpan w:val="2"/>
          </w:tcPr>
          <w:p>
            <w:pPr>
              <w:jc w:val="right"/>
              <w:ind w:right="22"/>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652</w:t>
            </w:r>
          </w:p>
        </w:tc>
        <w:tc>
          <w:tcPr>
            <w:tcW w:w="2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60" w:type="dxa"/>
            <w:vAlign w:val="bottom"/>
          </w:tcPr>
          <w:p>
            <w:pPr>
              <w:spacing w:after="0"/>
              <w:rPr>
                <w:sz w:val="11"/>
                <w:szCs w:val="11"/>
                <w:color w:val="auto"/>
              </w:rPr>
            </w:pPr>
          </w:p>
        </w:tc>
        <w:tc>
          <w:tcPr>
            <w:tcW w:w="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gridSpan w:val="2"/>
          </w:tcPr>
          <w:p>
            <w:pPr>
              <w:jc w:val="right"/>
              <w:ind w:right="84"/>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3,006</w:t>
            </w:r>
          </w:p>
        </w:tc>
        <w:tc>
          <w:tcPr>
            <w:tcW w:w="6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3,794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Cash held at consolidated affiliated</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partnerships and restricted cash</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1,076</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8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11,283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4,673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3,495</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517</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233</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514</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231</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3,693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24,639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shd w:val="clear" w:color="auto" w:fill="CCEEFF"/>
          </w:tcPr>
          <w:p>
            <w:pPr>
              <w:ind w:left="300"/>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liabilities</w:t>
            </w:r>
          </w:p>
        </w:tc>
        <w:tc>
          <w:tcPr>
            <w:tcW w:w="2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w:t>
            </w:r>
          </w:p>
        </w:tc>
        <w:tc>
          <w:tcPr>
            <w:tcW w:w="20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w:t>
            </w:r>
          </w:p>
        </w:tc>
        <w:tc>
          <w:tcPr>
            <w:tcW w:w="60" w:type="dxa"/>
            <w:vAlign w:val="bottom"/>
          </w:tcPr>
          <w:p>
            <w:pPr>
              <w:spacing w:after="0"/>
              <w:rPr>
                <w:sz w:val="13"/>
                <w:szCs w:val="13"/>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340" w:type="dxa"/>
            <w:vAlign w:val="bottom"/>
            <w:gridSpan w:val="2"/>
          </w:tcPr>
          <w:p>
            <w:pPr>
              <w:jc w:val="right"/>
              <w:ind w:right="8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60" w:type="dxa"/>
            <w:vAlign w:val="bottom"/>
          </w:tcPr>
          <w:p>
            <w:pPr>
              <w:spacing w:after="0"/>
              <w:rPr>
                <w:sz w:val="13"/>
                <w:szCs w:val="13"/>
                <w:color w:val="auto"/>
              </w:rPr>
            </w:pPr>
          </w:p>
        </w:tc>
        <w:tc>
          <w:tcPr>
            <w:tcW w:w="220" w:type="dxa"/>
            <w:vAlign w:val="bottom"/>
            <w:gridSpan w:val="2"/>
          </w:tcPr>
          <w:p>
            <w:pPr>
              <w:jc w:val="right"/>
              <w:ind w:right="12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Securities sold, not yet purchased, at fair</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value</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1,195</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405</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268</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6,297</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8,192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2,500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2,375</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6,412</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13,697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1,312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1,750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5,456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Equity attributable to non-controlling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8,783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2,298</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1,750</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147</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(2,719)</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10,942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160" w:type="dxa"/>
            <w:vAlign w:val="bottom"/>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11,283</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4,673</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3,495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517</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514</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231</w:t>
            </w:r>
          </w:p>
        </w:tc>
        <w:tc>
          <w:tcPr>
            <w:tcW w:w="140" w:type="dxa"/>
            <w:vAlign w:val="bottom"/>
          </w:tcPr>
          <w:p>
            <w:pPr>
              <w:spacing w:after="0"/>
              <w:rPr>
                <w:sz w:val="11"/>
                <w:szCs w:val="11"/>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3,693</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consolidated geographic net sales from external customers, other revenues from operations and property, plant and equipment, net for the periods indicated: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Property, Plant and</w:t>
            </w:r>
          </w:p>
        </w:tc>
      </w:tr>
      <w:tr>
        <w:trPr>
          <w:trHeight w:val="238"/>
        </w:trPr>
        <w:tc>
          <w:tcPr>
            <w:tcW w:w="2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9"/>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 Revenues From Operations</w:t>
            </w:r>
          </w:p>
        </w:tc>
        <w:tc>
          <w:tcPr>
            <w:tcW w:w="120" w:type="dxa"/>
            <w:vAlign w:val="bottom"/>
          </w:tcPr>
          <w:p>
            <w:pPr>
              <w:spacing w:after="0"/>
              <w:rPr>
                <w:sz w:val="20"/>
                <w:szCs w:val="20"/>
                <w:color w:val="auto"/>
              </w:rPr>
            </w:pPr>
          </w:p>
        </w:tc>
        <w:tc>
          <w:tcPr>
            <w:tcW w:w="146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Equipment, Net</w:t>
            </w:r>
          </w:p>
        </w:tc>
      </w:tr>
      <w:tr>
        <w:trPr>
          <w:trHeight w:val="209"/>
        </w:trPr>
        <w:tc>
          <w:tcPr>
            <w:tcW w:w="2020" w:type="dxa"/>
            <w:vAlign w:val="bottom"/>
          </w:tcPr>
          <w:p>
            <w:pPr>
              <w:spacing w:after="0"/>
              <w:rPr>
                <w:sz w:val="18"/>
                <w:szCs w:val="18"/>
                <w:color w:val="auto"/>
              </w:rPr>
            </w:pPr>
          </w:p>
        </w:tc>
        <w:tc>
          <w:tcPr>
            <w:tcW w:w="2260" w:type="dxa"/>
            <w:vAlign w:val="bottom"/>
            <w:tcBorders>
              <w:top w:val="single" w:sz="8" w:color="auto"/>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2020" w:type="dxa"/>
            <w:vAlign w:val="bottom"/>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96"/>
        </w:trPr>
        <w:tc>
          <w:tcPr>
            <w:tcW w:w="2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$ 6,462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$ 9,271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$ 10,170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r>
      <w:tr>
        <w:trPr>
          <w:trHeight w:val="216"/>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$ 6,815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$ 9,722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$ 10,576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r>
      <w:tr>
        <w:trPr>
          <w:trHeight w:val="20"/>
        </w:trPr>
        <w:tc>
          <w:tcPr>
            <w:tcW w:w="2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Geographic locations for net sales and other revenues from operations are based on locations of the customers and geographic locations for property, plant, and equipment are based on the locations of the assets.</w:t>
      </w:r>
    </w:p>
    <w:p>
      <w:pPr>
        <w:spacing w:after="0" w:line="158" w:lineRule="exact"/>
        <w:rPr>
          <w:sz w:val="20"/>
          <w:szCs w:val="20"/>
          <w:color w:val="auto"/>
        </w:rPr>
      </w:pPr>
    </w:p>
    <w:p>
      <w:pPr>
        <w:ind w:left="360" w:hanging="310"/>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from discontinued operations is summarized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9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Gaming</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Railcar</w:t>
            </w:r>
          </w:p>
        </w:tc>
        <w:tc>
          <w:tcPr>
            <w:tcW w:w="180" w:type="dxa"/>
            <w:vAlign w:val="bottom"/>
          </w:tcPr>
          <w:p>
            <w:pPr>
              <w:spacing w:after="0"/>
              <w:rPr>
                <w:sz w:val="12"/>
                <w:szCs w:val="12"/>
                <w:color w:val="auto"/>
              </w:rPr>
            </w:pPr>
          </w:p>
        </w:tc>
        <w:tc>
          <w:tcPr>
            <w:tcW w:w="62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 net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2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net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0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Income from discontinued operations before gain on sale and</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income </w:t>
            </w:r>
            <w:r>
              <w:rPr>
                <w:rFonts w:ascii="Times New Roman" w:cs="Times New Roman" w:eastAsia="Times New Roman" w:hAnsi="Times New Roman"/>
                <w:sz w:val="12"/>
                <w:szCs w:val="12"/>
                <w:color w:val="auto"/>
              </w:rPr>
              <w:t>tax</w:t>
            </w:r>
            <w:r>
              <w:rPr>
                <w:rFonts w:ascii="Times New Roman" w:cs="Times New Roman" w:eastAsia="Times New Roman" w:hAnsi="Times New Roman"/>
                <w:sz w:val="18"/>
                <w:szCs w:val="18"/>
                <w:color w:val="auto"/>
              </w:rPr>
              <w:t xml:space="preserve"> expense</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 expense</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income from discontinued operations attributable to non-</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controlling </w:t>
            </w:r>
            <w:r>
              <w:rPr>
                <w:rFonts w:ascii="Times New Roman" w:cs="Times New Roman" w:eastAsia="Times New Roman" w:hAnsi="Times New Roman"/>
                <w:sz w:val="12"/>
                <w:szCs w:val="12"/>
                <w:color w:val="auto"/>
              </w:rPr>
              <w:t>interests</w:t>
            </w: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Income from discontinued operations attributable to Icahn</w:t>
            </w: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5"/>
                <w:szCs w:val="15"/>
                <w:color w:val="auto"/>
              </w:rPr>
            </w:pP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Enterprises</w:t>
            </w:r>
          </w:p>
        </w:tc>
        <w:tc>
          <w:tcPr>
            <w:tcW w:w="24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504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The difference between the book basis and the tax basis of our net assets, not directly subject to income taxes,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6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Icahn Enterprises</w:t>
            </w:r>
          </w:p>
        </w:tc>
        <w:tc>
          <w:tcPr>
            <w:tcW w:w="2300" w:type="dxa"/>
            <w:vAlign w:val="bottom"/>
            <w:gridSpan w:val="1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Icahn Enterprises Holdings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40" w:type="dxa"/>
            <w:vAlign w:val="bottom"/>
            <w:tcBorders>
              <w:top w:val="single" w:sz="8" w:color="auto"/>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40" w:type="dxa"/>
            <w:vAlign w:val="bottom"/>
            <w:gridSpan w:val="6"/>
          </w:tcPr>
          <w:p>
            <w:pPr>
              <w:jc w:val="right"/>
              <w:ind w:right="136"/>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basis of net assets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$ 3,382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3,380</w:t>
            </w:r>
          </w:p>
        </w:tc>
        <w:tc>
          <w:tcPr>
            <w:tcW w:w="22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Book/tax basis difference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5"/>
              </w:rPr>
              <w:t>(1,397)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basis of net assets</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$ 2,608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060" w:type="dxa"/>
            <w:vAlign w:val="bottom"/>
            <w:gridSpan w:val="12"/>
          </w:tcPr>
          <w:p>
            <w:pPr>
              <w:ind w:left="3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 benefit (expense) is as follows: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1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(1,765)</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(1,739)</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5"/>
            <w:vMerge w:val="restart"/>
          </w:tcPr>
          <w:p>
            <w:pPr>
              <w:ind w:left="320"/>
              <w:spacing w:after="0"/>
              <w:rPr>
                <w:sz w:val="20"/>
                <w:szCs w:val="20"/>
                <w:color w:val="auto"/>
              </w:rPr>
            </w:pPr>
            <w:r>
              <w:rPr>
                <w:rFonts w:ascii="Times New Roman" w:cs="Times New Roman" w:eastAsia="Times New Roman" w:hAnsi="Times New Roman"/>
                <w:sz w:val="18"/>
                <w:szCs w:val="18"/>
                <w:color w:val="auto"/>
                <w:w w:val="99"/>
              </w:rPr>
              <w:t>Income tax benefit (expense) attributable to continuing operations is as follows:</w:t>
            </w: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6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Domestic</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Domestic</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6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benefit (expense) calculated at the federal statutory rate to income tax benefit (expense) on continuing operations as shown in the consolidated statements of operations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96"/>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at U.S. statutory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from:</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dispositions</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not subject to taxation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tax effect of significant differences representing deferred tax assets (liabilities) (the difference between financial statement carrying value and the tax basis of assets and liabilities) is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operating loss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credits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loss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4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3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in U.S. subsidiaries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We recorded deferred tax assets and deferred tax liabilities of $7 million and $569 million, respectively, as of December 31, 2020 and $32 million and $639 million, respectively, as of December 31, 2019. Deferred tax assets are included in other assets in our consolidated balance sheets.</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2020 we had a valuation allowance of approximately $1,026 million primarily related to tax loss and credit carryforwards and other deferred tax assets. The current and future provisions for income taxes may be significantly impacted by changes to valuation allowances. These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allowances will be maintained until it is more likely than not that the deferred tax assets will be realized. For the year ended December 31, 2020, the valuation allowance on deferred tax assets increased by $407 million. The increase was primarily attributable to capital loss and state net operating loss carryforwards and the acquisition of Vivus, which has a full valuation allowance on its deferred tax assets.</w:t>
      </w:r>
    </w:p>
    <w:p>
      <w:pPr>
        <w:spacing w:after="0" w:line="18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On December 11, 2020, we acquired all of the outstanding stock of Vivus upon its emergence from bankruptcy. As of December 31, 2020, Vivus had an estimated federal net operating loss carryforward of approximately $656 million and federal and state tax credits of approximately $17 million.</w:t>
      </w:r>
    </w:p>
    <w:p>
      <w:pPr>
        <w:spacing w:after="0" w:line="176"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At December 31, 2020, American Entertainment Properties Corp. (“AEPC”), a wholly-owned corporate subsidiary of Icahn Enterprises and Icahn Enterprises Holdings, which includes all or parts of our Automotive, Food Packaging, Metals, Home Fashion and Real Estate segments had U.S federal net operating loss carryforwards of approximately $2.1 billion with expiration dates from 2024 through 2037. Additionally, AEPC and its corporate subsidiaries had foreign net operating loss carryforwards of $29 million with an unlimited carryforward period and $11 million with a 5-year carryforward period.</w:t>
      </w:r>
    </w:p>
    <w:p>
      <w:pPr>
        <w:spacing w:after="0" w:line="18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At December 31, 2020, CVR Energy had state income tax credits of $30 million, which are available to reduce future state income taxes. These credits can be carried forward indefinitely.</w:t>
      </w:r>
    </w:p>
    <w:p>
      <w:pPr>
        <w:spacing w:after="0" w:line="16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On October 9, 2020, Viskase completed an equity private placement whereby AEPC ownership increased from approximately 79% to 89%. As a result of greater than 80% ownership, Viskase became a member of the consolidated federal tax group of AEPC and party to a tax allocation agreement with AEPC. The tax allocation agreement provides, among other things, that AEPC will pay all consolidated federal income taxes on behalf of the consolidated tax group and Viskase is required to make payments to AEPC in an amount equal to the tax liability, if any, that it would have paid if it were to file a separate company return.</w:t>
      </w:r>
    </w:p>
    <w:p>
      <w:pPr>
        <w:spacing w:after="0" w:line="18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On August 1, 2018, CVR Energy completed an exchange offer whereby CVR Refining’s public unitholders tendered a total of 21,625,106 common units of CVR Refining in exchange for 13,699,549 shares of CVR Energy common stock. As a result of the exchange offer, AEPC owned less than 80% of the common stock of CVR Energy and CVR Energy deconsolidated from the AEPC consolidated federal income tax group. Beginning with the tax period after the exchange, CVR Energy became the parent of a new consolidated group for U.S. federal income tax purposes and will file and pay its federal income tax obligations directly to the Internal Revenue Service (“IRS”).</w:t>
      </w:r>
    </w:p>
    <w:p>
      <w:pPr>
        <w:spacing w:after="0" w:line="18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we have not provided taxes on approximately $66 million of undistributed earnings in foreign subsidiaries which are deemed to be indefinitely reinvested. If at some future date these earnings cease to be permanently reinvested, we may be subject to foreign income and withholding taxes upon repatriation of such amounts. An estimate of the tax liability that would be incurred upon repatriation of foreign earnings is not practicable to determine.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Enactment of U.S. Tax Legislation</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January 2018, the FASB released guidance on the accounting for tax on the global intangible low-taxed income (“GILTI”) provisions of The Tax Legislation. The GILTI provisions impose a tax on foreign income in excess of a deemed return on tangible assets of foreign corporations. We report additional tax from the GILTI inclusion as incurred and currently estimate additional tax due in 2020 of less than $1 million.</w:t>
      </w:r>
    </w:p>
    <w:p>
      <w:pPr>
        <w:spacing w:after="0" w:line="180"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Under the Tax Legislation, an entity must pay a Base Erosion Anti-Abuse Tax (“BEAT”) if the BEAT is greater than its regular tax liability. We currently estimate no additional tax due in 2020 pursuant to the BEAT provisions.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229"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summary of the changes in the gross amounts of unrecognized tax benefits for the years ended December 31, 2020, 2019 and 2018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760" w:type="dxa"/>
            <w:vAlign w:val="bottom"/>
            <w:tcBorders>
              <w:bottom w:val="single" w:sz="8" w:color="auto"/>
            </w:tcBorders>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96"/>
        </w:trPr>
        <w:tc>
          <w:tcPr>
            <w:tcW w:w="5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74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 based on tax positions related to the current year</w:t>
            </w: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for tax positions of prior years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for tax positions of prior years</w:t>
            </w:r>
          </w:p>
        </w:tc>
        <w:tc>
          <w:tcPr>
            <w:tcW w:w="74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for statute of limitation expiration</w:t>
            </w: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7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81" w:lineRule="auto"/>
        <w:rPr>
          <w:sz w:val="20"/>
          <w:szCs w:val="20"/>
          <w:color w:val="auto"/>
        </w:rPr>
      </w:pPr>
      <w:r>
        <w:rPr>
          <w:rFonts w:ascii="Times New Roman" w:cs="Times New Roman" w:eastAsia="Times New Roman" w:hAnsi="Times New Roman"/>
          <w:sz w:val="17"/>
          <w:szCs w:val="17"/>
          <w:color w:val="auto"/>
        </w:rPr>
        <w:t>At December 31, 2020, 2019 and 2018, we had unrecognized tax benefits of $35 million, $33 million and $34 million, respectively. Of these totals, $31 million, $27 million and $30 million represent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spacing w:after="0" w:line="164"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During the next 12 months, we believe that it is reasonably possible that unrecognized tax benefits may decrease by approximately $2 million due to statute expirations.</w:t>
      </w:r>
    </w:p>
    <w:p>
      <w:pPr>
        <w:spacing w:after="0" w:line="16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We recognize interest and penalties accrued related to unrecognized tax benefits as a component of income tax expense. We recorded $3 million, $1 million and $1 million as of December 31, 2020, 2019 and 2018, respectively, in liabilities for tax related net interest and penalties in our consolidated balance sheets. Income tax expense (benefit) related to interest and penalties were $2 million, $0 million and $(1) million for the years December 31, 2020, 2019 and 2018, respectively. We or certain of our subsidiaries file income tax returns in the U.S. federal jurisdiction, various state jurisdictions and various non-U.S. jurisdictions. We and our subsidiaries are no longer subject to U.S. federal tax examinations for years before 2016 or state and local examinations for years before 2014, with limited exceptions. The AEPC group’s income tax returns are currently under examination by the IRS for the years ended December 31, 2018 and 2017. As of December 31, 2020, AEPC has not been notified of any issues pursuant to the examination.</w:t>
      </w:r>
    </w:p>
    <w:p>
      <w:pPr>
        <w:spacing w:after="0" w:line="184" w:lineRule="exact"/>
        <w:rPr>
          <w:sz w:val="20"/>
          <w:szCs w:val="20"/>
          <w:color w:val="auto"/>
        </w:rPr>
      </w:pPr>
    </w:p>
    <w:p>
      <w:pPr>
        <w:ind w:left="360" w:hanging="310"/>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Accumulated Other Comprehensive Loss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Net</w:t>
            </w:r>
          </w:p>
        </w:tc>
        <w:tc>
          <w:tcPr>
            <w:tcW w:w="1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Benefits and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of Tax</w:t>
            </w:r>
          </w:p>
        </w:tc>
        <w:tc>
          <w:tcPr>
            <w:tcW w:w="15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Other, Net of Tax</w:t>
            </w:r>
          </w:p>
        </w:tc>
        <w:tc>
          <w:tcPr>
            <w:tcW w:w="24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8"/>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13"/>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r>
      <w:tr>
        <w:trPr>
          <w:trHeight w:val="198"/>
        </w:trPr>
        <w:tc>
          <w:tcPr>
            <w:tcW w:w="4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Other comprehensive income (loss) before reclassifications,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43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Reclassifications from accumulated other comprehensive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to earnings, net of tax</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r>
      <w:tr>
        <w:trPr>
          <w:trHeight w:val="21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0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320" w:type="dxa"/>
            <w:vAlign w:val="bottom"/>
          </w:tcPr>
          <w:p>
            <w:pPr>
              <w:spacing w:after="0"/>
              <w:rPr>
                <w:sz w:val="24"/>
                <w:szCs w:val="24"/>
                <w:color w:val="auto"/>
              </w:rPr>
            </w:pP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6"/>
              </w:rPr>
              <w:t>116</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21" w:name="page122"/>
    <w:bookmarkEnd w:id="12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60" w:type="dxa"/>
            <w:vAlign w:val="bottom"/>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95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17. Other Income, Net</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 consists of the following:</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45"/>
        </w:trPr>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28"/>
        </w:trPr>
        <w:tc>
          <w:tcPr>
            <w:tcW w:w="5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5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pension and other post-retirement benefits expense</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5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29" w:lineRule="exact"/>
        <w:rPr>
          <w:sz w:val="20"/>
          <w:szCs w:val="20"/>
          <w:color w:val="auto"/>
        </w:rPr>
      </w:pPr>
    </w:p>
    <w:p>
      <w:pPr>
        <w:ind w:left="60" w:right="79" w:firstLine="324"/>
        <w:spacing w:after="0" w:line="274" w:lineRule="auto"/>
        <w:rPr>
          <w:sz w:val="20"/>
          <w:szCs w:val="20"/>
          <w:color w:val="auto"/>
        </w:rPr>
      </w:pPr>
      <w:r>
        <w:rPr>
          <w:rFonts w:ascii="Times New Roman" w:cs="Times New Roman" w:eastAsia="Times New Roman" w:hAnsi="Times New Roman"/>
          <w:sz w:val="17"/>
          <w:szCs w:val="17"/>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on an undiscounted basis were $37 million and $34 million as of December 31, 2020 and 2019, respectively, primarily within our Energy and Metals segments and which are included in accrued expenses and other liabilities in our consolidated balance sheets. We do not believe that environmental matters will have a material adverse impact on our consolidated results of operations and financial condition.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On August 21, 2018, CVR Refining received a letter from the United States Department of Justice (the “DOJ”) on behalf of the Environmental Protection Agency (the “EPA”) and the Kansas Department of Health and Environment (“KDHE”) alleging violations of the Clean Air Act and a 2012 Consent Decree (“CD”) between CVR Refining, the United States (on behalf of the EPA) and KDHE at CVR Energy’s Coffeyville refinery. In June 2020, a tolling agreement between the parties relating to such allegations expired, and the United States and KDHE sent demand letters relating to the allegations (the “Stipulated Claims”) and seeking stipulated penalties. In February 2021, the DOJ and KDHE sent CVR Refining a statement of position under the CD regarding its demand for Stipulated Claims. As CVR Refining disputes most claims asserted by the government, in accordance with the CD, CVR Refining deposited funds into a commercial escrow account pending resolution of disputed claims. The escrowed funds are legally restricted for use and are included within other assets on the consolidated balance sheets. In December 2020, the DOJ and KDHE filed a supplement complaint in the United States District Court for the District of Kansas asserting nine counts for alleged violations of the Clean Air Act, the Kansas State Implementation Plan and Kansas law (“the Statutory Claims”) and seeking civil penalties, injunctive and related relief. Negotiations relating to the Stipulated Claims and the Statutory Claims are ongoing and CVR Energy cannot at this time determine the outcome of this matter, including whether such outcome, or any subsequent enforcement or litigation relating thereto would have a material impact on our Energy segment’s financial position, results of operations, or cash flows.</w:t>
      </w:r>
    </w:p>
    <w:p>
      <w:pPr>
        <w:spacing w:after="0" w:line="195"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and 2019, our Energy segment had environmental accruals of $11 million and $6 million, respectively, representing estimated costs for future remediation efforts at certain sites.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Metals</w:t>
      </w:r>
    </w:p>
    <w:p>
      <w:pPr>
        <w:spacing w:after="0" w:line="22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PSC Metals has been designated as a potentially responsible party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operated the sites in question. In addition, one of PSC Metals’ Knoxville, Tennessee locations was the subject of investigations by the State of Tennessee under the federal Superfund law. These investigations were performed by the State of Tennessee pursuant to a contract with the EPA. PSC Metals has entered into Tennessee’s Voluntary Clean-Up Oversight and Assistance Program (“VOAP”) and expects to enter into a settlement with the Tennessee Department of Environment and Conservation (“TDEC”) in the future. Currently, PSC Metals believes that it has adequately reserved for the cost of any potential future remediation associated with its Knoxville location, but cannot fully assess the impact of all costs or liabilities associated with TDEC’s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other sites to be immaterial as of both December 31, 2020 and 2019. If it is determined that PSC Metals has liability to remediate those sites and that more expensive remediation approaches are required in the future, PSC Metals could incur additional obligations, which could be material to its operations.</w:t>
      </w:r>
    </w:p>
    <w:p>
      <w:pPr>
        <w:spacing w:after="0" w:line="18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its management’s judgment and prior experience. PSC Metals has estimated the liability to remediate these sites to be $25 million and $27 million at December 31, 2020 and 2019, respectively. PSC Metals believes, based on past experience, that the vast majority of these environmental liabilities and costs will be assessed and paid over an extended period of time. PSC Metals believes that it will be able to fund such costs in the ordinary course of business. 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Renewable Fuel Standards</w:t>
      </w:r>
    </w:p>
    <w:p>
      <w:pPr>
        <w:spacing w:after="0" w:line="229"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CVR Refining is subject to the Renewable Fuel Standard (“RFS”) of the EPA which requires refiners to either blend renewable fuels in with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from the EPA, in order to comply with the RFS.</w:t>
      </w:r>
    </w:p>
    <w:p>
      <w:pPr>
        <w:spacing w:after="0" w:line="164"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CVR Refining’s expenses for its compliance with RFS were $190 million, $43 million and $60 million for years ended December 31, 2020, 2019 and 2018, respectively, which are included in cost of goods sold in our consolidated statements of operations. CVR Refining’s costs to comply with RFS include the purchased cost of RINs, the impact of recognizing CVR Refining’s uncommitted biofuel blending obligation at fair value based on market prices at each reporting date and the valuation change of RINs purchases in excess of CVR Refining’s RFS obligation as of the reporting date. During the year ended December 31, 2020, the cost to comply with RFS was unfavorably impacted by an increase in CVR Refining’s RFS obligation and increased market pricing. As of December 31, 2020 and 2019, CVR Refining’s biofuel blending obligation was $214 million and $7 million, respectively, which is included in accrued expenses and other liabilities in our consolidated balance sheets.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2019, CVR Energy, CVR Refining and its general partner, CVR Refining Holdings, Icahn Enterprises and certain directors and affiliates were named in at least one of nine lawsuits filed by purported former unitholders of CVR Refining, on behalf of themselves and an alleged class of similarly situated unitholders relating to CVR Energy’s exercise of the call option (“Call Option”) under the CVR Refining Amended and Restated Agreement of Limited Partnership assigned to it by CVR Refining’s general partner (the “Delaware Lawsuits”). The Delaware Lawsuits primarily allege breach of contract, tortious interference and breach of the implied covenant of good faith and fair dealing and seek monetary damages and attorneys’ fees, among other remedies. In January 2020, the court dismissed CVR Holdings and certain former directors of CVR Refining’s general partner from the Delaware Lawsuits, though permitted some or all of the claims to proceed against each remaining defendant. On April 6, 2020, a lawsuit was filed in the United States District Court for the Southern District of New York against the CVR Energy, CVR Refining and its general partner, CVR Refining Holdings, Icahn Enterprises, and CVR Energy’s Chief Executive Officer by purported former unitholders of CVR Refining on behalf of themselves and an alleged class of similarly situated unitholders also relating to CVR Energy’s exercise of the Call Option (the “New York Lawsuit” and together with the Delaware Lawsuits, the “Call Option Lawsuits”). The New York Lawsuit primarily alleges violations of Sections 10(b) and 20(a) of the Exchange Act, and Rule 10b-5 thereunder and seeks monetary damages and attorney’s fees, among other remedies. CVR Energy believes the Call Option Lawsuits are without merit and intends to vigorously defend against them. The Call Option Lawsuits remain in the early stages of litigation, and discovery is currently on-going. Accordingly, CVR Energy cannot determine at this time the outcome of the Call Option Lawsuits, including whether the outcome of this matter would have a material impact on our Energy segment’s financial position, results of operations, or cash flows.</w:t>
      </w:r>
    </w:p>
    <w:p>
      <w:pPr>
        <w:spacing w:after="0" w:line="191"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On January 27, 2021, a lawsuit was filed against the defendants in the Call Option Lawsuits in the 434th Judicial District Court of Fort Bend County, Texas by their primary and excess insurers seeking declaratory judgements determining that they owe no indemnity coverage and, for certain defendants, no defense obligations relating to the Call Option Lawsuits (the “Call Option Insurer Case”). The defendants believe the Call Option Insurer Case is without merit, intends to vigorously defend the claims against them and filed a related lawsuit in the Delaware Court of Chancery. These lawsuits are in the early stages of litigation. Accordingly, CVR Energy cannot determine at this time their outcome, including whether such outcome would have a material impact on our Energy Segment’s financial position, results of operations, or cash flows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Pension Obligations</w:t>
      </w:r>
    </w:p>
    <w:p>
      <w:pPr>
        <w:spacing w:after="0" w:line="22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92% of Icahn Enterprises’ outstanding depositary units as of December 31, 2020.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All the minimum funding requirements of the Internal Revenue Code, as amended, and the Employee Retirement Income Security Act of 1974, as amended, for the Viskase and ACF plans have been met as of December 31, 2020. If the plans were voluntarily terminated, they would be underfunded by an aggregate of approximately $122 million as of December 31, 2020.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0"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former President of the United States.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believe that we maintain a strong compliance program and, while no assurances can be made, we do not believe these inquiries will have a material impact on our business, financial condition, results of operations or cash flows.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229"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Unconditional purchase obligations are primarily within our Energy and Pharma segments. Our Energy segment’s unconditional purchase obligations relate to commitments for petroleum products storage and transportation, electricity supply agreements, product supply agreements, commitments related to CVR Energy’s biofuel blending obligation and various agreements for gas and gas transportation. Our Pharma segment’s unconditional purchase obligations relate to agreements to purchase goods or services from suppliers for the manufacture of its products. The minimum required payments for our Energy and Pharma segments’ unconditional purchase obligations are as follows: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Pharma</w:t>
            </w:r>
          </w:p>
        </w:tc>
      </w:tr>
      <w:tr>
        <w:trPr>
          <w:trHeight w:val="210"/>
        </w:trPr>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6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6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39" w:firstLine="324"/>
        <w:spacing w:after="0" w:line="261" w:lineRule="auto"/>
        <w:rPr>
          <w:sz w:val="20"/>
          <w:szCs w:val="20"/>
          <w:color w:val="auto"/>
        </w:rPr>
      </w:pPr>
      <w:r>
        <w:rPr>
          <w:rFonts w:ascii="Times New Roman" w:cs="Times New Roman" w:eastAsia="Times New Roman" w:hAnsi="Times New Roman"/>
          <w:sz w:val="18"/>
          <w:szCs w:val="18"/>
          <w:color w:val="auto"/>
        </w:rPr>
        <w:t>CVR Energy is a party to various supply agreements which commit it to purchase minimum volumes of crude oil, hydrogen, oxygen, nitrogen, petroleum coke and natural gas to run its facilities’ operations. For the years ended December 31, 2020, 2019 and 2018, amounts purchased under these supply agreements totaled approximately $153 million, $167 million and $214 million,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Pension and Other Post-Retirement Benefit Plans</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benefit plan costs and obligations are primarily within our Food Packaging segment. Pension plans and other post-retirement benefit plans for other segments are not material and are not included in our disclosures below.</w:t>
      </w:r>
    </w:p>
    <w:p>
      <w:pPr>
        <w:spacing w:after="0" w:line="1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Viskase sponsors several defined benefit pension plans, including defined contribution plans, varying by country and subsidiary. Additionally, Viskase sponsors health care and life insurance benefits for certain employees and retirees around the world. The pension benefits are funded based on the funding requirements of federal and international laws and regulations, as applicable, in advance of benefit payments and the other benefits are funded as benefits are provided to participating employees.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Components of net periodic benefit cost (credit) are as follows: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6160" w:type="dxa"/>
            <w:vAlign w:val="bottom"/>
          </w:tcPr>
          <w:p>
            <w:pPr>
              <w:spacing w:after="0"/>
              <w:rPr>
                <w:sz w:val="24"/>
                <w:szCs w:val="24"/>
                <w:color w:val="auto"/>
              </w:rPr>
            </w:pPr>
          </w:p>
        </w:tc>
        <w:tc>
          <w:tcPr>
            <w:tcW w:w="276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U.S. and Non-U.S. Pension Benefits</w:t>
            </w:r>
          </w:p>
        </w:tc>
      </w:tr>
      <w:tr>
        <w:trPr>
          <w:trHeight w:val="209"/>
        </w:trPr>
        <w:tc>
          <w:tcPr>
            <w:tcW w:w="6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0" w:type="dxa"/>
            <w:vAlign w:val="bottom"/>
          </w:tcPr>
          <w:p>
            <w:pPr>
              <w:spacing w:after="0"/>
              <w:rPr>
                <w:sz w:val="18"/>
                <w:szCs w:val="18"/>
                <w:color w:val="auto"/>
              </w:rPr>
            </w:pPr>
          </w:p>
        </w:tc>
      </w:tr>
      <w:tr>
        <w:trPr>
          <w:trHeight w:val="210"/>
        </w:trPr>
        <w:tc>
          <w:tcPr>
            <w:tcW w:w="6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8"/>
                <w:szCs w:val="18"/>
                <w:color w:val="auto"/>
              </w:rPr>
            </w:pPr>
          </w:p>
        </w:tc>
      </w:tr>
      <w:tr>
        <w:trPr>
          <w:trHeight w:val="196"/>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loss recognized</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r>
      <w:tr>
        <w:trPr>
          <w:trHeight w:val="209"/>
        </w:trPr>
        <w:tc>
          <w:tcPr>
            <w:tcW w:w="6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disclosures for Viskase’s benefit obligations, plan assets, funded status, and recognition in the consolidated balance sheets. As pension costs for Viskase are not material to our consolidated financial position and results of operations, we do not provide information regarding their inputs and valuation assumptions.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00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w w:val="99"/>
              </w:rPr>
              <w:t>U.S and Non-U.S. Pension Benefits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Actuarial loss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3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3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Funded status of the plan and amounts recognized in the consolidated balance</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1"/>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sheets</w:t>
            </w:r>
          </w:p>
        </w:tc>
        <w:tc>
          <w:tcPr>
            <w:tcW w:w="116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9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 Measured at Fair Value on a Recurring Basis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Viskase’s defined benefit plan assets measured at fair value on a recurring basis: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8"/>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10"/>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and Non-U.S. Plans:</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traded funds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86</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assets measured at fair value</w:t>
            </w:r>
          </w:p>
        </w:tc>
        <w:tc>
          <w:tcPr>
            <w:tcW w:w="3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 Supplemental Cash Flow Information</w:t>
            </w: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Supplemental cash flow information consists of the following: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4"/>
          </w:tcPr>
          <w:p>
            <w:pPr>
              <w:jc w:val="right"/>
              <w:ind w:right="5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Cash receipts (payments) for income taxes, net of payments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Non-cash consideration for obtaining a controlling interest in subsidiary</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Non-cash Investment segment contributions from non-controlling interests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Equity investment consideration received from sale of business</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above, Icahn Enterprises Holdings reduced its receivable from Icahn Enterprises in a non-cash distribution to limited partner in the amount of $32 million during 2019. This transaction is reported as a non-cash related party transaction with respect to Icahn Enterprises Holdings and is eliminated in consolidation with respect to Icahn Enterprises.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Distribution</w:t>
      </w:r>
    </w:p>
    <w:p>
      <w:pPr>
        <w:spacing w:after="0" w:line="17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On February 24, 2021, the Board of Directors of the general partner of Icahn Enterprises declared a quarterly distribution in the amount of $2.00 per depositary unit, which will be paid on or about April 28, 2021 to depositary unitholders of record at the close of business on March 26, 2021. Depositary unitholders will have until April 16, 2021 to make an election to receive either cash or additional depositary units; if a holder does not make an election, it will automatically be deemed to have elected to receive the distribution in additional depositary units. Depositary unitholders who elect to receive (or are deemed to have elected to receive) additional depositary units will receive units valued at the volume weighted average trading price of the units on Nasdaq during the 5 consecutive trading days ending April 23, 2021. No fractional depositary units will be issued pursuant to the distribution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 For distributions declared by the Board in prior quarters, the default election (for holders that did not make an election) was a cash distribution. The default election (for holders that do not make an election) for the distribution to be paid on or about April 28, 2021 will be a distribution paid in additional depository units, a change from prior quarters.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2020,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spacing w:after="0" w:line="176"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are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spacing w:after="0" w:line="18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Management is required to base its assessment on the effectiveness of our internal control over financial reporting on a suitable, recognized control framework. Management has utilized the criteria established in the 2013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issued by the Committee of Sponsoring Organizations of the Treadway Commission (“COSO”)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effectiveness of internal control over financial reporting.</w:t>
      </w:r>
    </w:p>
    <w:p>
      <w:pPr>
        <w:spacing w:after="0" w:line="180"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Our management has performed an assessment according to the guidelines established by COSO. Based on the assessment, management has concluded that our system of internal control over financial reporting, as of December 31, 2020, is effective.</w:t>
      </w:r>
    </w:p>
    <w:p>
      <w:pPr>
        <w:spacing w:after="0" w:line="176" w:lineRule="exact"/>
        <w:rPr>
          <w:sz w:val="20"/>
          <w:szCs w:val="20"/>
          <w:color w:val="auto"/>
        </w:rPr>
      </w:pPr>
    </w:p>
    <w:p>
      <w:pPr>
        <w:ind w:left="60" w:right="139" w:firstLine="324"/>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Grant Thornton LLP, our independent registered public accounting firm, has audited and issued their reports on Icahn Enterprises’ internal control over financial reporting, which appears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2020 that have materially affected, or are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 of Directors and Partners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Icahn Enterprises L.P.</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Icahn Enterprises L.P. (a Delaware limited partnership) and subsidiaries (the “Partnership”) as of December 31, 2020,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(“COSO”).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opinion, the Partnership maintained, in all material respects, effective internal control over financial reporting as of December 31, 2020, based on criteria established in the </w:t>
      </w:r>
      <w:r>
        <w:rPr>
          <w:rFonts w:ascii="Times New Roman" w:cs="Times New Roman" w:eastAsia="Times New Roman" w:hAnsi="Times New Roman"/>
          <w:sz w:val="18"/>
          <w:szCs w:val="18"/>
          <w:i w:val="1"/>
          <w:iCs w:val="1"/>
          <w:color w:val="auto"/>
        </w:rPr>
        <w:t>2013 Internal Control—Integrated Framework</w:t>
      </w:r>
      <w:r>
        <w:rPr>
          <w:rFonts w:ascii="Times New Roman" w:cs="Times New Roman" w:eastAsia="Times New Roman" w:hAnsi="Times New Roman"/>
          <w:sz w:val="18"/>
          <w:szCs w:val="18"/>
          <w:color w:val="auto"/>
        </w:rPr>
        <w:t xml:space="preserve"> issued by COSO.</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Partnership as of and for the year ended December 31, 2020, and our report dated February 26, 2021 expressed an unqualified opinion on those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Basis </w:t>
      </w:r>
      <w:r>
        <w:rPr>
          <w:rFonts w:ascii="Times New Roman" w:cs="Times New Roman" w:eastAsia="Times New Roman" w:hAnsi="Times New Roman"/>
          <w:sz w:val="17"/>
          <w:szCs w:val="17"/>
          <w:b w:val="1"/>
          <w:bCs w:val="1"/>
          <w:color w:val="auto"/>
        </w:rPr>
        <w:t>for opinion</w:t>
      </w:r>
    </w:p>
    <w:p>
      <w:pPr>
        <w:spacing w:after="0" w:line="4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Definition </w:t>
      </w:r>
      <w:r>
        <w:rPr>
          <w:rFonts w:ascii="Times New Roman" w:cs="Times New Roman" w:eastAsia="Times New Roman" w:hAnsi="Times New Roman"/>
          <w:sz w:val="17"/>
          <w:szCs w:val="17"/>
          <w:b w:val="1"/>
          <w:bCs w:val="1"/>
          <w:color w:val="auto"/>
        </w:rPr>
        <w:t>and limitations of internal control over financial reporting</w:t>
      </w:r>
    </w:p>
    <w:p>
      <w:pPr>
        <w:spacing w:after="0" w:line="43"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699" w:firstLine="324"/>
        <w:spacing w:after="0" w:line="289" w:lineRule="auto"/>
        <w:rPr>
          <w:sz w:val="20"/>
          <w:szCs w:val="20"/>
          <w:color w:val="auto"/>
        </w:rPr>
      </w:pPr>
      <w:r>
        <w:rPr>
          <w:rFonts w:ascii="Times New Roman" w:cs="Times New Roman" w:eastAsia="Times New Roman" w:hAnsi="Times New Roman"/>
          <w:sz w:val="17"/>
          <w:szCs w:val="17"/>
          <w:color w:val="auto"/>
        </w:rPr>
        <w:t>The names, offices held and ages of the directors and executive officers of Icahn Enterprises G.P., Inc. (“Icahn Enterprises GP”), the general partner of each of Icahn Enterprises L.P. (“Icahn Enterprises”) and Icahn Enterprises Holdings L.P. (“Icahn Enterprises Holdings”) during 2020 and through the date of this Report are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72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 C. Icahn</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24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Keith Cozza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SungHwan Cho</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Ted Papapostolou</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16"/>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Icahn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Nevin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Denise Barton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Alvin B. Krongard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A. Mongillo</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15"/>
        </w:trPr>
        <w:tc>
          <w:tcPr>
            <w:tcW w:w="224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720" w:type="dxa"/>
            <w:vAlign w:val="bottom"/>
          </w:tcPr>
          <w:p>
            <w:pPr>
              <w:spacing w:after="0"/>
              <w:rPr>
                <w:sz w:val="10"/>
                <w:szCs w:val="10"/>
                <w:color w:val="auto"/>
              </w:rPr>
            </w:pPr>
          </w:p>
        </w:tc>
      </w:tr>
    </w:tbl>
    <w:p>
      <w:pPr>
        <w:spacing w:after="0" w:line="6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spacing w:after="0" w:line="17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 C. Icahn </w:t>
      </w:r>
      <w:r>
        <w:rPr>
          <w:rFonts w:ascii="Times New Roman" w:cs="Times New Roman" w:eastAsia="Times New Roman" w:hAnsi="Times New Roman"/>
          <w:sz w:val="18"/>
          <w:szCs w:val="18"/>
          <w:color w:val="auto"/>
        </w:rPr>
        <w:t>has served as Chairman of the Board and a director of Starfire Holding Corporation, a privately-held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company, and Chairman of the Board and a director of various subsidiaries of Starfire Holding Corporation, since 1984. Since August 2007, through his position as Chief Executive Officer of Icahn Capital LP, a wholly-owned subsidiary of Icahn Enterprises and certain related entities, Mr. Icahn’s principal occupation has been managing private investment funds, including Icahn Partners LP and Icahn Partners Master Fund LP. Since 1990, Mr. Icahn has been Chairman of the Board of Icahn Enterprises GP, the general partner of Icahn Enterprises and Icahn Enterprises Holdings. Mr. Icahn was previously: Chairman of the Board of Tropicana Entertainment Inc., a company that is primarily engaged in the business of owning and operating casinos and resorts, from 2010 until 2018; Chairman of the Board of CVR Refining, LP from 2013 to 2018; Chairman of the Board of CVR Energy, Inc., from 2012 to 2018; President and a member of the Executive Committee of XO Holdings, from 2011 to 2017, and Chairman of the Board of its predecessors, from 2003 to 2011; a director of Federal-Mogul LLC, a supplier of automotive powertrain and safety components, from 2007 to 2015, and the non-executive Chairman of the Board of Federal-Mogul LLC, from 2008 to 2015; Chairman of the Board of American Railcar Industries, Inc., a railcar manufacturing company, from 1994 to 2014; a director of American Railcar Leasing LLC, a lessor and seller of specialized railroad tank and covered hopper railcars, from 2004 to 2013; a director of WestPoint Home LLC, from 2005 to 2011; and a director of Cadus Corporation, a company engaged in the acquisition of real estate for renovation or construction and resale, from 1993 to 2010.</w:t>
      </w:r>
    </w:p>
    <w:p>
      <w:pPr>
        <w:spacing w:after="0" w:line="199"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spacing w:after="0" w:line="176" w:lineRule="exact"/>
        <w:rPr>
          <w:sz w:val="20"/>
          <w:szCs w:val="20"/>
          <w:color w:val="auto"/>
        </w:rPr>
      </w:pPr>
    </w:p>
    <w:p>
      <w:pPr>
        <w:ind w:left="60" w:right="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Cozza </w:t>
      </w:r>
      <w:r>
        <w:rPr>
          <w:rFonts w:ascii="Times New Roman" w:cs="Times New Roman" w:eastAsia="Times New Roman" w:hAnsi="Times New Roman"/>
          <w:sz w:val="18"/>
          <w:szCs w:val="18"/>
          <w:color w:val="auto"/>
        </w:rPr>
        <w:t>has been the President and Chief Executive Officer of Icahn Enterprises since February 2014. In addition,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Cozza has served as Chief Operating Officer of Icahn Capital LP, the subsidiary of Icahn Enterprises</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through which Carl C. Icahn manages investment funds, since February 2013. From February 2013 to February 2014, Mr. Cozza served as Executive Vice President of Icahn Enterprises. Mr. Cozza is also the Chief Financial Officer of Icahn Associates Holding LLC, a position he has held since 2006. Mr. Cozza has been a: Chairman of the Board of Xerox Corporation, a provider of document management solutions, since May 2018; and director of Icahn Enterprises since September 2012. In addition, Mr. Cozza serves as a director of certain wholly-owned subsidiaries of Icahn Enterprises, including: Icahn Automotive Group LLC and PSC Metals, LLC. Mr. Cozza was previously: a director of Tenneco Inc., manufacturers of Ride Performance, Clean Air products and technology solutions for automotive and commercial vehicles, from October 2018 until March 2019; a director of Federal-Mogul LLC, a supplier of automotive powertrain and safety components, from January 2017 until October 2018; a director of Tropicana Entertainment Inc., a company that is primarily engaged in the business of owning and operating casinos and resorts, from February 2014 until October 2018; a director of Herbalife Ltd., a nutrition company, from April 2013 until April 2018; a member of the Executive Committee of American Railcar Leasing LLC, a lessor and seller of specialized railroad tank and covered hopper railcars, from June 2014 to June 2017; a director of FCX Oil &amp; Gas Inc., a wholly-owned subsidiary of Freeport-McMoRan Inc., from</w:t>
      </w:r>
    </w:p>
    <w:p>
      <w:pPr>
        <w:spacing w:after="0" w:line="1"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October 2015 to April 2016; a director of CVR Refining, LP from January 2013 to February 2014; and a director of MGM Holdings Inc., an entertainment company focused on the production and distribution of film and television content, from April 2012 to August 2012. Icahn Enterprises, Icahn Automotive Group LLC, PSC Metals, LLC and CVR Refining, LP each are indirectly controlled by Carl C. Icahn, and Federal-Mogul LLC, Tropicana Entertainment Inc. and American Railcar Leasing LLC were previously indirectly controlled by Mr. Icahn. Mr. Icahn has or previously had non-controlling interests in Xerox Corporation, Tenneco Inc., Herbalife Ltd., Freeport-McMoRan, and MGM Holdings through the ownership of securities.</w:t>
      </w:r>
    </w:p>
    <w:p>
      <w:pPr>
        <w:spacing w:after="0" w:line="188"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Mr. Cozza brings to his service as a director his significant experience in leadership roles as director of various companies as discussed above. In particular, his experience as Chief Financial Officer of Icahn Associates Holding LLC enables him to understand the complex business and financial issues that we may face.</w:t>
      </w:r>
    </w:p>
    <w:p>
      <w:pPr>
        <w:spacing w:after="0" w:line="17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SungHwan Cho </w:t>
      </w:r>
      <w:r>
        <w:rPr>
          <w:rFonts w:ascii="Times New Roman" w:cs="Times New Roman" w:eastAsia="Times New Roman" w:hAnsi="Times New Roman"/>
          <w:sz w:val="18"/>
          <w:szCs w:val="18"/>
          <w:color w:val="auto"/>
        </w:rPr>
        <w:t>has served as Chief Financial Officer of Icahn Enterprises since March 2012. Prior to that time,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Senior Vice President and previously Portfolio Company Associate at Icahn Enterprises since October 2006. Mr. Cho has been a: director of Hertz Global Holdings, Inc., a company engaged in the car rental business, since May 2017; director of CVR Energy, Inc. since May 2012 (and has been Chairman of the Board of CVR Energy, Inc. since June 2018); and director of Icahn Enterprises since September 2012. In addition, Mr. Cho serves as a director of WestPoint Home LLC. Mr. Cho was previously: a director of PSC Metals, LLC; a director of Icahn Automotive Group LLC; a director of Tenneco Inc., manufacturers of Ride Performance, Clean Air products and technology solutions for automotive and commercial vehicles, from April 2019 until June 2020; a director and Chairman of the Board of Ferrous Resources Limited, an iron ore mining company, from January 2017 until July 2019; a director (from January 2013) and Chairman of the Board (from June 2018) of CVR Refining, LP until January 2019; a member of the Executive Committee of American Railcar Leasing LLC, a lessor an seller of specialized railroad tank and covered hopper railcars, from September 2013 to June 2017; a director of CVR Partners, LP from May 2012 to April 2017; a director of Viskase Companies, Inc. from November 2006 to April 2017; a director of Take-Two Interactive Software Inc., a publisher of interactive entertainment products, from April 2010 to November 2013; a director (from June 2011) and Chairman of the Board (from July 2014) of American Railcar Industries, Inc., a railcar manufacturing company, until December 2018; and a director of Federal-Mogul LLC, a supplier of automotive powertrain and safety components, until October 2018. Icahn Enterprises, CVR</w:t>
      </w:r>
    </w:p>
    <w:p>
      <w:pPr>
        <w:spacing w:after="0" w:line="1" w:lineRule="exact"/>
        <w:rPr>
          <w:sz w:val="20"/>
          <w:szCs w:val="20"/>
          <w:color w:val="auto"/>
        </w:rPr>
      </w:pPr>
    </w:p>
    <w:p>
      <w:pPr>
        <w:ind w:left="60" w:right="319"/>
        <w:spacing w:after="0" w:line="253" w:lineRule="auto"/>
        <w:rPr>
          <w:sz w:val="20"/>
          <w:szCs w:val="20"/>
          <w:color w:val="auto"/>
        </w:rPr>
      </w:pPr>
      <w:r>
        <w:rPr>
          <w:rFonts w:ascii="Times New Roman" w:cs="Times New Roman" w:eastAsia="Times New Roman" w:hAnsi="Times New Roman"/>
          <w:sz w:val="18"/>
          <w:szCs w:val="18"/>
          <w:color w:val="auto"/>
        </w:rPr>
        <w:t>Energy, Inc., Icahn Automotive Group LLC, PSC Metals, LLC, WestPoint Home LLC, CVR Partners, LP, Viskase Companies, Inc. and CVR Refining, LP each are indirectly controlled by Carl C. Icahn, and Ferrous Resources Limited, American Railcar Leasing LLC, American Railcar Industries, Inc. and Federal-Mogul LLC, were previously indirectly controlled by Mr. Icahn. Mr. Icahn has or previously had a non-controlling interest in each of Hertz Global Holdings, Tenneco, Inc. and Take-Two Interactive Software through the ownership of securities.</w:t>
      </w:r>
    </w:p>
    <w:p>
      <w:pPr>
        <w:spacing w:after="0" w:line="187" w:lineRule="exact"/>
        <w:rPr>
          <w:sz w:val="20"/>
          <w:szCs w:val="20"/>
          <w:color w:val="auto"/>
        </w:rPr>
      </w:pPr>
    </w:p>
    <w:p>
      <w:pPr>
        <w:jc w:val="both"/>
        <w:ind w:left="60" w:right="819" w:firstLine="324"/>
        <w:spacing w:after="0" w:line="289" w:lineRule="auto"/>
        <w:rPr>
          <w:sz w:val="20"/>
          <w:szCs w:val="20"/>
          <w:color w:val="auto"/>
        </w:rPr>
      </w:pPr>
      <w:r>
        <w:rPr>
          <w:rFonts w:ascii="Times New Roman" w:cs="Times New Roman" w:eastAsia="Times New Roman" w:hAnsi="Times New Roman"/>
          <w:sz w:val="17"/>
          <w:szCs w:val="17"/>
          <w:color w:val="auto"/>
        </w:rPr>
        <w:t>Mr. Cho brings to his service as a director his significant experience in leadership roles as director of various companies as discussed above. In particular, his service as Chief Financial Officer of Icahn Enterprises and Icahn Enterprises Holdings enables him to understand the complex business and financial issues that we may face.</w:t>
      </w:r>
    </w:p>
    <w:p>
      <w:pPr>
        <w:spacing w:after="0" w:line="154" w:lineRule="exact"/>
        <w:rPr>
          <w:sz w:val="20"/>
          <w:szCs w:val="20"/>
          <w:color w:val="auto"/>
        </w:rPr>
      </w:pPr>
    </w:p>
    <w:p>
      <w:pPr>
        <w:ind w:left="60" w:right="1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Ted Papapostolou </w:t>
      </w:r>
      <w:r>
        <w:rPr>
          <w:rFonts w:ascii="Times New Roman" w:cs="Times New Roman" w:eastAsia="Times New Roman" w:hAnsi="Times New Roman"/>
          <w:sz w:val="18"/>
          <w:szCs w:val="18"/>
          <w:color w:val="auto"/>
        </w:rPr>
        <w:t>has served as Chief Accounting Officer of Icahn Enterprises since March 2020, and as its Secretary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April 2020. Mr. Papapostolou served in various progressive accounting positions at Icahn Enterprises from March 2007 to March 2020. Previously, Mr. Papapostolou worked at Grant Thornton LLP in their audit practice.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Mr. Papapostolou received his M.B.A from The Peter J. Tobin College of Business at Saint John’s University and his B.B.A from Frank G. Zarb School of Business at Hofstra University. Mr. Papapostolou has served as director of Viskase Companies, Inc., since April 2020. Viskase Companies, Inc., is indirectly controlled by Carl C. Icahn.</w:t>
      </w:r>
    </w:p>
    <w:p>
      <w:pPr>
        <w:spacing w:after="0" w:line="17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Brett Icahn </w:t>
      </w:r>
      <w:r>
        <w:rPr>
          <w:rFonts w:ascii="Times New Roman" w:cs="Times New Roman" w:eastAsia="Times New Roman" w:hAnsi="Times New Roman"/>
          <w:sz w:val="18"/>
          <w:szCs w:val="18"/>
          <w:color w:val="auto"/>
        </w:rPr>
        <w:t>has served as a director of Icahn Enterprises’ general partner, Icahn Enterprises GP and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Manager for Icahn Capital LP, a subsidiary of Icahn Enterprises since October 2020. Mr. Icahn was previously a consultant for Icahn Enterprises, where he exclusively provided investment advice to Carl C. Icahn with respect to the investment strategy for Icahn Enterprises’ Investment segment and with respect to capital allocation across Icahn Enterprises’ various operating subsidiaries from 2017 to 2020. From 2010 to 2017, Mr. Icahn was responsible for co-executing an investment strategy across all industries as a Portfolio Manager of the Sargon Portfolio for Icahn Capital LP, the entity through which Carl C. Icahn manages investment funds. From 2002 to 2010, Mr. Icahn served as an investment analyst for Icahn Capital LP and in a variety of investment advisory roles for Carl C. Icahn. Mr. Icahn has been a director of Newell Brands Inc., a global marketer of consumer and commercial products, since March 2018. Mr. Icahn was previously a director of: Nuance Communications, Inc., a provider of voice and language solutions, from October 2013 to March 2016; Voltari Corporation, a mobile data services provider, from January 2010 to August 2014; American Railcar Industries, Inc., a railcar manufacturing company, from January 2007 to June 2014; Cadus Corporation, a company engaged in the acquisition of real estate for renovation or construction and resale, from January 2010 to February 2014; Take-Two Interactive Software Inc., a publisher of interactive entertainment products, from April 2010 to November 2013; and The Hain Celestial Group, Inc., a natural and organic products company, from July 2010 to November 2013. Voltari Corporation, American Railcar Industries and Cadus Corporation were previously indirectly controlled by Carl C. Icahn. Carl C. Icahn also has or previously had non-controlling interests in Newell Brands Inc., Nuance Communications, Inc., Take-Two Interactive Software Inc. and the Hain Celestial Group through the ownership of securities. Brett Icahn is the son of Carl C. Icahn.</w:t>
      </w:r>
    </w:p>
    <w:p>
      <w:pPr>
        <w:spacing w:after="0" w:line="195"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Mr. Icahn brings to his service as a director his significant experience in leadership roles as director of various companies as discussed above. In addition, Mr. Icahn is uniquely qualified based on his prior experience working as an investment analyst for Icahn Capital LP.</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Michael Nevin </w:t>
      </w:r>
      <w:r>
        <w:rPr>
          <w:rFonts w:ascii="Times New Roman" w:cs="Times New Roman" w:eastAsia="Times New Roman" w:hAnsi="Times New Roman"/>
          <w:sz w:val="18"/>
          <w:szCs w:val="18"/>
          <w:color w:val="auto"/>
        </w:rPr>
        <w:t>has served as a director of Icahn Enterprises’ general partner, Icahn Enterprises GP, since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December 2018 and has served as Managing Director from June 2018 until August 2019. In addition, Mr. Nevin has served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Chief Financial Officer of Icahn Automotive Group LLC since February 2019. From July 2015 to June 2018, Mr. Nevin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served as a Financial Analyst at Icahn Enterprises. Prior to joining Icahn Enterprises, Mr. Nevin was employed by Jefferies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LLC as a Research Analyst from 2014 to 2015 covering the utilities sector. Mr. Nevin was also employed by JP Morgan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Investment Bank in various roles from 2009 to 2014, most recently as an Associate from 2012 to 2014. Mr. Nevin has been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director of: Viskase Companies, Inc. since April 2017. Mr. Nevin was previously: a director of Conduent Incorporated,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provider of business process outsourcing services, from December 2016 through August 2019; a director of Ferrous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Resources Ltd, an iron ore mining company, from December 2016 through its sale in August 2019; a director of American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Railcar Industries, Inc., a railcar manufacturing company, from February 2017 through its sale in December 2018; and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 of Federal-Mogul LLC, a supplier of automotive powertrain and safety components, from February 2016 through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its sale in October 2018. Viskase Companies, Inc., is indirectly controlled by Carl C. Icahn. Ferrous Resources Ltd.,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American Railcar Industries, Inc. and Federal-Mogul LLC were previously indirectly controlled by Mr. Icahn. Carl 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Icahn also has a non-controlling interests in Conduent Incorporated through the ownership of securities. Mr. Nevin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married to the daughter of Carl C. Icahn.</w:t>
      </w:r>
    </w:p>
    <w:p>
      <w:pPr>
        <w:spacing w:after="0" w:line="207"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Mr. Nevin brings to his service as a director his significant experience in leadership roles as director of various companies as discussed above. In particular, his service as Chief Financial Officer of Icahn Automotive enables him to understand the complex business and financial issues that we may face.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Denise Barton </w:t>
      </w:r>
      <w:r>
        <w:rPr>
          <w:rFonts w:ascii="Times New Roman" w:cs="Times New Roman" w:eastAsia="Times New Roman" w:hAnsi="Times New Roman"/>
          <w:sz w:val="18"/>
          <w:szCs w:val="18"/>
          <w:color w:val="auto"/>
        </w:rPr>
        <w:t>has served as a director of Icahn Enterprises’ general partner, Icahn Enterprises GP, since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2019 and is a member of our audit committee. Ms. Barton has served on the board of directors and audit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committee for Viskase Companies, Inc., a subsidiary of Icahn Enterprises, since May 2016 and served on the board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directors and audit committee for Trump Entertainment Resorts, Inc., a subsidiary of Icahn Enterprises,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2016 through June 2017. Ms. Barton served as a member of the Operating Executive Board of Gotham Private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Equity Partners, LP, a New York based merchant banking firm, from March 2010 through January 2014. Ms. Barton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served as the Chief Financial Officer for Land Holdings I, LLC, a company formed to develop, own and operate the Scarlet Pearl Casino Resort, from March 2012 through March 2017. In addition, Ms. Barton has over 15 years’ experience in public accounting and has served as Chief Financial Officer in both public and private companies. Ms. Barton is a certified public accountant and has been licensed by the Nevada State Gaming Control Commission, the New Jersey Casino Control Commission and the Mississippi Gaming Commission.</w:t>
      </w:r>
    </w:p>
    <w:p>
      <w:pPr>
        <w:spacing w:after="0" w:line="183"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Ms. Barton brings to her service as a director her significant experience in leadership roles as director of various companies as discussed above. In particular, her service as Chief Financial Officer of various companies enables her to understand the complex business and financial issues that we may face.</w:t>
      </w:r>
    </w:p>
    <w:p>
      <w:pPr>
        <w:spacing w:after="0" w:line="17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Alvin B. Krongard </w:t>
      </w:r>
      <w:r>
        <w:rPr>
          <w:rFonts w:ascii="Times New Roman" w:cs="Times New Roman" w:eastAsia="Times New Roman" w:hAnsi="Times New Roman"/>
          <w:sz w:val="18"/>
          <w:szCs w:val="18"/>
          <w:color w:val="auto"/>
        </w:rPr>
        <w:t>has served as a director of Icahn Enterprises’ general partner, Icahn Enterprises GP,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2019 and is a member of our audit committee. Mr. Krongard currently serves as a director and a member of the audit committee of the board of directors of Apollo Global Management, LLC; as a director and chairman of the corporate governance committee and the investment committee of the board of directors of Iridium Communications Inc. and previously served as the lead independent director and chairman of the audit committee of the board of directors of Under Armour, Inc from March 2019 until May 2020. He served as Executive Director of the Central Intelligence Agency from 2001 to 2004 and as counselor to the Director of the Central Intelligence Agency from 2000 to 2001. Mr. Krongard previously served in various capacities at Alex.Brown, Incorporated, including serving as Chief Executive Officer beginning in 1991 and assuming additional duties as Chairman of the board of directors in 1994. Upon the merger of Alex.Brown with Bankers Trust Corporation in 1997, Mr. Krongard became Vice Chairman of the Board of Bankers Trust and served in such capacity until joining the Central Intelligence Agency in 1998.</w:t>
      </w:r>
    </w:p>
    <w:p>
      <w:pPr>
        <w:spacing w:after="0" w:line="186"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Mr. Krongard brings to his service as a director his significant experience in leadership roles as director of various companies as discussed above. In particular, his service as Chief Executive Officer of Alex.Brown, Incorporated enables him to understand the complex business and financial issues that we may face.</w:t>
      </w:r>
    </w:p>
    <w:p>
      <w:pPr>
        <w:spacing w:after="0" w:line="172" w:lineRule="exact"/>
        <w:rPr>
          <w:sz w:val="20"/>
          <w:szCs w:val="20"/>
          <w:color w:val="auto"/>
        </w:rPr>
      </w:pPr>
    </w:p>
    <w:p>
      <w:pPr>
        <w:ind w:left="60" w:right="59" w:firstLine="32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Stephen A. Mongillo </w:t>
      </w:r>
      <w:r>
        <w:rPr>
          <w:rFonts w:ascii="Times New Roman" w:cs="Times New Roman" w:eastAsia="Times New Roman" w:hAnsi="Times New Roman"/>
          <w:sz w:val="17"/>
          <w:szCs w:val="17"/>
          <w:color w:val="auto"/>
        </w:rPr>
        <w:t>has served as a director of Icahn Enterprises’ general partner, Icahn Enterprises GP,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March 2020 and is a member of our audit committee. Mr. Mongillo has served as a director of CVR Energy, Inc., a majority owned subsidiary of Icahn Enterprises, since May 2012. Mr. Mongillo is currently, and has been since April 2012, the Chairman and Chief Executive Officer of AMPF, Inc., a distributor of picture frame mouldings and supplies of which he is also the principal shareholder. Previously, Mr. Mongillo served as: a director of HERC Holdings, Inc., a publicly traded equipment rental company, from 2016 until 2018; a director of American Railcar Industries, Inc from 2009 until 2011; a director of WestPoint Home LLC, from March 2009 until January 2011; and a managing director of Icahn Capital LP, from January 2008 until January 2011. Icahn Capital LP and WestPoint Home, LLC are each indirectly controlled by Carl C. Icahn. American Railcar Industries, Inc. was previously indirectly controlled by Carl C. Icahn. Carl C. Icahn also previously had non-controlling interests in HERC Holdings, Inc through the ownership of securities. Mr. Mongillo received a B.A. from Trinity College and an M.B.A from the Amos Tuck School of Business Administration at Dartmouth College.</w:t>
      </w:r>
    </w:p>
    <w:p>
      <w:pPr>
        <w:spacing w:after="0" w:line="177"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Mr. Mongillo brings to his service as a director his significant experience in leadership roles as director of various companies as discussed above. In particular, his service as Chief Executive Officer of AMPF, Inc. enables him to understand the complex business and financial issues that we may face.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Denise Barton, Alvin B. Krongard and Stephen A. Mongillo serve on our audit committee. Denise Barton is an “audit committee financial expert,” within the meaning of Item 407(d)(5) of Regulation S-K and is “independent” within the meaning of Rule 5605(a)(2) of the Nasdaq Listing Rules. We believe that each of the other audit committee members are also “independent.” A copy of the audit committee charter is available on our website at </w:t>
      </w:r>
      <w:r>
        <w:rPr>
          <w:rFonts w:ascii="Times New Roman" w:cs="Times New Roman" w:eastAsia="Times New Roman" w:hAnsi="Times New Roman"/>
          <w:sz w:val="18"/>
          <w:szCs w:val="18"/>
          <w:i w:val="1"/>
          <w:iCs w:val="1"/>
          <w:color w:val="auto"/>
        </w:rPr>
        <w:t xml:space="preserve">www.ielp.com/corporate-governance </w:t>
      </w:r>
      <w:r>
        <w:rPr>
          <w:rFonts w:ascii="Times New Roman" w:cs="Times New Roman" w:eastAsia="Times New Roman" w:hAnsi="Times New Roman"/>
          <w:sz w:val="18"/>
          <w:szCs w:val="18"/>
          <w:color w:val="auto"/>
        </w:rPr>
        <w:t>or may be obtained without charge by writing to Icahn Enterprises L.P., 16690 Collins Avenue, PH-1, Sunny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Isles Beach, FL 33160, Attention: Investor Relations.</w:t>
      </w:r>
    </w:p>
    <w:p>
      <w:pPr>
        <w:spacing w:after="0" w:line="187"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Our audit committee has regularly scheduled meetings each year, and numerous other meetings when circumstances require. Regularly scheduled meetings are held in connection (a) with the audit committee’s review, together with our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senior management, the senior management of our subsidiaries, and representatives of our independent auditor, of our quarterly reports on Form 10-Q and our annual report on Form 10-K and (b) telephone conferences with the senior management of each of our subsidiaries. Regularly scheduled meetings are also held with our Chief Financial Officer, Chief Accounting Officer and Chief Auditor, who report to the audit committee on company-wide developing financial and related matters. In connection with our annual report on Form 10-K, the audit committee meets in executive session, and also meets separately with our independent auditor and our senior management. Our audit committee holds two annual executive sessions. When necessary, our audit committee holds informal meetings, meets with its independent counsel, and, when appropriate, with independent financial advisers.</w:t>
      </w:r>
    </w:p>
    <w:p>
      <w:pPr>
        <w:spacing w:after="0" w:line="192" w:lineRule="exact"/>
        <w:rPr>
          <w:sz w:val="20"/>
          <w:szCs w:val="20"/>
          <w:color w:val="auto"/>
        </w:rPr>
      </w:pPr>
    </w:p>
    <w:p>
      <w:pPr>
        <w:ind w:left="60" w:right="259" w:firstLine="324"/>
        <w:spacing w:after="0" w:line="268" w:lineRule="auto"/>
        <w:rPr>
          <w:sz w:val="20"/>
          <w:szCs w:val="20"/>
          <w:color w:val="auto"/>
        </w:rPr>
      </w:pPr>
      <w:r>
        <w:rPr>
          <w:rFonts w:ascii="Times New Roman" w:cs="Times New Roman" w:eastAsia="Times New Roman" w:hAnsi="Times New Roman"/>
          <w:sz w:val="17"/>
          <w:szCs w:val="17"/>
          <w:color w:val="auto"/>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w:t>
      </w:r>
    </w:p>
    <w:p>
      <w:pPr>
        <w:spacing w:after="0" w:line="2" w:lineRule="exact"/>
        <w:rPr>
          <w:sz w:val="20"/>
          <w:szCs w:val="20"/>
          <w:color w:val="auto"/>
        </w:rPr>
      </w:pPr>
    </w:p>
    <w:p>
      <w:pPr>
        <w:ind w:left="60" w:right="259" w:hanging="10"/>
        <w:spacing w:after="0" w:line="253"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of significant earnings press releases prior to release with respect to the types of information disclosed and 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spacing w:after="0" w:line="187"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Interested parties may directly communicate with the presiding director of the audit committee or with the non-management directors of the audit committee as a group by directing all inquiries to our ethics hotline at (877) 888-0002.</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Report</w:t>
      </w:r>
    </w:p>
    <w:p>
      <w:pPr>
        <w:spacing w:after="0" w:line="229"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has confirmed that: (1) the audit committee reviewed and discussed our audited financial statements for the year ended December 31, 2020 with management; (2) the audit committee has discussed with our independent auditors the matters required to be discussed by SAS 61 (Codification of Statements on Auditing Standards, AU§380); (3) the audit committee has received the written disclosures and the letter from the independent accountants required by Independence Standards Board Standard No. 1; and (4) based on the review and discussions referred to in clauses (1), (2) and (3) above, the audit committee recommended to the board of directors that our audited financial statements for the year ended December 31, 2020 be included in this Report.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report is provided by the following independent directors, who constitute the audit committee:</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Denise Barton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Alvin B. Krongard</w:t>
      </w:r>
    </w:p>
    <w:p>
      <w:pPr>
        <w:spacing w:after="0" w:line="225" w:lineRule="exact"/>
        <w:rPr>
          <w:sz w:val="20"/>
          <w:szCs w:val="20"/>
          <w:color w:val="auto"/>
        </w:rPr>
      </w:pPr>
    </w:p>
    <w:p>
      <w:pPr>
        <w:jc w:val="center"/>
        <w:ind w:right="6099"/>
        <w:spacing w:after="0"/>
        <w:rPr>
          <w:sz w:val="20"/>
          <w:szCs w:val="20"/>
          <w:color w:val="auto"/>
        </w:rPr>
      </w:pPr>
      <w:r>
        <w:rPr>
          <w:rFonts w:ascii="Times New Roman" w:cs="Times New Roman" w:eastAsia="Times New Roman" w:hAnsi="Times New Roman"/>
          <w:sz w:val="18"/>
          <w:szCs w:val="18"/>
          <w:color w:val="auto"/>
        </w:rPr>
        <w:t>Stephen A. Mongillo</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 and Business Conduct</w:t>
      </w:r>
    </w:p>
    <w:p>
      <w:pPr>
        <w:spacing w:after="0" w:line="229" w:lineRule="exact"/>
        <w:rPr>
          <w:sz w:val="20"/>
          <w:szCs w:val="20"/>
          <w:color w:val="auto"/>
        </w:rPr>
      </w:pPr>
    </w:p>
    <w:p>
      <w:pPr>
        <w:ind w:left="60" w:right="5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Icahn Enterprises GP’s board of directors has adopted a Code of Business Conduct and Ethics applicable to all directors, officers and employees, including our principal executive officer, principal financial officer and principal accounting officer. A copy of the Code of Business Conduct and Ethics is available on our website at </w:t>
      </w:r>
      <w:r>
        <w:rPr>
          <w:rFonts w:ascii="Times New Roman" w:cs="Times New Roman" w:eastAsia="Times New Roman" w:hAnsi="Times New Roman"/>
          <w:sz w:val="18"/>
          <w:szCs w:val="18"/>
          <w:i w:val="1"/>
          <w:iCs w:val="1"/>
          <w:color w:val="auto"/>
        </w:rPr>
        <w:t xml:space="preserve">www.ielp.com/corporate-governance </w:t>
      </w:r>
      <w:r>
        <w:rPr>
          <w:rFonts w:ascii="Times New Roman" w:cs="Times New Roman" w:eastAsia="Times New Roman" w:hAnsi="Times New Roman"/>
          <w:sz w:val="18"/>
          <w:szCs w:val="18"/>
          <w:color w:val="auto"/>
        </w:rPr>
        <w:t>and may be obtained without charge by writing to Icahn Enterprises L.P., 16690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Collins Avenue, PH-1, Sunny Isles Beach, FL 33160, Attention: Investor Relations.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Nasdaq Corporate Governance Compliance</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Pursuant to Rule 5615(a)(4)(J) of the Nasdaq corporate governance requirements, in the event that an executive officer of Icahn Enterprises’ or Icahn Enterprises Holdings’, or a person performing an equivalent role, becomes aware of any noncompliance with Nasdaq’s corporate governance requirements, he or she is required to provide prompt notice to Nasdaq of such noncompliance. As of February 26, 2021, we believe that we are compliant with Nasdaq’s corporate governance requirements.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leadership structure includes the positions of Chairman of the Board (“Chairman”) and Chief Executive Officer.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Icahn serves as our Chairman and Mr. Cozza serves as our Chief Executive Officer.</w:t>
      </w:r>
    </w:p>
    <w:p>
      <w:pPr>
        <w:spacing w:after="0" w:line="20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 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Role in Risk Oversight</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its oversight responsibilities, the board of directors, including the audit committee, periodically reviews the significant risks that we face. These risks include strategic, financial, operational and compliance risks. The board of directors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spacing w:after="0" w:line="187"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met ten times during 2020, including four regularly scheduled meetings and six special meetings. All of the directors who served during all of 2020 attended at least 75% of the total meetings of the board of directors and each of its committees on which such director served.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a registered class of our equity securities, to file with the SEC initial statements of beneficial ownership, reports of changes in ownership and Annual Reports concerning their ownership, of common stock and other of our equity securities on Forms 3, 4, and 5, respectively. Executive officers, directors and greater than 10% stockholders are required by SEC regulations to furnish us with copies of all Section 16(a) reports they file. In July 2020, Mr. Papapostolou filed a Form 3 with the SEC, which was not timely filed following his designation as officer of Icahn Enterprises in March 2020 as required by Section 16(a) of the Exchange Act. Mr. Papapostolou did not have any transactions to report and has not been required to file any other reports with the SEC.</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Structure and Reporting Requirements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Icahn Enterprises is a master limited partnership (“MLP”) and is not subject to the proxy solicitation rules as required by section 14A of the Exchange Act or §240.14a-20. Furthermore, because Icahn Enterprises has not ever been a TARP recipient, as defined in section 111(a)(3) of the Emergency Economic Stabilization Act of 2008, it is not subject to §240.14a-20. As an MLP, pursuant to Icahn Enterprises’ partnership agreement, the general partner, Icahn Enterprises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GP, has exclusive management powers over the business and affairs of Icahn Enterprises. That is, Icahn Enterprises GP’s stockholders have the right to elect members of Icahn Enterprises GP’s board of directors, who, in turn, elect the officers of Icahn Enterprises. Accordingly, Icahn Enterprises does not hold annual meetings to elect its directors.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2020, whom we refer to as our named executive officers:</w:t>
      </w:r>
    </w:p>
    <w:p>
      <w:pPr>
        <w:spacing w:after="0" w:line="183"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C. Icahn, Chairman of the Board(1)</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Cozza, President and Chief Executive Officer(2)</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SungHwan Cho, Chief Financial Officer(3)</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Ted Papapostolou, Chief Accounting Officer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Reck, Chief Accounting Officer(4)</w:t>
      </w:r>
    </w:p>
    <w:p>
      <w:pPr>
        <w:spacing w:after="0" w:line="22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addition, Mr. Icahn serves as Chief Executive Officer of our subsidiary, Icahn Capital LP and of the Investment Funds.</w:t>
      </w:r>
    </w:p>
    <w:p>
      <w:pPr>
        <w:spacing w:after="0" w:line="203" w:lineRule="exact"/>
        <w:rPr>
          <w:rFonts w:ascii="Times New Roman" w:cs="Times New Roman" w:eastAsia="Times New Roman" w:hAnsi="Times New Roman"/>
          <w:sz w:val="11"/>
          <w:szCs w:val="11"/>
          <w:color w:val="auto"/>
        </w:rPr>
      </w:pPr>
    </w:p>
    <w:p>
      <w:pPr>
        <w:ind w:left="1040" w:right="219" w:hanging="315"/>
        <w:spacing w:after="0" w:line="261" w:lineRule="auto"/>
        <w:tabs>
          <w:tab w:leader="none" w:pos="1040" w:val="left"/>
        </w:tabs>
        <w:numPr>
          <w:ilvl w:val="1"/>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addition, Mr. Cozza also serves as the Chief Operating Officer of Icahn Capital LP, serves as director of Icahn Enterprises and Icahn Enterprises Holdings and holds officer and/or director positions at certain of our other subsidiaries.</w:t>
      </w:r>
    </w:p>
    <w:p>
      <w:pPr>
        <w:spacing w:after="0" w:line="162" w:lineRule="exact"/>
        <w:rPr>
          <w:rFonts w:ascii="Times New Roman" w:cs="Times New Roman" w:eastAsia="Times New Roman" w:hAnsi="Times New Roman"/>
          <w:sz w:val="11"/>
          <w:szCs w:val="11"/>
          <w:color w:val="auto"/>
        </w:rPr>
      </w:pPr>
    </w:p>
    <w:p>
      <w:pPr>
        <w:ind w:left="1040" w:hanging="315"/>
        <w:spacing w:after="0"/>
        <w:tabs>
          <w:tab w:leader="none" w:pos="1040" w:val="left"/>
        </w:tabs>
        <w:numPr>
          <w:ilvl w:val="1"/>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addition, Mr. Cho serves as a director of Icahn Enterprises and Icahn Enterprises Holdings.</w:t>
      </w:r>
    </w:p>
    <w:p>
      <w:pPr>
        <w:spacing w:after="0" w:line="203" w:lineRule="exact"/>
        <w:rPr>
          <w:rFonts w:ascii="Times New Roman" w:cs="Times New Roman" w:eastAsia="Times New Roman" w:hAnsi="Times New Roman"/>
          <w:sz w:val="11"/>
          <w:szCs w:val="11"/>
          <w:color w:val="auto"/>
        </w:rPr>
      </w:pPr>
    </w:p>
    <w:p>
      <w:pPr>
        <w:ind w:left="1040" w:hanging="315"/>
        <w:spacing w:after="0"/>
        <w:tabs>
          <w:tab w:leader="none" w:pos="1040" w:val="left"/>
        </w:tabs>
        <w:numPr>
          <w:ilvl w:val="1"/>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Mr. Reck served as Chief Accounting Officer until March 31, 2020, at which time his employment with us ended.</w:t>
      </w:r>
    </w:p>
    <w:p>
      <w:pPr>
        <w:spacing w:after="0" w:line="208"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The discussion below is intended to help you understand the detailed information provided in the table and put that information into context within our overall compensation program.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 of Compensation Program</w:t>
      </w:r>
    </w:p>
    <w:p>
      <w:pPr>
        <w:spacing w:after="0" w:line="229" w:lineRule="exact"/>
        <w:rPr>
          <w:sz w:val="20"/>
          <w:szCs w:val="20"/>
          <w:color w:val="auto"/>
        </w:rPr>
      </w:pPr>
    </w:p>
    <w:p>
      <w:pPr>
        <w:ind w:left="60" w:right="79" w:firstLine="324"/>
        <w:spacing w:after="0" w:line="276" w:lineRule="auto"/>
        <w:rPr>
          <w:sz w:val="20"/>
          <w:szCs w:val="20"/>
          <w:color w:val="auto"/>
        </w:rPr>
      </w:pPr>
      <w:r>
        <w:rPr>
          <w:rFonts w:ascii="Times New Roman" w:cs="Times New Roman" w:eastAsia="Times New Roman" w:hAnsi="Times New Roman"/>
          <w:sz w:val="17"/>
          <w:szCs w:val="17"/>
          <w:color w:val="auto"/>
        </w:rPr>
        <w:t>Throughout this narrative discussion and in the accompanying table, we refer to our named executive officers. The key compensation package provided to our named executive officers consists of (i) base salary, (ii) incentive compensation and</w:t>
      </w:r>
    </w:p>
    <w:p>
      <w:pPr>
        <w:spacing w:after="0" w:line="1" w:lineRule="exact"/>
        <w:rPr>
          <w:sz w:val="20"/>
          <w:szCs w:val="20"/>
          <w:color w:val="auto"/>
        </w:rPr>
      </w:pPr>
    </w:p>
    <w:p>
      <w:pPr>
        <w:ind w:left="60" w:right="59" w:hanging="10"/>
        <w:spacing w:after="0" w:line="252" w:lineRule="auto"/>
        <w:tabs>
          <w:tab w:leader="none" w:pos="3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The key compensation provided to our named executive officers for 2020 consisted of salary and bonuses. See “Additional Information Regarding Executive Compensation - Summary Compensation Table” for the compensation received by each of our named executive officers for 2020. Executive compensation levels and bonuses are established based upon the recommendation of our chairman, which are discussed with members of the board. The board of directors does not delegate the authority to establish executive officer compensation to any other person and has not retained any compensation consultants to determine or recommend the amount or form of executive and director compensation.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22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variable bonuses that provides motivation and rewards performance. At the same time, we seek to optimize and manage compensation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primary components of our executive compensation are base salary and, except as otherwise indicated, annual bonus, payable in cash. Base salary is paid for ongoing performance throughout the year and is determined based on job function and each executive’s contribution to our performance and achievement of our overall business objectives. Our annual bonuses are intended to reward particular achievement during the year, motivate future performance and attract and retain highly qualified key employees.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Appropriate Pay Levels</w:t>
      </w:r>
    </w:p>
    <w:p>
      <w:pPr>
        <w:spacing w:after="0" w:line="22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compete with many other companies for experienced and talented executives. Although we do not benchmark compensation against a specified peer group of companies, we review and consider market information regarding pay practices in the real estate and finance industries generally in assessing the reasonableness of compensation and ensuring that compensation levels remain competitive in the marketplace.</w:t>
      </w:r>
    </w:p>
    <w:p>
      <w:pPr>
        <w:spacing w:after="0" w:line="180"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p>
      <w:pPr>
        <w:spacing w:after="0" w:line="176" w:lineRule="exact"/>
        <w:rPr>
          <w:sz w:val="20"/>
          <w:szCs w:val="20"/>
          <w:color w:val="auto"/>
        </w:rPr>
      </w:pPr>
    </w:p>
    <w:p>
      <w:pPr>
        <w:ind w:left="800" w:hanging="318"/>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job performance, including performance against corporate and individual objectives;</w:t>
      </w:r>
    </w:p>
    <w:p>
      <w:pPr>
        <w:spacing w:after="0" w:line="225" w:lineRule="exact"/>
        <w:rPr>
          <w:rFonts w:ascii="Times New Roman" w:cs="Times New Roman" w:eastAsia="Times New Roman" w:hAnsi="Times New Roman"/>
          <w:sz w:val="18"/>
          <w:szCs w:val="18"/>
          <w:color w:val="auto"/>
        </w:rPr>
      </w:pPr>
    </w:p>
    <w:p>
      <w:pPr>
        <w:ind w:left="800" w:right="339" w:hanging="318"/>
        <w:spacing w:after="0" w:line="28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 responsibilities, including unique skills necessary to support our long-term performance, including that of our subsidiaries; and</w:t>
      </w:r>
    </w:p>
    <w:p>
      <w:pPr>
        <w:spacing w:after="0" w:line="161" w:lineRule="exact"/>
        <w:rPr>
          <w:rFonts w:ascii="Times New Roman" w:cs="Times New Roman" w:eastAsia="Times New Roman" w:hAnsi="Times New Roman"/>
          <w:sz w:val="18"/>
          <w:szCs w:val="18"/>
          <w:color w:val="auto"/>
        </w:rPr>
      </w:pPr>
    </w:p>
    <w:p>
      <w:pPr>
        <w:ind w:left="800" w:right="219" w:hanging="318"/>
        <w:spacing w:after="0" w:line="28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teamwork, both contributions as a member of the executive management team and fostering an environment of personal and professional growth for the entire work force.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Compensation</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There is no pre-established policy or target for the allocation of compensation. As we are a limited partnership and a controlled entity under the Nasdaq listing rules, our status as an MLP exempts us from certain corporate governance rules, including the requirement to maintain a compensation committee. In 2020, the total compensation granted to named executive officers was in the form of cash compensation.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Components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Base salaries for executive officers are determined based on job performance, job responsibilities and teamwork.</w:t>
      </w:r>
    </w:p>
    <w:p>
      <w:pPr>
        <w:spacing w:after="0" w:line="225"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Mr. Icahn is currently an at will employee serving as Chairman of the Board of Icahn Enterprises GP, Chairman of the Board and Chief Executive Officer of Icahn Capital LP and Chief Executive Officer of the Investment Funds.</w:t>
      </w:r>
    </w:p>
    <w:p>
      <w:pPr>
        <w:spacing w:after="0" w:line="162"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Generally, total compensation is used in determining the amount of contributions permitted under our 401(k) Plan. In addition, base salary may include accrued but unused paid time off (“PTO”) days that have been paid in accordance with the Company’s PTO policy.</w:t>
      </w:r>
    </w:p>
    <w:p>
      <w:pPr>
        <w:spacing w:after="0" w:line="176"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See “Additional Information Regarding Executive Compensation - Summary Compensation Table” for detailed information on the compensation received by each of our named executive officers for 2020.</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ind w:left="60" w:right="239" w:firstLine="324"/>
        <w:spacing w:after="0" w:line="289" w:lineRule="auto"/>
        <w:rPr>
          <w:sz w:val="20"/>
          <w:szCs w:val="20"/>
          <w:color w:val="auto"/>
        </w:rPr>
      </w:pPr>
      <w:r>
        <w:rPr>
          <w:rFonts w:ascii="Times New Roman" w:cs="Times New Roman" w:eastAsia="Times New Roman" w:hAnsi="Times New Roman"/>
          <w:sz w:val="17"/>
          <w:szCs w:val="17"/>
          <w:color w:val="auto"/>
        </w:rPr>
        <w:t>The Company believes that bonuses are an integral component of compensation that is an important way to motivate and reward performance of our employees. The Company does not have a formula or pre-established policy for determining either salary levels or bonuses; bonuses are discretionary. In addition, in order that we remain competitive in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marketplace, we may review market information regarding pay practices in the real estate and finance industries generally in determining bonuses. Generally, bonuses are determined by various factors, including, but not limited to, the achievement of financial goals and other Company goals that are determined to be critical to the success of the Company, overall job performance, including performance against corporate and individual objectives, job responsibilities and teamwork for each individual.</w:t>
      </w:r>
    </w:p>
    <w:p>
      <w:pPr>
        <w:spacing w:after="0" w:line="183"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For 2020, Mr. Cozza was paid a discretionary bonus of $5,000,000, Mr. Cho received a discretionary bonus of $1,700,000 and Mr. Papapostolou received a discretionary bonus of $100,000.</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401(k) Plan and Other Benefits</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For 2020, Messrs. Cozza, Cho, Papapostolou and Reck were our only named executive officers participating in our qualified Icahn Enterprises Holdings 401(k) Plan (the “401(k) Plan”), and thus received matching contributions for 2020. The matching contributions for the respective named executive officer in 2020 are disclosed in our Summary Compensation Table under “All Other Compensation” and in the related footnote. Mr. Icahn was our only named executive who did not participate in the 401(k) Plan for 2020. Our 401(k) Plan helps employees save and prepare financially for retirement.</w:t>
      </w:r>
    </w:p>
    <w:p>
      <w:pPr>
        <w:spacing w:after="0" w:line="18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401(k) Plan allows employees to contribute up to 50% of their eligible compensation, up to the limits imposed by the Internal Revenue Code, as amended,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The 401(k) Plan provides distributions in a lump sum. Under certain circumstances, loans and withdrawals are permitted.</w:t>
      </w:r>
    </w:p>
    <w:p>
      <w:pPr>
        <w:spacing w:after="0" w:line="183"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All of our named executive officers are entitled to receive medical, dental, life insurance and PTO benefits that are offered to all of our employees and are designed to enable us to attract and retain our workforce in a competitive environment. Health and PTO benefits help ensure that we have a productive and focused workforce.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227"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total value of all perquisites and personal benefits (exclusive of 401(k) Plan matching contributions) provided to each of our named executive officers for 2020, 2019 and 2018 was less than $10,000 per person, except for Mr. Icahn, for whom perquisites and other benefits are identified in the Summary Compensation Table under the “All Other Compensation” column and in related footnotes.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Our Chief Executive Officer to median employee pay ratio (“CEO Pay Ratio”) is calculated in accordance with Regulation S-K. We determined that we are permitted by Regulation S-K to use the same median employee for 2020 as was identified previously using initial data as of December 31, 2018, which used total cash compensation (inclusive of any bonuses) as our compensation measure. We elected to use the prior data as we have not had significant changes to our employee population or employee compensation arrangements that we reasonably believe would result in a significant change in our CEO Pay Ratio disclosure.</w:t>
      </w:r>
    </w:p>
    <w:p>
      <w:pPr>
        <w:spacing w:after="0" w:line="187" w:lineRule="exact"/>
        <w:rPr>
          <w:sz w:val="20"/>
          <w:szCs w:val="20"/>
          <w:color w:val="auto"/>
        </w:rPr>
      </w:pPr>
    </w:p>
    <w:p>
      <w:pPr>
        <w:ind w:left="60" w:right="259" w:firstLine="324"/>
        <w:spacing w:after="0" w:line="274" w:lineRule="auto"/>
        <w:rPr>
          <w:sz w:val="20"/>
          <w:szCs w:val="20"/>
          <w:color w:val="auto"/>
        </w:rPr>
      </w:pPr>
      <w:r>
        <w:rPr>
          <w:rFonts w:ascii="Times New Roman" w:cs="Times New Roman" w:eastAsia="Times New Roman" w:hAnsi="Times New Roman"/>
          <w:sz w:val="17"/>
          <w:szCs w:val="17"/>
          <w:color w:val="auto"/>
        </w:rPr>
        <w:t>We believe that the use of total cash compensation for all employees is a consistently applied compensation measure because we do not widely distribute annual equity awards to employees or other forms of non-cash compensation. We included all active employees, except as permitted to be excluded by Regulation S-K, whether employed on a full-time, part-time, temporary or seasonal basis. We did not utilize any sampling methods and we did not make any assumptions, adjustments, or estimates with respect to total cash compensation, except to annualize full-time and part-time employees who were hired during the period and to translate any compensation measured in a foreign currency to U.S. Dollars.</w:t>
      </w:r>
    </w:p>
    <w:p>
      <w:pPr>
        <w:spacing w:after="0" w:line="173"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median employee identified in the prior year continued to be actively employed as of December 31, 2020. The annual compensation for such employee was calculated using the same methodology we use for our named executive officers as set forth in the Summary Compensation Table below.</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Our Chief Executive Officer’s total annual compensation for 2020 was $6,511,588. The median employee’s total annual compensation for 2020 was $30,989. The ratio of our Chief Executive Officer’s total annual compensation to our median employee’s total annual compensation for 2020 was 210:1.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 review and discussion, the board of directors recommended that the Compensation Disclosure and Analysis be included in this Report.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report is provided by the board of directors: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Carl C. Icahn</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Keith Cozza</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Sung Hwan Cho</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Brett Icahn</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Michael Nevin</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Denise Barton</w:t>
      </w:r>
    </w:p>
    <w:p>
      <w:pPr>
        <w:spacing w:after="0" w:line="1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Alvin B. Krongard</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Stephen A. Mongillo</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During 2020, our entire board of directors, including Mr. Icahn, participated in deliberations concerning executive compensation. During 2020, none of our executive officers served on the compensation committee (or equivalent), or the board of directors of another entity whose executive officer(s) served on our board of directors.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Information Regarding Executive Compensation</w:t>
      </w:r>
    </w:p>
    <w:p>
      <w:pPr>
        <w:spacing w:after="0" w:line="22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in respect of the compensation earned for services to us and/or our subsidiaries by each of our named executive officers for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tbl>
      <w:tblPr>
        <w:tblLayout w:type="fixed"/>
        <w:tblInd w:w="60" w:type="dxa"/>
        <w:tblCellMar>
          <w:top w:w="0" w:type="dxa"/>
          <w:left w:w="0" w:type="dxa"/>
          <w:bottom w:w="0" w:type="dxa"/>
          <w:right w:w="0" w:type="dxa"/>
        </w:tblCellMar>
      </w:tblPr>
      <w:tr>
        <w:trPr>
          <w:trHeight w:val="234"/>
        </w:trPr>
        <w:tc>
          <w:tcPr>
            <w:tcW w:w="300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958"/>
        </w:trPr>
        <w:tc>
          <w:tcPr>
            <w:tcW w:w="3000" w:type="dxa"/>
            <w:vAlign w:val="bottom"/>
          </w:tcPr>
          <w:p>
            <w:pPr>
              <w:spacing w:after="0"/>
              <w:rPr>
                <w:sz w:val="24"/>
                <w:szCs w:val="24"/>
                <w:color w:val="auto"/>
              </w:rPr>
            </w:pPr>
          </w:p>
        </w:tc>
        <w:tc>
          <w:tcPr>
            <w:tcW w:w="374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5"/>
        </w:trPr>
        <w:tc>
          <w:tcPr>
            <w:tcW w:w="3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 xml:space="preserve">Annual Compensation </w:t>
            </w:r>
            <w:r>
              <w:rPr>
                <w:rFonts w:ascii="Times New Roman" w:cs="Times New Roman" w:eastAsia="Times New Roman" w:hAnsi="Times New Roman"/>
                <w:sz w:val="26"/>
                <w:szCs w:val="26"/>
                <w:b w:val="1"/>
                <w:bCs w:val="1"/>
                <w:color w:val="auto"/>
                <w:w w:val="97"/>
                <w:vertAlign w:val="superscript"/>
              </w:rPr>
              <w:t>(1)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87"/>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All Other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3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C. Icahn</w:t>
            </w:r>
            <w:r>
              <w:rPr>
                <w:rFonts w:ascii="Times New Roman" w:cs="Times New Roman" w:eastAsia="Times New Roman" w:hAnsi="Times New Roman"/>
                <w:sz w:val="26"/>
                <w:szCs w:val="26"/>
                <w:color w:val="auto"/>
                <w:vertAlign w:val="superscript"/>
              </w:rPr>
              <w:t>(2)</w:t>
            </w: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r>
      <w:tr>
        <w:trPr>
          <w:trHeight w:val="35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4"/>
                <w:szCs w:val="24"/>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w:t>
            </w:r>
          </w:p>
        </w:tc>
      </w:tr>
      <w:tr>
        <w:trPr>
          <w:trHeight w:val="351"/>
        </w:trPr>
        <w:tc>
          <w:tcPr>
            <w:tcW w:w="3000" w:type="dxa"/>
            <w:vAlign w:val="bottom"/>
            <w:shd w:val="clear" w:color="auto" w:fill="CCEEFF"/>
          </w:tcPr>
          <w:p>
            <w:pPr>
              <w:spacing w:after="0"/>
              <w:rPr>
                <w:sz w:val="24"/>
                <w:szCs w:val="24"/>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2018</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66,143</w:t>
            </w:r>
          </w:p>
        </w:tc>
      </w:tr>
      <w:tr>
        <w:trPr>
          <w:trHeight w:val="216"/>
        </w:trPr>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5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Cozza</w:t>
            </w:r>
            <w:r>
              <w:rPr>
                <w:rFonts w:ascii="Times New Roman" w:cs="Times New Roman" w:eastAsia="Times New Roman" w:hAnsi="Times New Roman"/>
                <w:sz w:val="26"/>
                <w:szCs w:val="26"/>
                <w:color w:val="auto"/>
                <w:vertAlign w:val="superscript"/>
              </w:rPr>
              <w:t>(4)</w:t>
            </w: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6,511,588</w:t>
            </w:r>
          </w:p>
        </w:tc>
      </w:tr>
      <w:tr>
        <w:trPr>
          <w:trHeight w:val="35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6,511,387</w:t>
            </w:r>
          </w:p>
        </w:tc>
      </w:tr>
      <w:tr>
        <w:trPr>
          <w:trHeight w:val="351"/>
        </w:trPr>
        <w:tc>
          <w:tcPr>
            <w:tcW w:w="3000" w:type="dxa"/>
            <w:vAlign w:val="bottom"/>
            <w:shd w:val="clear" w:color="auto" w:fill="CCEEFF"/>
          </w:tcPr>
          <w:p>
            <w:pPr>
              <w:spacing w:after="0"/>
              <w:rPr>
                <w:sz w:val="24"/>
                <w:szCs w:val="24"/>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2018</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1,528,889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6,539,608</w:t>
            </w:r>
          </w:p>
        </w:tc>
      </w:tr>
      <w:tr>
        <w:trPr>
          <w:trHeight w:val="216"/>
        </w:trPr>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5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SungHwan Cho </w:t>
            </w:r>
            <w:r>
              <w:rPr>
                <w:rFonts w:ascii="Times New Roman" w:cs="Times New Roman" w:eastAsia="Times New Roman" w:hAnsi="Times New Roman"/>
                <w:sz w:val="26"/>
                <w:szCs w:val="26"/>
                <w:color w:val="auto"/>
                <w:vertAlign w:val="superscript"/>
              </w:rPr>
              <w:t>(5)</w:t>
            </w: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2,551,588</w:t>
            </w:r>
          </w:p>
        </w:tc>
      </w:tr>
      <w:tr>
        <w:trPr>
          <w:trHeight w:val="35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2,590,138</w:t>
            </w:r>
          </w:p>
        </w:tc>
      </w:tr>
      <w:tr>
        <w:trPr>
          <w:trHeight w:val="351"/>
        </w:trPr>
        <w:tc>
          <w:tcPr>
            <w:tcW w:w="3000" w:type="dxa"/>
            <w:vAlign w:val="bottom"/>
            <w:shd w:val="clear" w:color="auto" w:fill="CCEEFF"/>
          </w:tcPr>
          <w:p>
            <w:pPr>
              <w:spacing w:after="0"/>
              <w:rPr>
                <w:sz w:val="24"/>
                <w:szCs w:val="24"/>
                <w:color w:val="auto"/>
              </w:rPr>
            </w:pP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2018</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849,254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2,559,973</w:t>
            </w:r>
          </w:p>
        </w:tc>
      </w:tr>
      <w:tr>
        <w:trPr>
          <w:trHeight w:val="216"/>
        </w:trPr>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5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Ted Papapostolou </w:t>
            </w:r>
            <w:r>
              <w:rPr>
                <w:rFonts w:ascii="Times New Roman" w:cs="Times New Roman" w:eastAsia="Times New Roman" w:hAnsi="Times New Roman"/>
                <w:sz w:val="26"/>
                <w:szCs w:val="26"/>
                <w:color w:val="auto"/>
                <w:vertAlign w:val="superscript"/>
              </w:rPr>
              <w:t>(6)</w:t>
            </w: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361,230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35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Peter Reck </w:t>
            </w:r>
            <w:r>
              <w:rPr>
                <w:rFonts w:ascii="Times New Roman" w:cs="Times New Roman" w:eastAsia="Times New Roman" w:hAnsi="Times New Roman"/>
                <w:sz w:val="26"/>
                <w:szCs w:val="26"/>
                <w:color w:val="auto"/>
                <w:vertAlign w:val="superscript"/>
              </w:rPr>
              <w:t>(7)</w:t>
            </w: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120,271</w:t>
            </w:r>
          </w:p>
        </w:tc>
        <w:tc>
          <w:tcPr>
            <w:tcW w:w="18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129,851</w:t>
            </w:r>
          </w:p>
        </w:tc>
      </w:tr>
      <w:tr>
        <w:trPr>
          <w:trHeight w:val="351"/>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15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331,971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567,295</w:t>
            </w:r>
          </w:p>
        </w:tc>
      </w:tr>
      <w:tr>
        <w:trPr>
          <w:trHeight w:val="351"/>
        </w:trPr>
        <w:tc>
          <w:tcPr>
            <w:tcW w:w="3000" w:type="dxa"/>
            <w:vAlign w:val="bottom"/>
          </w:tcPr>
          <w:p>
            <w:pPr>
              <w:spacing w:after="0"/>
              <w:rPr>
                <w:sz w:val="24"/>
                <w:szCs w:val="24"/>
                <w:color w:val="auto"/>
              </w:rPr>
            </w:pPr>
          </w:p>
        </w:tc>
        <w:tc>
          <w:tcPr>
            <w:tcW w:w="15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w w:val="99"/>
              </w:rPr>
              <w:t>2018</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321,932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2"/>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right="219" w:hanging="330"/>
        <w:spacing w:after="0" w:line="261"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p>
      <w:pPr>
        <w:spacing w:after="0" w:line="179" w:lineRule="exact"/>
        <w:rPr>
          <w:rFonts w:ascii="Times New Roman" w:cs="Times New Roman" w:eastAsia="Times New Roman" w:hAnsi="Times New Roman"/>
          <w:sz w:val="18"/>
          <w:szCs w:val="18"/>
          <w:color w:val="auto"/>
        </w:rPr>
      </w:pPr>
    </w:p>
    <w:p>
      <w:pPr>
        <w:ind w:left="380" w:right="159" w:hanging="330"/>
        <w:spacing w:after="0" w:line="277" w:lineRule="auto"/>
        <w:tabs>
          <w:tab w:leader="none" w:pos="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salary indicated above represents compensation paid to Mr. Icahn in each of 2020, 2019 and 2018 for his services as Chief Executive Officer of our subsidiary, Icahn Capital LP, and of the general partners of the Investment Funds. 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w:t>
      </w:r>
    </w:p>
    <w:p>
      <w:pPr>
        <w:spacing w:after="0" w:line="167" w:lineRule="exact"/>
        <w:rPr>
          <w:rFonts w:ascii="Times New Roman" w:cs="Times New Roman" w:eastAsia="Times New Roman" w:hAnsi="Times New Roman"/>
          <w:sz w:val="17"/>
          <w:szCs w:val="17"/>
          <w:color w:val="auto"/>
        </w:rPr>
      </w:pPr>
    </w:p>
    <w:p>
      <w:pPr>
        <w:ind w:left="380" w:right="79" w:hanging="330"/>
        <w:spacing w:after="0" w:line="25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other compensation paid to the following named executive officers: (i) Carl C. Icahn, $13,681, $13,681 and $29,499, in medical and dental benefits for 2020, 2019 and 2018, respectively; $955 in life insurance paid by us for each of 2020, 2019 and 2018; and in his capacity as the Chairman of the Board of Federal-Mogul, $35,688, representing the incremental cost of Mr. Icahn’s personal use of Federal-Mogul’s corporate aircraft for 2018. Mr. Icahn received no fees or compensation from Federal-Mogul for 2018, other than the use of the corporate aircraft as discussed above. The calculation of incremental cost for the personal use of Federal-Mogul’s corporate aircraft includes the variable costs incurred as a result of personal flight activity, which are comprised of a portion of ongoing maintenance and repairs, aircraft fuel, airport fees, catering, and fees and travel expenses for the flight crew. The use of the aircraft for personal use by Mr. Icahn was approved by the board of directors and the Compensation Committee of Federal-Mogul; (ii) Mr. Cozza, $8,906, $9,063 and $8,438 in matching contributions under our 401(k) Plan for 2020, 2019 and 2018, respectively; $1,726, $1,326 and $1,326 in medical and dental benefits paid by us for 2020, 2019 and 2018, respectively; $955 in life insurance premiums paid by us for each of 2020, 2019 and 2018;</w:t>
      </w:r>
    </w:p>
    <w:p>
      <w:pPr>
        <w:spacing w:after="0" w:line="2" w:lineRule="exact"/>
        <w:rPr>
          <w:rFonts w:ascii="Times New Roman" w:cs="Times New Roman" w:eastAsia="Times New Roman" w:hAnsi="Times New Roman"/>
          <w:sz w:val="18"/>
          <w:szCs w:val="18"/>
          <w:color w:val="auto"/>
        </w:rPr>
      </w:pPr>
    </w:p>
    <w:p>
      <w:pPr>
        <w:ind w:left="380" w:right="1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Mr. Cho, $8,906, $9,063 and $8,438 in matching contributions under our 401(k) Plan for 2020, 2019 and 2018, respectively; $1,726, $1,326 and $1,326 in medical and dental benefits paid by us for 2020, 2019 and 2018, respectively; $955 in life insurance premiums paid by us for each of 2020, 2019 and 2018; (iv) Mr. Papapostolou, $8,906 in matching contributions under our 401(k) Plan for 2020; $1,726 in medical and dental benefits paid by us for 2020; $597 in life insurance premiums paid by us for 2020; and (v) Mr. Reck, $8,906,</w:t>
      </w:r>
    </w:p>
    <w:p>
      <w:pPr>
        <w:sectPr>
          <w:pgSz w:w="11900" w:h="16838" w:orient="portrait"/>
          <w:cols w:equalWidth="0" w:num="1">
            <w:col w:w="9019"/>
          </w:cols>
          <w:pgMar w:left="1440" w:top="513" w:right="1440" w:bottom="93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933" w:gutter="0" w:footer="0" w:header="0"/>
          <w:type w:val="continuous"/>
        </w:sectPr>
      </w:pPr>
    </w:p>
    <w:bookmarkStart w:id="140" w:name="page141"/>
    <w:bookmarkEnd w:id="14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right="99"/>
        <w:spacing w:after="0" w:line="261" w:lineRule="auto"/>
        <w:rPr>
          <w:sz w:val="20"/>
          <w:szCs w:val="20"/>
          <w:color w:val="auto"/>
        </w:rPr>
      </w:pPr>
      <w:r>
        <w:rPr>
          <w:rFonts w:ascii="Times New Roman" w:cs="Times New Roman" w:eastAsia="Times New Roman" w:hAnsi="Times New Roman"/>
          <w:sz w:val="18"/>
          <w:szCs w:val="18"/>
          <w:color w:val="auto"/>
        </w:rPr>
        <w:t>$8,827 and $8,655 in matching contributions under our 401(k) Plan for 2020, 2019 and 2018, respectively; $486, $742 and $742 in medical and dental benefits paid by us for 2020, 2019 and 2018, respectively; and $188, $755 and $755 in life insurance premiums paid by us for 2020, 2019 and 2018, respectively. Mr. Icahn did not participate in the 401(k) plan during 2020, 2019 and 2018 and thus did not receive any matching contributions for those fiscal years.</w:t>
      </w:r>
    </w:p>
    <w:p>
      <w:pPr>
        <w:spacing w:after="0" w:line="180" w:lineRule="exact"/>
        <w:rPr>
          <w:sz w:val="20"/>
          <w:szCs w:val="20"/>
          <w:color w:val="auto"/>
        </w:rPr>
      </w:pPr>
    </w:p>
    <w:p>
      <w:pPr>
        <w:ind w:left="380" w:right="219" w:hanging="330"/>
        <w:spacing w:after="0" w:line="258"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Mr. Cozza’s role as President and Chief Executive Officer of Icahn Enterprises and Icahn Enterprises Holdings, he serves as the Chief Operating Officer of Icahn Capital LP and holds officer and/or director positions at certain of our other subsidiaries. During 2020, Mr. Cozza received a salary of $1,500,000 and a bonus of $5,000,000, which was determined based on various factors, including, but not limited to, overall job performance, including performance against corporate and individual objectives, job responsibilities and teamwork.</w:t>
      </w:r>
    </w:p>
    <w:p>
      <w:pPr>
        <w:spacing w:after="0" w:line="183" w:lineRule="exact"/>
        <w:rPr>
          <w:rFonts w:ascii="Times New Roman" w:cs="Times New Roman" w:eastAsia="Times New Roman" w:hAnsi="Times New Roman"/>
          <w:sz w:val="18"/>
          <w:szCs w:val="18"/>
          <w:color w:val="auto"/>
        </w:rPr>
      </w:pPr>
    </w:p>
    <w:p>
      <w:pPr>
        <w:jc w:val="both"/>
        <w:ind w:left="380" w:right="199" w:hanging="330"/>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2020, Mr. Cho received a salary of $840,000 and a bonus of $1,700,000, which was determined based on various factors, including, but not limited to overall job performance, including performance against corporate and individual objectives, job responsibilities and teamwork.</w:t>
      </w:r>
    </w:p>
    <w:p>
      <w:pPr>
        <w:spacing w:after="0" w:line="175" w:lineRule="exact"/>
        <w:rPr>
          <w:rFonts w:ascii="Times New Roman" w:cs="Times New Roman" w:eastAsia="Times New Roman" w:hAnsi="Times New Roman"/>
          <w:sz w:val="18"/>
          <w:szCs w:val="18"/>
          <w:color w:val="auto"/>
        </w:rPr>
      </w:pPr>
    </w:p>
    <w:p>
      <w:pPr>
        <w:ind w:left="380" w:right="259" w:hanging="330"/>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2020, Mr. Papapostolou received a salary of $250,000 and a bonus of $100,000, which was determined based on various factors, including, but not limited to overall job performance, including performance against corporate and individual objectives, job responsibilities and teamwork.</w:t>
      </w:r>
    </w:p>
    <w:p>
      <w:pPr>
        <w:spacing w:after="0" w:line="17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2020, Mr. Reck received a salary of $120,271, which represents his salary for the period through March 31, 2020.</w:t>
      </w:r>
    </w:p>
    <w:p>
      <w:pPr>
        <w:spacing w:after="0" w:line="225"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Each of our executive officers may perform services for affiliates of Mr. Icahn for which we receive reimbursement. See Item 13, “Certain Relationships and Related Transactions, and Director Independence.”</w:t>
      </w:r>
    </w:p>
    <w:p>
      <w:pPr>
        <w:spacing w:after="0" w:line="162"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Mr. Brett Icahn is the son of Carl C. Icahn, the Chairman of the Board of Icahn Enterprises. Mr. Nevin is married to the daughter of Carl C. Icahn. There are no other family relationships between or among any of our directors and/or executive officers.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On December 20, 2019, Icahn Enterprises entered into an employment agreement (the “Employment Agreement”) with Keith Cozza, pursuant to which Mr. Cozza will continue to serve as the President and Chief Executive Officer of Icahn Enterprises, Icahn Enterprises Holdings and Icahn Enterprises GP, the general partner of Icahn Enterprises and Icahn Enterprises Holdings, effective January 1, 2020 until May 31, 2021 unless sooner terminated as provided in the Employment Agreement.</w:t>
      </w:r>
    </w:p>
    <w:p>
      <w:pPr>
        <w:spacing w:after="0" w:line="183"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Mr. Cozza will continue to be, among other things, principally responsible for overseeing portfolio company operations and involved with acquisitions, dispositions and financings engaged in by Icahn Enterprises, Icahn Enterprises Holdings and its subsidiaries.</w:t>
      </w:r>
    </w:p>
    <w:p>
      <w:pPr>
        <w:spacing w:after="0" w:line="1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During his term of employment under the Employment Agreement, Mr. Cozza will be paid a base salary at the rate of $1,500,000 per annum, payable every two weeks. Subject to the terms of the Employment Agreement, Mr. Cozza will receive an annual cash bonus payment of $5,000,000 for calendar year 2020 and $2,083,333.34 for the period between January 1, 2021 to May 31, 2021. We do not currently have an employment agreement with any of our other named executive officers.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Award, Option and Non-Equity Incentive Plans</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not granted any stock award or awards under the 2017 Incentive Plan and do not participate in any non-equity incentive plans.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60" w:right="359" w:firstLine="324"/>
        <w:spacing w:after="0" w:line="312" w:lineRule="auto"/>
        <w:rPr>
          <w:sz w:val="20"/>
          <w:szCs w:val="20"/>
          <w:color w:val="auto"/>
        </w:rPr>
      </w:pPr>
      <w:r>
        <w:rPr>
          <w:rFonts w:ascii="Times New Roman" w:cs="Times New Roman" w:eastAsia="Times New Roman" w:hAnsi="Times New Roman"/>
          <w:sz w:val="17"/>
          <w:szCs w:val="17"/>
          <w:color w:val="auto"/>
        </w:rPr>
        <w:t>We did not have any employment agreements or other arrangements pursuant to which any of our named executive officers would have received potential payments upon a termination or change in control as of December 31, 2020.</w:t>
      </w:r>
    </w:p>
    <w:p>
      <w:pPr>
        <w:spacing w:after="0" w:line="3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As noted above, on December 20, 2019, Icahn Enterprises entered into the Employment Agreement with Mr. Cozza, which provides that, in the event that Mr. Cozza is terminated by Icahn Enterprises without Cause (as defined below) or terminates his employment for Good Reason (as defined below), he shall be entitled to payment by Icahn Enterprises of a pro-rata portion of any unpaid bonus for the calendar year of the termination, payable in a lump sum within 5 business days of the effective date of such termination. As noted above under “Employment Agreements”, the amount of the bonus for Mr. Cozza for calendar year 2020 is $5,000,000, and the amount of the bonus for the period between January 1, 2021 to May 31,2021 is $2,083,333.34. If Mr. Cozza is terminated by Icahn Enterprises without Cause or terminates his employment for Good Reason, in either case, during the 2021 calendar year, the pro-rata portion of Mr. Cozza’s bonus will be determined based on the number of days elapsed during calendar year 2021 prior to the effective date of such termination over the total number of calendar days from January 1, 2021 through May 31, 2021 (and not, for the avoidance of doubt, through December 31, 2021).</w:t>
      </w:r>
    </w:p>
    <w:p>
      <w:pPr>
        <w:spacing w:after="0" w:line="84"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For purposes of the Employment Agreement, “Cause” generally means (i) conduct by Mr. Cozza in any manner that violates any law, rule or regulation in any material respect, as a result of any wrongful or improper act, but, in each case, only to the extent that Mr. Cozza’s conduct results in his conviction of a felony in a United States federal court or state court of law, or (ii) a material breach by Mr. Cozza of the Employment Agreement which is not cured within 5 business days following written notice.</w:t>
      </w:r>
    </w:p>
    <w:p>
      <w:pPr>
        <w:spacing w:after="0" w:line="75"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For purposes of the Employment Agreement, “Good Reason” generally means (i) a material breach of the terms of the Employment Agreement by Icahn Enterprises, or (ii) a material change in the duties assigned to Mr. Cozza which are so different in responsibility and scope so as to be materially adverse to Mr. Cozza to the extent that Mr. Cozza acting reasonably would be demeaned by such change, in each case, which is not cured within 5 business days following written notice.</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compensation information for our directors in 2020, except for Messrs. Icahn, Cho and Cozza. Compensation received by Messrs. Icahn, Cho and Cozza is included in the Summary Compensation Table. Messrs. Icahn, Cho and Cozza did not receive compensation for serving on our board of directors.</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2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Icahn</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Nevin</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Denise Barton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39,208</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Alvin B. Krongard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80" w:type="dxa"/>
            <w:vAlign w:val="bottom"/>
          </w:tcPr>
          <w:p>
            <w:pPr>
              <w:spacing w:after="0"/>
              <w:rPr>
                <w:sz w:val="18"/>
                <w:szCs w:val="18"/>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A. Mongillo</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27,828</w:t>
            </w: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G. Wasserman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80" w:type="dxa"/>
            <w:vAlign w:val="bottom"/>
          </w:tcPr>
          <w:p>
            <w:pPr>
              <w:spacing w:after="0"/>
              <w:rPr>
                <w:sz w:val="20"/>
                <w:szCs w:val="20"/>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r>
    </w:tbl>
    <w:p>
      <w:pPr>
        <w:spacing w:after="0" w:line="16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Each director will hold office until his successor is elected and qualified. Mr. Wasserman has resigned as a director and chairman of the audit committee effective as of February 27, 2020. Mr. Mongillo was appointed to serve as director in March 2020 to fill the vacancy created by the departure of Mr. Wasserman.</w:t>
      </w:r>
    </w:p>
    <w:p>
      <w:pPr>
        <w:spacing w:after="0" w:line="68"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During 2020, the fees earned or paid in cash for Ms. Barton and Messrs. Krongard, Mongillo and Wasserman, were in respect of their services rendered as members of our board of directors. With respect to Mr. Wasserman, the fees earned or paid in cash included $5,000 for serving as the chairman of the audit committee, pro-rated through the date of his departure on February 27, 2020. With respect to Ms. Barton, the fees earned or paid in cash included $5,000 for serving as the chairman of the audit committee, pro-rated from date of her appointment as chairman of the audit committee on February 27, 2020. Brett Icahn and Mr. Nevin did not receive compensation in respect of their services rendered as a member of our board of directors.</w:t>
      </w:r>
    </w:p>
    <w:p>
      <w:pPr>
        <w:spacing w:after="0" w:line="81"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Directors receive only cash compensation, if applicable, and currently are not granted any options, units or other equity-based awards.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Security Holder Matters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As of February 26, 2021, affiliates of Mr. Icahn, owned 221,749,462 of Icahn Enterprises’ depositary units, or approximately 92%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 independent directors. Icahn Enterprises GP’s board of directors presently consists of three independent directors and the audit committee consists entirely of independent directors.</w:t>
      </w:r>
    </w:p>
    <w:p>
      <w:pPr>
        <w:spacing w:after="0" w:line="18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affirmative vote of unitholders holding more than 75% of the total number of all depositary units then outstanding, including depositary units held by Icahn Enterprises GP and its affiliates, is required to remove Icahn Enterprises GP. Thus, since Mr. Icahn, through affiliates, holds approximately 92% of Icahn Enterprises’ outstanding depositary units as of February 26, 2021,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as of February 26, 2021, as to the beneficial ownership of the depositary units for each director of Icahn Enterprises GP and all directors and executive officers of Icahn Enterprises GP, as a group. Except for Mr. Icahn, none of our named executive officers, directors or other unitholders beneficially own more than 5% of Icahn Enterprises’ depositary units.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 Ownership of</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Depositary Units</w:t>
            </w:r>
          </w:p>
        </w:tc>
        <w:tc>
          <w:tcPr>
            <w:tcW w:w="34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Percent of Class</w:t>
            </w:r>
          </w:p>
        </w:tc>
      </w:tr>
      <w:tr>
        <w:trPr>
          <w:trHeight w:val="20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 C. Icahn</w:t>
            </w:r>
          </w:p>
        </w:tc>
        <w:tc>
          <w:tcPr>
            <w:tcW w:w="1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221,749,462</w:t>
            </w:r>
          </w:p>
        </w:tc>
        <w:tc>
          <w:tcPr>
            <w:tcW w:w="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(a) (b)</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Cozza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SungHwan Cho</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Papapostolou</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Icahn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442,012</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Nevin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Denise Barton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Alvin B. Krongard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36,008</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A. Mongillo</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(nine persons)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222,230,582</w:t>
            </w:r>
          </w:p>
        </w:tc>
        <w:tc>
          <w:tcPr>
            <w:tcW w:w="3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380" w:hanging="330"/>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total outstanding depositary units of Icahn Enterprises.</w:t>
      </w:r>
    </w:p>
    <w:p>
      <w:pPr>
        <w:spacing w:after="0" w:line="225" w:lineRule="exact"/>
        <w:rPr>
          <w:sz w:val="20"/>
          <w:szCs w:val="20"/>
          <w:color w:val="auto"/>
        </w:rPr>
      </w:pPr>
    </w:p>
    <w:p>
      <w:pPr>
        <w:ind w:left="380" w:right="79" w:hanging="330"/>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is exclusive of a 1.99% ownership interest which Icahn Enterprises GP holds by virtue of its 1% general partner interest in each of us and Icahn Enterprises Holdings.</w:t>
      </w:r>
    </w:p>
    <w:p>
      <w:pPr>
        <w:spacing w:after="0" w:line="161" w:lineRule="exact"/>
        <w:rPr>
          <w:rFonts w:ascii="Times New Roman" w:cs="Times New Roman" w:eastAsia="Times New Roman" w:hAnsi="Times New Roman"/>
          <w:sz w:val="18"/>
          <w:szCs w:val="18"/>
          <w:color w:val="auto"/>
        </w:rPr>
      </w:pPr>
    </w:p>
    <w:p>
      <w:pPr>
        <w:ind w:left="380" w:right="99" w:hanging="330"/>
        <w:spacing w:after="0" w:line="258"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December 30, 2020 by CCI Onshore LLC, Gascon Partners, High Coast Limited Partnership, Highcrest Investors LLC, Thornwood Associates Limited Partnership, Barberry Corp., Starfire Holding Corporation and Little Meadow Corp. Mr. Icahn, by virtue of his relationship to such entities, may be deemed to beneficially own such Depositary Units. Mr. Icahn disclaims beneficial ownership of such Depositary Units except to the extent of his pecuniary interest therein.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During the first quarter of 2017, the board of directors of the general partner of Icahn Enterprises unanimously approved and adopted the 2017 Incentive Plan, which became effective during the first quarter of 2017 subject to the approval by holders of a majority of Icahn Enterprises depositary units.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were initially available under the 2017 Incentive Plan. As of December 31, 2020, there were no securities to be issued upon the exercise of outstanding options, warrants or rights. The number of securities remaining available for future issuance under the 2017 Incentive Plan as of December 31, 2020 is 949,999 of Icahn Enterprises’ depositary units.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29" w:lineRule="exact"/>
        <w:rPr>
          <w:sz w:val="20"/>
          <w:szCs w:val="20"/>
          <w:color w:val="auto"/>
        </w:rPr>
      </w:pPr>
    </w:p>
    <w:p>
      <w:pPr>
        <w:ind w:left="60" w:right="119" w:firstLine="324"/>
        <w:spacing w:after="0" w:line="277" w:lineRule="auto"/>
        <w:rPr>
          <w:sz w:val="20"/>
          <w:szCs w:val="20"/>
          <w:color w:val="auto"/>
        </w:rPr>
      </w:pPr>
      <w:r>
        <w:rPr>
          <w:rFonts w:ascii="Times New Roman" w:cs="Times New Roman" w:eastAsia="Times New Roman" w:hAnsi="Times New Roman"/>
          <w:sz w:val="17"/>
          <w:szCs w:val="17"/>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 Party Transactions with Our General Partner and Its Affiliates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Mr. Icahn, in his capacity as majority unitholder, will not receive any additional benefit with respect to distributions and allocations of profits and losses not shared on a pro rata basis by all other unitholders. In addition, Mr. Icahn has confirmed to us that neither he nor any of his affiliates will receive any fees from us in consideration for services rendered in connection with investments by us other than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spacing w:after="0" w:line="190"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2020, we declared four quarterly distributions aggregating $8.00 per depositary unit. Depositary unitholders were given the option to make an election to receive the distributions in either cash or additional depositary units; if a holder did not make an election, it was automatically deemed to have elected to receive the distributions in cash. As a result of the above declared distributions, during 2020 we distributed an aggregate 25,352,178 of Icahn Enterprises’ depositary units to those depositary unitholders who elected to receive such distributions in additional depositary units, of which an aggregate of 24,902,568 depositary units were distributed to Mr. Icahn and his affiliates. In connection with these distributions, aggregate cash distributions to all depositary unitholders was $516 million, of which $422 million relates to the distribution declared in the first quarter of 2020. Mr. Icahn and his affiliates have historically elected to receive their distributions in additional units; however, in the first quarter of 2020, they received their distribution in cash. For the distributions declared in the second, third and fourth quarters of 2020, Mr. Icahn and his affiliates elected to receive their distributions in additional units and cash distributions paid to other depositary unitholders was $30 million, $31 million and $33 million, respectively. As a result, Mr. Icahn and his affiliates owned approximately 92% of Icahn Enterprises’ outstanding depositary units as of December 31, 2020. Mr. Icahn and his affiliates may in the future elect to receive all or a portion of their distributions in cash or in additional depositary units. Pursuant to registration rights agreements, Mr. Icahn has certain registration rights with regard to the depositary units beneficially owned by him.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On February 24, 2021, the Board of Directors of the general partner of Icahn Enterprises declared a quarterly distribution in the amount of $2.00 per depositary unit, which will be paid on or about April 28, 2021 to depositary unitholders of record at the close of business on March 26, 2021. Depositary unitholders will have until April 16, 2021 to make an election to receive either cash or additional depositary units; if a holder does not make an election, it will automatically be deemed to have elected to receive the distribution in additional depositary units.</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and Icahn Enterprises Holdings), make investments in the Investment Funds. During 2020, Mr. Icahn and his affiliates (excluding us) contributed $1,241 million to the Investment Funds consisting primarily of in-kind investments previously held directly by Mr. Icahn and his affiliates (excluding us). As of December 31, 2020, the total fair market value of investments in the Investment Funds made by Mr. Icahn and his affiliates (excluding Icahn Enterprises and Icahn Enterprises Holdings) was approximately $5.0 billion, representing approximately 54% of the Investment Funds’ assets under management.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Icahn Capital LP, a wholly-owned subsidiary of ours, paid for salaries and benefits of certain employees who may also perform various functions on behalf of certain other entities beneficially owned by Mr. Icahn, including administrative and investment services.</w:t>
      </w:r>
    </w:p>
    <w:p>
      <w:pPr>
        <w:spacing w:after="0" w:line="17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Icahn Capital LP pays for expenses pertaining to the operation, administration and investment activities of our Investment segment for the benefit of the Investment Funds (including salaries, benefits and rent). Icahn Capital LP shall be allocated pro rata for such expenses in accordance with each investor’s capital accounts in the Investment Funds. Effective April 1, 2011, based on an expense-sharing arrangement, certain expenses borne by Icahn Capital LP are reimbursed by the Investment Funds, generally when such expenses are paid. During 2020, $2 million was allocated to the Investment Funds based on this expense-sharing arrangement.</w:t>
      </w:r>
    </w:p>
    <w:p>
      <w:pPr>
        <w:spacing w:after="0" w:line="18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We and affiliates of Mr. Icahn had a significant non-controlling ownership interest in Hertz. During 2020, we and our subsidiaries had revenue from Hertz in the ordinary course of business of $20 million.</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767 Leasing is treated as a partnership for federal income tax purposes. For the year ended December 31, 2020, 767 Leasing distributed $75 million to us. As of December 31, 2020, we had an equity method investment in 767 Leasing of $40 million.</w:t>
      </w:r>
    </w:p>
    <w:p>
      <w:pPr>
        <w:spacing w:after="0" w:line="195"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On October 1, 2020, we entered into a manager agreement with Brett Icahn, the son of Carl C. Icahn, and affiliates of Brett Icahn. Under the manager agreement, Brett Icahn will serve as the portfolio manager of a designated portfolio of assets within the Investment Funds over a seven-year term, subject to veto rights by our Investment segment and Carl. C. Icahn. Additionally, Brett Icahn will provide certain other services, at our request, which may entail research, analysis and advice with respect to a separate designated portfolio of assets within the Investment Funds. Subject to the terms of</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manager agreement, at the end of the seven-year term, Brett Icahn will be entitled to receive a one-time lump sum payment as described in and computed pursuant to the agreement. Brett Icahn will not be entitled to receive from us any other compensation (including any salary or bonus) in respect of the services he is to provide under the manager agreement other than restricted depositary units granted under a restricted unit agreement, as discussed below.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2020, Brett Icahn contributed $12 million in accordance with the manager agreement.</w:t>
      </w:r>
    </w:p>
    <w:p>
      <w:pPr>
        <w:spacing w:after="0" w:line="19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Affiliate Pension Obligations</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92% of Icahn Enterprises’ outstanding depositary units as of December 31, 2020.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All the minimum funding requirements of the Internal Revenue Code, as amended, and the Employee Retirement Income Security Act of 1974, as amended, for the Viskase and ACF plans have been met as of December 31, 2020. If the plans were voluntarily terminated, they would be underfunded by an aggregate of approximately $122 million as of December 31, 2020.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7"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0"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Starfire Holding Corporation (“Starfire”), which is 99.6% owned by Mr. Icahn, has undertaken to indemnify us and our subsidiaries from losses resulting from any imposition of certain pension funding or termination liabilities that may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Ms. Barton and Messrs. Krongard and Mongillo are “independent” as defined in the currently applicable listing rules of Nasdaq. Ms. Barton and Messrs. Krongard and Mongillo serve as members of our audit committee, which consists entirely of these independent directors.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incurred $6,074,688 and $6,190,955 in audit fees and expenses from Grant Thornton LLP for 2020 and 2019, respectively. We include in the category of audit fees such services related to the audits of annual consolidated financial statements and internal controls, reviews of quarterly financial statements, reviews of reports filed with the SEC and other services, including services related to consents and registration statements filed with the SEC.</w:t>
      </w:r>
    </w:p>
    <w:p>
      <w:pPr>
        <w:spacing w:after="0" w:line="18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We incurred $259,491 and $260,176 in audit-related fees and expenses from Grant Thornton LLP for 2020 and 2019, respectively, relating primarily to services provided in connection with employee benefit plans and certain other agreed upon procedures.</w:t>
      </w:r>
    </w:p>
    <w:p>
      <w:pPr>
        <w:spacing w:after="0" w:line="17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incurred $22,236 in tax-related fees and expenses for 2020 from Grant Thornton LLP for property tax compliance services and we did not incur any tax-related fees and expenses for 2019. Additionally, we incurred $14,155 in other fees and expenses for 2020 from Grant Thornton LLP relating to our Energy segment’s call option and we did not incur any other fees and expenses for 2019.</w:t>
      </w:r>
    </w:p>
    <w:p>
      <w:pPr>
        <w:spacing w:after="0" w:line="180"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the Charter of the Audit Committee of the Board of Directors of Icahn Enterprises GP, the general partner of Icahn Enterprises and Icahn Enterprises Holdings, the audit committee is required to approve in advance any and all audit services and permitted non-audit services provided to Icahn Enterprises, Icahn Enterprises Holdings and their consolidated subsidiaries by their independent auditors (subject to the de minimis exception of Section 10A (i) (1) (B) of the ‘34 Act), all as required by applicable law or listing standards. All of the fees in 2020 and 2019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financial statements of Icahn Enterprises L.P., and subsidiaries, are included in Part II, Item 8 of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7"/>
        </w:trPr>
        <w:tc>
          <w:tcPr>
            <w:tcW w:w="7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Consolidated Balance Sheets</w:t>
              </w:r>
            </w:hyperlink>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34"/>
        </w:trPr>
        <w:tc>
          <w:tcPr>
            <w:tcW w:w="7740" w:type="dxa"/>
            <w:vAlign w:val="bottom"/>
          </w:tcPr>
          <w:p>
            <w:pPr>
              <w:ind w:left="6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Consolidated Statements of Operations</w:t>
              </w:r>
            </w:hyperlink>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2"/>
        </w:trPr>
        <w:tc>
          <w:tcPr>
            <w:tcW w:w="7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Consolidated Statements of Comprehensive Income</w:t>
              </w:r>
            </w:hyperlink>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43"/>
        </w:trPr>
        <w:tc>
          <w:tcPr>
            <w:tcW w:w="7740" w:type="dxa"/>
            <w:vAlign w:val="bottom"/>
          </w:tcPr>
          <w:p>
            <w:pPr>
              <w:ind w:left="60"/>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Consolidated Statement of Changes in Equity</w:t>
              </w:r>
            </w:hyperlink>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7"/>
        </w:trPr>
        <w:tc>
          <w:tcPr>
            <w:tcW w:w="7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7740" w:type="dxa"/>
            <w:vAlign w:val="bottom"/>
            <w:tcBorders>
              <w:bottom w:val="single" w:sz="8" w:color="CCEEFF"/>
            </w:tcBorders>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Consolidated Statements of Cash Flows</w:t>
              </w:r>
            </w:hyperlink>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34"/>
        </w:trPr>
        <w:tc>
          <w:tcPr>
            <w:tcW w:w="7740" w:type="dxa"/>
            <w:vAlign w:val="bottom"/>
          </w:tcPr>
          <w:p>
            <w:pPr>
              <w:ind w:left="6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Notes to Consolidated Financial Statements</w:t>
              </w:r>
            </w:hyperlink>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bl>
    <w:p>
      <w:pPr>
        <w:spacing w:after="0" w:line="220"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of Icahn Enterprises Holdings L.P., and subsidiaries, are included in Part II, Item 8 of this Report:</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r>
      <w:tr>
        <w:trPr>
          <w:trHeight w:val="27"/>
        </w:trPr>
        <w:tc>
          <w:tcPr>
            <w:tcW w:w="7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700" w:type="dxa"/>
            <w:vAlign w:val="bottom"/>
            <w:tcBorders>
              <w:bottom w:val="single" w:sz="8" w:color="CCEEFF"/>
            </w:tcBorders>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Consolidated Balance Sheets</w:t>
              </w:r>
            </w:hyperlink>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34"/>
        </w:trPr>
        <w:tc>
          <w:tcPr>
            <w:tcW w:w="7700" w:type="dxa"/>
            <w:vAlign w:val="bottom"/>
          </w:tcPr>
          <w:p>
            <w:pPr>
              <w:ind w:left="60"/>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Consolidated Statements of Operations</w:t>
              </w:r>
            </w:hyperlink>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2"/>
        </w:trPr>
        <w:tc>
          <w:tcPr>
            <w:tcW w:w="7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Consolidated Statements of Comprehensive Income</w:t>
              </w:r>
            </w:hyperlink>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43"/>
        </w:trPr>
        <w:tc>
          <w:tcPr>
            <w:tcW w:w="7700" w:type="dxa"/>
            <w:vAlign w:val="bottom"/>
          </w:tcPr>
          <w:p>
            <w:pPr>
              <w:ind w:left="6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Consolidated Statement of Changes in Equity</w:t>
              </w:r>
            </w:hyperlink>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7"/>
        </w:trPr>
        <w:tc>
          <w:tcPr>
            <w:tcW w:w="7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7700" w:type="dxa"/>
            <w:vAlign w:val="bottom"/>
            <w:tcBorders>
              <w:bottom w:val="single" w:sz="8" w:color="CCEEFF"/>
            </w:tcBorders>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Consolidated Statements of Cash Flows</w:t>
              </w:r>
            </w:hyperlink>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34"/>
        </w:trPr>
        <w:tc>
          <w:tcPr>
            <w:tcW w:w="7700" w:type="dxa"/>
            <w:vAlign w:val="bottom"/>
          </w:tcPr>
          <w:p>
            <w:pPr>
              <w:ind w:left="6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Notes to Consolidated Financial Statements</w:t>
              </w:r>
            </w:hyperlink>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45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tc>
        <w:tc>
          <w:tcPr>
            <w:tcW w:w="1200" w:type="dxa"/>
            <w:vAlign w:val="bottom"/>
          </w:tcPr>
          <w:p>
            <w:pPr>
              <w:spacing w:after="0"/>
              <w:rPr>
                <w:sz w:val="24"/>
                <w:szCs w:val="24"/>
                <w:color w:val="auto"/>
              </w:rPr>
            </w:pPr>
          </w:p>
        </w:tc>
      </w:tr>
    </w:tbl>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r>
      <w:tr>
        <w:trPr>
          <w:trHeight w:val="27"/>
        </w:trPr>
        <w:tc>
          <w:tcPr>
            <w:tcW w:w="7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700" w:type="dxa"/>
            <w:vAlign w:val="bottom"/>
            <w:tcBorders>
              <w:bottom w:val="single" w:sz="8" w:color="CCEEFF"/>
            </w:tcBorders>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Schedule I - Condensed Financial Information of Parent (Icahn Enterprises L.P.)</w:t>
              </w:r>
            </w:hyperlink>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7700" w:type="dxa"/>
            <w:vAlign w:val="bottom"/>
          </w:tcPr>
          <w:p>
            <w:pPr>
              <w:ind w:left="60"/>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Schedule I - Condensed Financial Information of Parent (Icahn Enterprises Holdings L.P.)</w:t>
              </w:r>
            </w:hyperlink>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25"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have been omitted because the required financial information is not applicable, immaterial or the information is shown in the consolidated financial statements or notes thereto.</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9"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list of exhibits required by Item 601 of Regulation S-K and filed as part of this Report is set forth in the Exhibit Index.</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tbl>
      <w:tblPr>
        <w:tblLayout w:type="fixed"/>
        <w:tblInd w:w="40" w:type="dxa"/>
        <w:tblCellMar>
          <w:top w:w="0" w:type="dxa"/>
          <w:left w:w="0" w:type="dxa"/>
          <w:bottom w:w="0" w:type="dxa"/>
          <w:right w:w="0" w:type="dxa"/>
        </w:tblCellMar>
      </w:tblPr>
      <w:tr>
        <w:trPr>
          <w:trHeight w:val="234"/>
        </w:trPr>
        <w:tc>
          <w:tcPr>
            <w:tcW w:w="6820" w:type="dxa"/>
            <w:vAlign w:val="bottom"/>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36"/>
        </w:trPr>
        <w:tc>
          <w:tcPr>
            <w:tcW w:w="682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68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ICAHN ENTERPRISES, L.P.</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8"/>
        </w:trPr>
        <w:tc>
          <w:tcPr>
            <w:tcW w:w="68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(Parent Company)</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68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5"/>
        </w:trPr>
        <w:tc>
          <w:tcPr>
            <w:tcW w:w="6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96"/>
        </w:trPr>
        <w:tc>
          <w:tcPr>
            <w:tcW w:w="6820" w:type="dxa"/>
            <w:vAlign w:val="bottom"/>
          </w:tcPr>
          <w:p>
            <w:pPr>
              <w:spacing w:after="0"/>
              <w:rPr>
                <w:sz w:val="17"/>
                <w:szCs w:val="17"/>
                <w:color w:val="auto"/>
              </w:rPr>
            </w:pP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(In millions, except unit amounts)</w:t>
            </w:r>
          </w:p>
        </w:tc>
      </w:tr>
      <w:tr>
        <w:trPr>
          <w:trHeight w:val="216"/>
        </w:trPr>
        <w:tc>
          <w:tcPr>
            <w:tcW w:w="682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in subsidiaries, net</w:t>
            </w: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11,853</w:t>
            </w: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82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09"/>
        </w:trPr>
        <w:tc>
          <w:tcPr>
            <w:tcW w:w="6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w:t>
            </w:r>
          </w:p>
        </w:tc>
      </w:tr>
      <w:tr>
        <w:trPr>
          <w:trHeight w:val="210"/>
        </w:trPr>
        <w:tc>
          <w:tcPr>
            <w:tcW w:w="6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8"/>
        </w:trPr>
        <w:tc>
          <w:tcPr>
            <w:tcW w:w="6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241,338,835 units issued and outstanding at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2020 and 214,078,558 units issued and outstanding at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2019</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0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11,853</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tbl>
      <w:tblPr>
        <w:tblLayout w:type="fixed"/>
        <w:tblInd w:w="40" w:type="dxa"/>
        <w:tblCellMar>
          <w:top w:w="0" w:type="dxa"/>
          <w:left w:w="0" w:type="dxa"/>
          <w:bottom w:w="0" w:type="dxa"/>
          <w:right w:w="0" w:type="dxa"/>
        </w:tblCellMar>
      </w:tblPr>
      <w:tr>
        <w:trPr>
          <w:trHeight w:val="234"/>
        </w:trPr>
        <w:tc>
          <w:tcPr>
            <w:tcW w:w="3060" w:type="dxa"/>
            <w:vAlign w:val="bottom"/>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936"/>
        </w:trPr>
        <w:tc>
          <w:tcPr>
            <w:tcW w:w="3060" w:type="dxa"/>
            <w:vAlign w:val="bottom"/>
          </w:tcPr>
          <w:p>
            <w:pPr>
              <w:spacing w:after="0"/>
              <w:rPr>
                <w:sz w:val="24"/>
                <w:szCs w:val="24"/>
                <w:color w:val="auto"/>
              </w:rPr>
            </w:pPr>
          </w:p>
        </w:tc>
        <w:tc>
          <w:tcPr>
            <w:tcW w:w="3120" w:type="dxa"/>
            <w:vAlign w:val="bottom"/>
            <w:gridSpan w:val="2"/>
          </w:tcPr>
          <w:p>
            <w:pPr>
              <w:jc w:val="center"/>
              <w:ind w:right="216"/>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3120" w:type="dxa"/>
            <w:vAlign w:val="bottom"/>
            <w:gridSpan w:val="2"/>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8"/>
              </w:rPr>
              <w:t>ICAHN ENTERPRISES, L.P.</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3060" w:type="dxa"/>
            <w:vAlign w:val="bottom"/>
          </w:tcPr>
          <w:p>
            <w:pPr>
              <w:spacing w:after="0"/>
              <w:rPr>
                <w:sz w:val="20"/>
                <w:szCs w:val="20"/>
                <w:color w:val="auto"/>
              </w:rPr>
            </w:pPr>
          </w:p>
        </w:tc>
        <w:tc>
          <w:tcPr>
            <w:tcW w:w="3120" w:type="dxa"/>
            <w:vAlign w:val="bottom"/>
            <w:gridSpan w:val="2"/>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rPr>
              <w:t>(Parent Company)</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7020" w:type="dxa"/>
            <w:vAlign w:val="bottom"/>
            <w:gridSpan w:val="5"/>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5"/>
        </w:trPr>
        <w:tc>
          <w:tcPr>
            <w:tcW w:w="3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10"/>
        </w:trPr>
        <w:tc>
          <w:tcPr>
            <w:tcW w:w="30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196"/>
        </w:trPr>
        <w:tc>
          <w:tcPr>
            <w:tcW w:w="30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income of subsidiaries</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5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9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196"/>
        </w:trPr>
        <w:tc>
          <w:tcPr>
            <w:tcW w:w="3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allocated to:</w:t>
            </w: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3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Limited partners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16"/>
        </w:trPr>
        <w:tc>
          <w:tcPr>
            <w:tcW w:w="3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09"/>
        </w:trPr>
        <w:tc>
          <w:tcPr>
            <w:tcW w:w="30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0"/>
        </w:trPr>
        <w:tc>
          <w:tcPr>
            <w:tcW w:w="3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tbl>
      <w:tblPr>
        <w:tblLayout w:type="fixed"/>
        <w:tblInd w:w="40" w:type="dxa"/>
        <w:tblCellMar>
          <w:top w:w="0" w:type="dxa"/>
          <w:left w:w="0" w:type="dxa"/>
          <w:bottom w:w="0" w:type="dxa"/>
          <w:right w:w="0" w:type="dxa"/>
        </w:tblCellMar>
      </w:tblPr>
      <w:tr>
        <w:trPr>
          <w:trHeight w:val="234"/>
        </w:trPr>
        <w:tc>
          <w:tcPr>
            <w:tcW w:w="6020" w:type="dxa"/>
            <w:vAlign w:val="bottom"/>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6"/>
        </w:trPr>
        <w:tc>
          <w:tcPr>
            <w:tcW w:w="60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8"/>
              </w:rPr>
              <w:t>ICAHN ENTERPRISES, L.P.</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(Parent Company)</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2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198"/>
        </w:trPr>
        <w:tc>
          <w:tcPr>
            <w:tcW w:w="60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income to net cash used in operating</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loss (income) of subsidiary</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and advances from subsidiaries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contributions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 and other</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74"/>
        </w:trPr>
        <w:tc>
          <w:tcPr>
            <w:tcW w:w="60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 and restricted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6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60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16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our sole general partner, which is owned and controlled by Carl C. Icahn, owns a 1% general partner interest in both us and Icahn Enterprises Holdings, representing an aggregate 1.99% general partner interest in us and Icahn Enterprises Holdings. As of December 31, 2020, Icahn Enterprises is engaged in the following continuing operating businesses: </w:t>
      </w:r>
      <w:r>
        <w:rPr>
          <w:rFonts w:ascii="Times New Roman" w:cs="Times New Roman" w:eastAsia="Times New Roman" w:hAnsi="Times New Roman"/>
          <w:sz w:val="18"/>
          <w:szCs w:val="18"/>
          <w:color w:val="231F20"/>
        </w:rPr>
        <w:t>Investment, Energy, Automotive, Food Packaging, Metals, Real Estate, Home Fashion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as of December 2020, Pharma</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Icahn Enterprises received (paid) $1,276 million, $(363) million and $433 million, respectively, for net investment in and advances from subsidiaries.</w:t>
      </w:r>
    </w:p>
    <w:p>
      <w:pPr>
        <w:spacing w:after="0" w:line="162"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condensed financial statements of Icahn Enterprises should be read in conjunction with the consolidated financial statements and notes thereto included in Item 8 of this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Debt</w:t>
      </w:r>
    </w:p>
    <w:p>
      <w:pPr>
        <w:spacing w:after="0" w:line="229"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See Note 11, “Debt,” to the consolidated financial statements located in Item 8 of this Report. Icahn Enterprises’ Parent company debt consists of the following: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r>
      <w:tr>
        <w:trPr>
          <w:trHeight w:val="209"/>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2019</w:t>
            </w:r>
          </w:p>
        </w:tc>
      </w:tr>
      <w:tr>
        <w:trPr>
          <w:trHeight w:val="196"/>
        </w:trPr>
        <w:tc>
          <w:tcPr>
            <w:tcW w:w="6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7"/>
                <w:szCs w:val="17"/>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5.875% senior unsecured notes due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6.750% senior unsecured notes due 2024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unsecured notes due 2024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Commitments and Contingencies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18, “Commitments and Contingencies,”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tbl>
      <w:tblPr>
        <w:tblLayout w:type="fixed"/>
        <w:tblInd w:w="40" w:type="dxa"/>
        <w:tblCellMar>
          <w:top w:w="0" w:type="dxa"/>
          <w:left w:w="0" w:type="dxa"/>
          <w:bottom w:w="0" w:type="dxa"/>
          <w:right w:w="0" w:type="dxa"/>
        </w:tblCellMar>
      </w:tblPr>
      <w:tr>
        <w:trPr>
          <w:trHeight w:val="234"/>
        </w:trPr>
        <w:tc>
          <w:tcPr>
            <w:tcW w:w="6820" w:type="dxa"/>
            <w:vAlign w:val="bottom"/>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936"/>
        </w:trPr>
        <w:tc>
          <w:tcPr>
            <w:tcW w:w="682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682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8"/>
        </w:trPr>
        <w:tc>
          <w:tcPr>
            <w:tcW w:w="68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(Parent Company)</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68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45"/>
        </w:trPr>
        <w:tc>
          <w:tcPr>
            <w:tcW w:w="6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4"/>
              </w:rPr>
              <w:t>2019</w:t>
            </w:r>
          </w:p>
        </w:tc>
      </w:tr>
      <w:tr>
        <w:trPr>
          <w:trHeight w:val="196"/>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660" w:type="dxa"/>
            <w:vAlign w:val="bottom"/>
          </w:tcPr>
          <w:p>
            <w:pPr>
              <w:spacing w:after="0"/>
              <w:rPr>
                <w:sz w:val="17"/>
                <w:szCs w:val="17"/>
                <w:color w:val="auto"/>
              </w:rPr>
            </w:pPr>
          </w:p>
        </w:tc>
      </w:tr>
      <w:tr>
        <w:trPr>
          <w:trHeight w:val="216"/>
        </w:trPr>
        <w:tc>
          <w:tcPr>
            <w:tcW w:w="682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subsidiaries, net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r>
      <w:tr>
        <w:trPr>
          <w:trHeight w:val="24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11,869</w:t>
            </w:r>
          </w:p>
        </w:tc>
      </w:tr>
      <w:tr>
        <w:trPr>
          <w:trHeight w:val="197"/>
        </w:trPr>
        <w:tc>
          <w:tcPr>
            <w:tcW w:w="6820" w:type="dxa"/>
            <w:vAlign w:val="bottom"/>
            <w:shd w:val="clear" w:color="auto" w:fill="CCEEFF"/>
          </w:tcPr>
          <w:p>
            <w:pPr>
              <w:ind w:left="2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10"/>
        </w:trPr>
        <w:tc>
          <w:tcPr>
            <w:tcW w:w="6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r>
      <w:tr>
        <w:trPr>
          <w:trHeight w:val="209"/>
        </w:trPr>
        <w:tc>
          <w:tcPr>
            <w:tcW w:w="6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(896)</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11,869</w:t>
            </w: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tbl>
      <w:tblPr>
        <w:tblLayout w:type="fixed"/>
        <w:tblInd w:w="40" w:type="dxa"/>
        <w:tblCellMar>
          <w:top w:w="0" w:type="dxa"/>
          <w:left w:w="0" w:type="dxa"/>
          <w:bottom w:w="0" w:type="dxa"/>
          <w:right w:w="0" w:type="dxa"/>
        </w:tblCellMar>
      </w:tblPr>
      <w:tr>
        <w:trPr>
          <w:trHeight w:val="234"/>
        </w:trPr>
        <w:tc>
          <w:tcPr>
            <w:tcW w:w="6200" w:type="dxa"/>
            <w:vAlign w:val="bottom"/>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6"/>
        </w:trPr>
        <w:tc>
          <w:tcPr>
            <w:tcW w:w="620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rPr>
              <w:t>(Parent Company)</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60" w:type="dxa"/>
            <w:vAlign w:val="bottom"/>
            <w:gridSpan w:val="4"/>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gain from investment activities</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income of subsidiaries</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from operations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allocated to:</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Limited partner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partner</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tbl>
      <w:tblPr>
        <w:tblLayout w:type="fixed"/>
        <w:tblInd w:w="40" w:type="dxa"/>
        <w:tblCellMar>
          <w:top w:w="0" w:type="dxa"/>
          <w:left w:w="0" w:type="dxa"/>
          <w:bottom w:w="0" w:type="dxa"/>
          <w:right w:w="0" w:type="dxa"/>
        </w:tblCellMar>
      </w:tblPr>
      <w:tr>
        <w:trPr>
          <w:trHeight w:val="234"/>
        </w:trPr>
        <w:tc>
          <w:tcPr>
            <w:tcW w:w="6340" w:type="dxa"/>
            <w:vAlign w:val="bottom"/>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6"/>
        </w:trPr>
        <w:tc>
          <w:tcPr>
            <w:tcW w:w="634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ICAHN ENTERPRISES HOLDINGS L.P.</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4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(Parent Company)</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6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loss (income) of subsidiary</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gains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advances from subsidiaries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the disposition of fixed assets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 contributions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74"/>
        </w:trPr>
        <w:tc>
          <w:tcPr>
            <w:tcW w:w="63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 and restricted cash</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178"/>
        </w:trPr>
        <w:tc>
          <w:tcPr>
            <w:tcW w:w="63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 end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6"/>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22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Icahn Enterprises Holdings L.P. (“Icahn Enterprises Holdings”) is a limited partnership formed in Delaware on February 17, 1987. Our sole limited partner is Icahn Enterprises L.P., a master limited partnership which owns a 99% interest in us. Icahn Enterprises G.P. Inc., our sole 1% general partner, is a Delaware corporation which is owned and controlled by Carl C. Icahn. As of December 31, 2020, Icahn Enterprises Holdings is engaged in the following continuing operating businesses: </w:t>
      </w:r>
      <w:r>
        <w:rPr>
          <w:rFonts w:ascii="Times New Roman" w:cs="Times New Roman" w:eastAsia="Times New Roman" w:hAnsi="Times New Roman"/>
          <w:sz w:val="18"/>
          <w:szCs w:val="18"/>
          <w:color w:val="231F20"/>
        </w:rPr>
        <w:t>Investment, Energy, Automotive, Food Packaging, Metals, Real Estate, Home Fashion and,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December 2020, Pharma</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Icahn Enterprises Holdings received $1,093 million, $567 million and $238 million, respectively, for net advances from subsidiaries.</w:t>
      </w:r>
    </w:p>
    <w:p>
      <w:pPr>
        <w:spacing w:after="0" w:line="162"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condensed financial statements of Icahn Enterprises Holdings should be read in conjunction with the consolidated financial statements and notes thereto included in Item 8 of this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Debt</w:t>
      </w:r>
    </w:p>
    <w:p>
      <w:pPr>
        <w:spacing w:after="0" w:line="229"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See Note 11, “Debt,” to the consolidated financial statements located in Item 8 of this Report. Icahn Enterprises Holdings’ Parent company debt consists of the following: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196"/>
        </w:trPr>
        <w:tc>
          <w:tcPr>
            <w:tcW w:w="6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660" w:type="dxa"/>
            <w:vAlign w:val="bottom"/>
          </w:tcPr>
          <w:p>
            <w:pPr>
              <w:spacing w:after="0"/>
              <w:rPr>
                <w:sz w:val="17"/>
                <w:szCs w:val="17"/>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5.875% senior unsecured notes due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6.750% senior unsecured notes due 2024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unsecured notes due 2024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6.375% senior unsecured notes due 2025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unsecured notes due 2026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unsecured notes due 2027</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Commitments and Contingencies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18, “Commitments and Contingencies,”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4" w:lineRule="exact"/>
        <w:rPr>
          <w:sz w:val="20"/>
          <w:szCs w:val="20"/>
          <w:color w:val="auto"/>
        </w:rPr>
      </w:pPr>
    </w:p>
    <w:p>
      <w:pPr>
        <w:ind w:left="60"/>
        <w:spacing w:after="0"/>
        <w:tabs>
          <w:tab w:leader="none" w:pos="45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54" w:lineRule="exact"/>
        <w:rPr>
          <w:sz w:val="20"/>
          <w:szCs w:val="20"/>
          <w:color w:val="auto"/>
        </w:rPr>
      </w:pPr>
    </w:p>
    <w:p>
      <w:pPr>
        <w:ind w:left="1080" w:right="99" w:hanging="692"/>
        <w:spacing w:after="0" w:line="257"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82">
        <w:r>
          <w:rPr>
            <w:rFonts w:ascii="Times New Roman" w:cs="Times New Roman" w:eastAsia="Times New Roman" w:hAnsi="Times New Roman"/>
            <w:sz w:val="18"/>
            <w:szCs w:val="18"/>
            <w:u w:val="single" w:color="auto"/>
            <w:color w:val="0000EE"/>
          </w:rPr>
          <w:t>Agreement and Plan of Merger, dated as of September 6, 2016, by and among Federal Mogul Holdings</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Corporation, American Entertainment Properties Corp. and IEH FM Holdings LLC (incorporated by</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reference to Exhibit 2.1 to Icahn Enterprises’ Form 8-K (SEC File No. 1-9516), filed on September 7, 2016).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39370</wp:posOffset>
            </wp:positionH>
            <wp:positionV relativeFrom="paragraph">
              <wp:posOffset>-418465</wp:posOffset>
            </wp:positionV>
            <wp:extent cx="56489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1080" w:right="199" w:hanging="692"/>
        <w:spacing w:after="0" w:line="250"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184">
        <w:r>
          <w:rPr>
            <w:rFonts w:ascii="Times New Roman" w:cs="Times New Roman" w:eastAsia="Times New Roman" w:hAnsi="Times New Roman"/>
            <w:sz w:val="18"/>
            <w:szCs w:val="18"/>
            <w:u w:val="single" w:color="auto"/>
            <w:color w:val="0000EE"/>
          </w:rPr>
          <w:t>Equity Asset and Purchase Agreement, dated as of December 16, 2016, by and among American Railcar</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Leasing LLC, American Entertainment Properties Corp., AEP Rail Corp., SMBC Rail Services LLC and</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Sumitomo Mitsui Banking Corporation (incorporated by reference to Exhibit 2.1 to Icahn Enterprises’ and</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Icahn Enterprises Holdings’ joint Form 8-K (SEC File Nos. 1-9516 and 333-118021-01, respectively), filed</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on December 19, 2016)</w:t>
        </w:r>
        <w:r>
          <w:rPr>
            <w:rFonts w:ascii="Times New Roman" w:cs="Times New Roman" w:eastAsia="Times New Roman" w:hAnsi="Times New Roman"/>
            <w:sz w:val="18"/>
            <w:szCs w:val="18"/>
            <w:u w:val="single" w:color="auto"/>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2.3</w:t>
      </w:r>
      <w:r>
        <w:rPr>
          <w:sz w:val="20"/>
          <w:szCs w:val="20"/>
          <w:color w:val="auto"/>
        </w:rPr>
        <w:tab/>
      </w:r>
      <w:hyperlink r:id="rId185">
        <w:r>
          <w:rPr>
            <w:rFonts w:ascii="Times New Roman" w:cs="Times New Roman" w:eastAsia="Times New Roman" w:hAnsi="Times New Roman"/>
            <w:sz w:val="18"/>
            <w:szCs w:val="18"/>
            <w:u w:val="single" w:color="auto"/>
            <w:color w:val="0000EE"/>
          </w:rPr>
          <w:t>Membership Interest Purchase Agreement, dated April 10, 2018, by and among Tenneco Inc., Federal-Mogul</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LLC, American Entertainment Properties Corp., and Icahn Enterprises L.P. (incorporated by reference to</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Exhibit 2.1 to Icahn Enterprises’ and Icahn Enterprises Holdings’ joint Form 8-K (SEC File Nos. 1-9516 and</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333-118021-01, respectively) file April 10, 2018)</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5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2.4</w:t>
      </w:r>
      <w:r>
        <w:rPr>
          <w:sz w:val="20"/>
          <w:szCs w:val="20"/>
          <w:color w:val="auto"/>
        </w:rPr>
        <w:tab/>
      </w:r>
      <w:hyperlink r:id="rId186">
        <w:r>
          <w:rPr>
            <w:rFonts w:ascii="Times New Roman" w:cs="Times New Roman" w:eastAsia="Times New Roman" w:hAnsi="Times New Roman"/>
            <w:sz w:val="18"/>
            <w:szCs w:val="18"/>
            <w:u w:val="single" w:color="auto"/>
            <w:color w:val="0000EE"/>
          </w:rPr>
          <w:t>Agreement and Plan of Merger, dated April 15, 2018, by and among Eldorado Resorts, Inc., Delta Merger</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Sub, Inc., GLP Capital, L.P. and Tropicana Entertainment Inc. (incorporated by reference to Exhibit 2.1 to</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Icahn Enterprises’ and Icahn Enterprises Holdings’ joint Form 8-K (SEC File Nos. 1-9516 and 333-118021-</w:t>
        </w:r>
      </w:hyperlink>
      <w:hyperlink r:id="rId186">
        <w:r>
          <w:rPr>
            <w:rFonts w:ascii="Times New Roman" w:cs="Times New Roman" w:eastAsia="Times New Roman" w:hAnsi="Times New Roman"/>
            <w:sz w:val="18"/>
            <w:szCs w:val="18"/>
            <w:u w:val="single" w:color="auto"/>
            <w:color w:val="0000EE"/>
          </w:rPr>
          <w:t>01, respectively) file April 16, 2018)</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25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2.5</w:t>
      </w:r>
      <w:r>
        <w:rPr>
          <w:sz w:val="20"/>
          <w:szCs w:val="20"/>
          <w:color w:val="auto"/>
        </w:rPr>
        <w:tab/>
      </w:r>
      <w:hyperlink r:id="rId187">
        <w:r>
          <w:rPr>
            <w:rFonts w:ascii="Times New Roman" w:cs="Times New Roman" w:eastAsia="Times New Roman" w:hAnsi="Times New Roman"/>
            <w:sz w:val="18"/>
            <w:szCs w:val="18"/>
            <w:u w:val="single" w:color="auto"/>
            <w:color w:val="0000EE"/>
          </w:rPr>
          <w:t>Agreement and Plan of Merger, dated as of October 22, 2018, by and between STL Parent Corp. and</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American Railcar Industries, Inc. (incorporated by reference to Exhibit 2.1 to Icahn Enterprises’ and Icahn</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Enterprises Holdings’ joint Form 8-K (SEC File Nos. 1-9516 and 333-118021-01, respectively) file</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October 22, 2018)</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3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3.1</w:t>
      </w:r>
      <w:r>
        <w:rPr>
          <w:sz w:val="20"/>
          <w:szCs w:val="20"/>
          <w:color w:val="auto"/>
        </w:rPr>
        <w:tab/>
      </w:r>
      <w:hyperlink r:id="rId188">
        <w:r>
          <w:rPr>
            <w:rFonts w:ascii="Times New Roman" w:cs="Times New Roman" w:eastAsia="Times New Roman" w:hAnsi="Times New Roman"/>
            <w:sz w:val="18"/>
            <w:szCs w:val="18"/>
            <w:u w:val="single" w:color="auto"/>
            <w:color w:val="0000EE"/>
          </w:rPr>
          <w:t>Certificate of Limited Partnership of Icahn Enterprises L.P., f/k/a American Real Estate Partners, L.P.</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(“Icahn Enterprises”) dated February 17, 1987, as thereafter amended from time to time (incorporated by</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reference to Exhibit 3.1 to Icahn Enterprises’ Form 8-K (SEC File No. 1-9516), filed on September 20,</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2007)</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99" w:hanging="692"/>
        <w:spacing w:after="0" w:line="250"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89">
        <w:r>
          <w:rPr>
            <w:rFonts w:ascii="Times New Roman" w:cs="Times New Roman" w:eastAsia="Times New Roman" w:hAnsi="Times New Roman"/>
            <w:sz w:val="18"/>
            <w:szCs w:val="18"/>
            <w:u w:val="single" w:color="auto"/>
            <w:color w:val="0000EE"/>
          </w:rPr>
          <w:t>Certificate of Limited Partnership of Icahn Enterprises Holdings L.P., f/k/a American Real Estate Holdings</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Limited Partnership (“Icahn Enterprises Holdings”), dated February 17, 1987, as amended pursuant to the</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First Amendment thereto, dated March 10, 1987 (incorporated by reference to Exhibit 3.5 to Icahn</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Enterprises’ Form 10-Q for the quarter ended March 31, 2004 (SEC File No. 1-9516), filed on May 10,</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2004, as further amended pursuant to the Certificate of Amendment thereto, dated September 17, 2007</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(incorporated by reference to Exhibit 3.9 to Icahn Enterprises’ Form 10-K for the year ended December 31,</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2007 (SEC File No. 1-9516), filed on March 17, 2008)</w:t>
        </w:r>
        <w:r>
          <w:rPr>
            <w:rFonts w:ascii="Times New Roman" w:cs="Times New Roman" w:eastAsia="Times New Roman" w:hAnsi="Times New Roman"/>
            <w:sz w:val="18"/>
            <w:szCs w:val="18"/>
            <w:u w:val="single" w:color="auto"/>
            <w:color w:val="000000"/>
          </w:rPr>
          <w:t>.</w:t>
        </w:r>
      </w:hyperlink>
    </w:p>
    <w:p>
      <w:pPr>
        <w:spacing w:after="0" w:line="3" w:lineRule="exact"/>
        <w:rPr>
          <w:rFonts w:ascii="Times New Roman" w:cs="Times New Roman" w:eastAsia="Times New Roman" w:hAnsi="Times New Roman"/>
          <w:sz w:val="18"/>
          <w:szCs w:val="18"/>
          <w:u w:val="single" w:color="auto"/>
          <w:color w:val="0000EE"/>
        </w:rPr>
      </w:pPr>
    </w:p>
    <w:p>
      <w:pPr>
        <w:ind w:left="1080" w:right="13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3.3</w:t>
      </w:r>
      <w:r>
        <w:rPr>
          <w:sz w:val="20"/>
          <w:szCs w:val="20"/>
          <w:color w:val="auto"/>
        </w:rPr>
        <w:tab/>
      </w:r>
      <w:hyperlink r:id="rId190">
        <w:r>
          <w:rPr>
            <w:rFonts w:ascii="Times New Roman" w:cs="Times New Roman" w:eastAsia="Times New Roman" w:hAnsi="Times New Roman"/>
            <w:sz w:val="18"/>
            <w:szCs w:val="18"/>
            <w:u w:val="single" w:color="auto"/>
            <w:color w:val="0000EE"/>
          </w:rPr>
          <w:t>Second Amended and Restated Agreement of Limited Partnership of Icahn Enterprises L.P., dated August 2,</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2016 (incorporated by reference to Exhibit 3.1 to Icahn Enterprises’ and Icahn Enterprises Holdings’ joint</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Form 10-Q for the quarterly period ended June 30, 2016 (SEC File Nos. 1-9516 and 333-118021-01,</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respectively), filed on August 4, 2016)</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5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3.4</w:t>
      </w:r>
      <w:r>
        <w:rPr>
          <w:sz w:val="20"/>
          <w:szCs w:val="20"/>
          <w:color w:val="auto"/>
        </w:rPr>
        <w:tab/>
      </w:r>
      <w:hyperlink r:id="rId191">
        <w:r>
          <w:rPr>
            <w:rFonts w:ascii="Times New Roman" w:cs="Times New Roman" w:eastAsia="Times New Roman" w:hAnsi="Times New Roman"/>
            <w:sz w:val="18"/>
            <w:szCs w:val="18"/>
            <w:u w:val="single" w:color="auto"/>
            <w:color w:val="0000EE"/>
          </w:rPr>
          <w:t>Amended and Restated Agreement of Limited Partnership of Icahn Enterprises Holdings, dated as of July 1,</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1987 (incorporated by reference to Exhibit 3.5 to Icahn Enterprises’ Form 10-Q for the quarter ended</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March 31, 2004 (SEC File No. 1-9516), filed on May 10, 2004)</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1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3.5</w:t>
      </w:r>
      <w:r>
        <w:rPr>
          <w:sz w:val="20"/>
          <w:szCs w:val="20"/>
          <w:color w:val="auto"/>
        </w:rPr>
        <w:tab/>
      </w:r>
      <w:hyperlink r:id="rId192">
        <w:r>
          <w:rPr>
            <w:rFonts w:ascii="Times New Roman" w:cs="Times New Roman" w:eastAsia="Times New Roman" w:hAnsi="Times New Roman"/>
            <w:sz w:val="18"/>
            <w:szCs w:val="18"/>
            <w:u w:val="single" w:color="auto"/>
            <w:color w:val="0000EE"/>
          </w:rPr>
          <w:t>Amendment No. 1 to the Amended and Restated Agreement of Limited Partnership of Icahn Enterprises</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Holdings, dated August 16, 1996 (incorporated by reference to Exhibit 10.2 to Icahn Enterprises’ Form 8-K</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(SEC File No. 1-9516), filed on August 16, 1996)</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11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3.6</w:t>
      </w:r>
      <w:r>
        <w:rPr>
          <w:sz w:val="20"/>
          <w:szCs w:val="20"/>
          <w:color w:val="auto"/>
        </w:rPr>
        <w:tab/>
      </w:r>
      <w:hyperlink r:id="rId193">
        <w:r>
          <w:rPr>
            <w:rFonts w:ascii="Times New Roman" w:cs="Times New Roman" w:eastAsia="Times New Roman" w:hAnsi="Times New Roman"/>
            <w:sz w:val="18"/>
            <w:szCs w:val="18"/>
            <w:u w:val="single" w:color="auto"/>
            <w:color w:val="0000EE"/>
          </w:rPr>
          <w:t>Amendment No. 2 to the Amended and Restated Agreement of Limited Partnership of Icahn Enterprises</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Holdings, dated June 14, 2002 (incorporated by reference to Exhibit 3.9 to Icahn Enterprises’ Form 10-K for</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the year ended December 31, 2002 (SEC File No. 1-9516), filed on March 31, 2003)</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11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3.7</w:t>
      </w:r>
      <w:r>
        <w:rPr>
          <w:sz w:val="20"/>
          <w:szCs w:val="20"/>
          <w:color w:val="auto"/>
        </w:rPr>
        <w:tab/>
      </w:r>
      <w:hyperlink r:id="rId194">
        <w:r>
          <w:rPr>
            <w:rFonts w:ascii="Times New Roman" w:cs="Times New Roman" w:eastAsia="Times New Roman" w:hAnsi="Times New Roman"/>
            <w:sz w:val="18"/>
            <w:szCs w:val="18"/>
            <w:u w:val="single" w:color="auto"/>
            <w:color w:val="0000EE"/>
          </w:rPr>
          <w:t>Amendment No. 3 to the Amended and Restated Agreement of Limited Partnership of Icahn Enterprises</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Holdings, dated June 29, 2005 (incorporated by reference to Exhibit 3.2 to Icahn Enterprises’ Form 10-Q for</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the quarter ended June 30, 2005 (SEC File No. 1-9516), filed on August 9, 2005)</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419" w:hanging="692"/>
        <w:spacing w:after="0" w:line="255"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3.8</w:t>
      </w:r>
      <w:r>
        <w:rPr>
          <w:sz w:val="20"/>
          <w:szCs w:val="20"/>
          <w:color w:val="auto"/>
        </w:rPr>
        <w:tab/>
      </w:r>
      <w:hyperlink r:id="rId195">
        <w:r>
          <w:rPr>
            <w:rFonts w:ascii="Times New Roman" w:cs="Times New Roman" w:eastAsia="Times New Roman" w:hAnsi="Times New Roman"/>
            <w:sz w:val="18"/>
            <w:szCs w:val="18"/>
            <w:u w:val="single" w:color="auto"/>
            <w:color w:val="0000EE"/>
          </w:rPr>
          <w:t>Amendment No. 4 to the Amended and Restated Agreement of Limited Partnership of Icahn Enterprises</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Holdings, dated September 17, 2007 (incorporated by reference to Exhibit 3.11 to Icahn Enterprises’</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Form 10-K for the year ended December 31, 2007 (SEC File No. 1-9516), filed on March 17, 2008)</w:t>
        </w:r>
        <w:r>
          <w:rPr>
            <w:rFonts w:ascii="Times New Roman" w:cs="Times New Roman" w:eastAsia="Times New Roman" w:hAnsi="Times New Roman"/>
            <w:sz w:val="18"/>
            <w:szCs w:val="18"/>
            <w:u w:val="single" w:color="auto"/>
            <w:color w:val="000000"/>
          </w:rPr>
          <w:t>.</w:t>
        </w:r>
      </w:hyperlink>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2"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7" w:name="page158"/>
    <w:bookmarkEnd w:id="157"/>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80" w:right="339" w:hanging="692"/>
        <w:spacing w:after="0" w:line="257"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w:t>
      </w:r>
      <w:r>
        <w:rPr>
          <w:sz w:val="20"/>
          <w:szCs w:val="20"/>
          <w:color w:val="auto"/>
        </w:rPr>
        <w:tab/>
      </w:r>
      <w:hyperlink r:id="rId197">
        <w:r>
          <w:rPr>
            <w:rFonts w:ascii="Times New Roman" w:cs="Times New Roman" w:eastAsia="Times New Roman" w:hAnsi="Times New Roman"/>
            <w:sz w:val="18"/>
            <w:szCs w:val="18"/>
            <w:u w:val="single" w:color="auto"/>
            <w:color w:val="0000EE"/>
          </w:rPr>
          <w:t>Description of securities (incorporated by reference to Exhibit 4.1 to Icahn Enterprises’ and Icahn</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Enterprises Holdings’ joint Form 10-K for the year ended December 31, 2019 (SEC File Nos. 1-9516 and</w:t>
        </w:r>
      </w:hyperlink>
      <w:r>
        <w:rPr>
          <w:rFonts w:ascii="Times New Roman" w:cs="Times New Roman" w:eastAsia="Times New Roman" w:hAnsi="Times New Roman"/>
          <w:sz w:val="18"/>
          <w:szCs w:val="18"/>
          <w:u w:val="single" w:color="auto"/>
          <w:color w:val="0000EE"/>
        </w:rPr>
        <w:t xml:space="preserve"> </w:t>
      </w:r>
      <w:hyperlink r:id="rId197">
        <w:r>
          <w:rPr>
            <w:rFonts w:ascii="Times New Roman" w:cs="Times New Roman" w:eastAsia="Times New Roman" w:hAnsi="Times New Roman"/>
            <w:sz w:val="18"/>
            <w:szCs w:val="18"/>
            <w:u w:val="single" w:color="auto"/>
            <w:color w:val="0000EE"/>
          </w:rPr>
          <w:t>333-118021-01, respectively), filed on February 28, 2020)</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1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4.2</w:t>
      </w:r>
      <w:r>
        <w:rPr>
          <w:sz w:val="20"/>
          <w:szCs w:val="20"/>
          <w:color w:val="auto"/>
        </w:rPr>
        <w:tab/>
      </w:r>
      <w:hyperlink r:id="rId198">
        <w:r>
          <w:rPr>
            <w:rFonts w:ascii="Times New Roman" w:cs="Times New Roman" w:eastAsia="Times New Roman" w:hAnsi="Times New Roman"/>
            <w:sz w:val="18"/>
            <w:szCs w:val="18"/>
            <w:u w:val="single" w:color="auto"/>
            <w:color w:val="0000EE"/>
          </w:rPr>
          <w:t>Form of Transfer Application (incorporated by reference to Exhibit 4.4 to Icahn Enterprises’ Form 10-K for</w:t>
        </w:r>
      </w:hyperlink>
      <w:r>
        <w:rPr>
          <w:rFonts w:ascii="Times New Roman" w:cs="Times New Roman" w:eastAsia="Times New Roman" w:hAnsi="Times New Roman"/>
          <w:sz w:val="18"/>
          <w:szCs w:val="18"/>
          <w:u w:val="single" w:color="auto"/>
          <w:color w:val="0000EE"/>
        </w:rPr>
        <w:t xml:space="preserve"> </w:t>
      </w:r>
      <w:hyperlink r:id="rId198">
        <w:r>
          <w:rPr>
            <w:rFonts w:ascii="Times New Roman" w:cs="Times New Roman" w:eastAsia="Times New Roman" w:hAnsi="Times New Roman"/>
            <w:sz w:val="18"/>
            <w:szCs w:val="18"/>
            <w:u w:val="single" w:color="auto"/>
            <w:color w:val="0000EE"/>
          </w:rPr>
          <w:t>the year ended December 31, 2004 (SEC File No. 1-9516), filed on March 16, 2005)</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1080" w:right="15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4.3</w:t>
      </w:r>
      <w:r>
        <w:rPr>
          <w:sz w:val="20"/>
          <w:szCs w:val="20"/>
          <w:color w:val="auto"/>
        </w:rPr>
        <w:tab/>
      </w:r>
      <w:hyperlink r:id="rId199">
        <w:r>
          <w:rPr>
            <w:rFonts w:ascii="Times New Roman" w:cs="Times New Roman" w:eastAsia="Times New Roman" w:hAnsi="Times New Roman"/>
            <w:sz w:val="18"/>
            <w:szCs w:val="18"/>
            <w:u w:val="single" w:color="auto"/>
            <w:color w:val="0000EE"/>
          </w:rPr>
          <w:t>Specimen Depositary Receipt (incorporated by reference to Exhibit 4.3 to Icahn Enterprises’ Form 10-K for</w:t>
        </w:r>
      </w:hyperlink>
      <w:r>
        <w:rPr>
          <w:rFonts w:ascii="Times New Roman" w:cs="Times New Roman" w:eastAsia="Times New Roman" w:hAnsi="Times New Roman"/>
          <w:sz w:val="18"/>
          <w:szCs w:val="18"/>
          <w:u w:val="single" w:color="auto"/>
          <w:color w:val="0000EE"/>
        </w:rPr>
        <w:t xml:space="preserve"> </w:t>
      </w:r>
      <w:hyperlink r:id="rId199">
        <w:r>
          <w:rPr>
            <w:rFonts w:ascii="Times New Roman" w:cs="Times New Roman" w:eastAsia="Times New Roman" w:hAnsi="Times New Roman"/>
            <w:sz w:val="18"/>
            <w:szCs w:val="18"/>
            <w:u w:val="single" w:color="auto"/>
            <w:color w:val="0000EE"/>
          </w:rPr>
          <w:t>the year ended December 31, 2014 (SEC File No. 1-9516), filed on March 16, 2005)</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1080" w:right="219" w:hanging="692"/>
        <w:spacing w:after="0" w:line="250"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200">
        <w:r>
          <w:rPr>
            <w:rFonts w:ascii="Times New Roman" w:cs="Times New Roman" w:eastAsia="Times New Roman" w:hAnsi="Times New Roman"/>
            <w:sz w:val="18"/>
            <w:szCs w:val="18"/>
            <w:u w:val="single" w:color="auto"/>
            <w:color w:val="0000EE"/>
          </w:rPr>
          <w:t>Specimen Depositary Certificate (incorporated by reference to Exhibit 4.1 to Icahn Enterprises’ Form 10-Q</w:t>
        </w:r>
      </w:hyperlink>
      <w:r>
        <w:rPr>
          <w:rFonts w:ascii="Times New Roman" w:cs="Times New Roman" w:eastAsia="Times New Roman" w:hAnsi="Times New Roman"/>
          <w:sz w:val="18"/>
          <w:szCs w:val="18"/>
          <w:u w:val="single" w:color="auto"/>
          <w:color w:val="0000EE"/>
        </w:rPr>
        <w:t xml:space="preserve"> </w:t>
      </w:r>
      <w:hyperlink r:id="rId200">
        <w:r>
          <w:rPr>
            <w:rFonts w:ascii="Times New Roman" w:cs="Times New Roman" w:eastAsia="Times New Roman" w:hAnsi="Times New Roman"/>
            <w:sz w:val="18"/>
            <w:szCs w:val="18"/>
            <w:u w:val="single" w:color="auto"/>
            <w:color w:val="0000EE"/>
          </w:rPr>
          <w:t>for the quarterly period ended June 30, 2016 (SEC File No. 1-9516), filed on August 4, 2016)</w:t>
        </w:r>
        <w:r>
          <w:rPr>
            <w:rFonts w:ascii="Times New Roman" w:cs="Times New Roman" w:eastAsia="Times New Roman" w:hAnsi="Times New Roman"/>
            <w:sz w:val="18"/>
            <w:szCs w:val="18"/>
            <w:u w:val="single" w:color="auto"/>
            <w:color w:val="000000"/>
          </w:rPr>
          <w:t>.</w:t>
        </w:r>
      </w:hyperlink>
    </w:p>
    <w:p>
      <w:pPr>
        <w:spacing w:after="0" w:line="1" w:lineRule="exact"/>
        <w:rPr>
          <w:sz w:val="20"/>
          <w:szCs w:val="20"/>
          <w:color w:val="auto"/>
        </w:rPr>
      </w:pPr>
    </w:p>
    <w:p>
      <w:pPr>
        <w:ind w:left="1080" w:right="77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4.5</w:t>
      </w:r>
      <w:r>
        <w:rPr>
          <w:sz w:val="20"/>
          <w:szCs w:val="20"/>
          <w:color w:val="auto"/>
        </w:rPr>
        <w:tab/>
      </w:r>
      <w:hyperlink r:id="rId201">
        <w:r>
          <w:rPr>
            <w:rFonts w:ascii="Times New Roman" w:cs="Times New Roman" w:eastAsia="Times New Roman" w:hAnsi="Times New Roman"/>
            <w:sz w:val="18"/>
            <w:szCs w:val="18"/>
            <w:u w:val="single" w:color="auto"/>
            <w:color w:val="0000EE"/>
          </w:rPr>
          <w:t>Specimen Certificate representing preferred units (incorporated by reference to Exhibit 4.9 to Icahn</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Enterprises’ Form S-3/A (SEC File No. 33-54767), filed on February 22, 1995)</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jc w:val="both"/>
        <w:ind w:left="1080" w:right="11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4.6</w:t>
      </w:r>
      <w:r>
        <w:rPr>
          <w:sz w:val="20"/>
          <w:szCs w:val="20"/>
          <w:color w:val="auto"/>
        </w:rPr>
        <w:tab/>
      </w:r>
      <w:hyperlink r:id="rId202">
        <w:r>
          <w:rPr>
            <w:rFonts w:ascii="Times New Roman" w:cs="Times New Roman" w:eastAsia="Times New Roman" w:hAnsi="Times New Roman"/>
            <w:sz w:val="18"/>
            <w:szCs w:val="18"/>
            <w:u w:val="single" w:color="auto"/>
            <w:color w:val="0000EE"/>
          </w:rPr>
          <w:t>Registration Rights Agreement between Icahn Enterprises and High Coast Limited Partnership (f/k/a X LP)</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(incorporated by reference to Exhibit 10.2 to Icahn Enterprises’ Form 10-K for the year ended December 31,</w:t>
        </w:r>
      </w:hyperlink>
      <w:r>
        <w:rPr>
          <w:rFonts w:ascii="Times New Roman" w:cs="Times New Roman" w:eastAsia="Times New Roman" w:hAnsi="Times New Roman"/>
          <w:sz w:val="18"/>
          <w:szCs w:val="18"/>
          <w:u w:val="single" w:color="auto"/>
          <w:color w:val="0000EE"/>
        </w:rPr>
        <w:t xml:space="preserve"> </w:t>
      </w:r>
      <w:hyperlink r:id="rId202">
        <w:r>
          <w:rPr>
            <w:rFonts w:ascii="Times New Roman" w:cs="Times New Roman" w:eastAsia="Times New Roman" w:hAnsi="Times New Roman"/>
            <w:sz w:val="18"/>
            <w:szCs w:val="18"/>
            <w:u w:val="single" w:color="auto"/>
            <w:color w:val="0000EE"/>
          </w:rPr>
          <w:t>2004 (SEC File No. 1-9516), filed on March 16, 2005)</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79" w:hanging="692"/>
        <w:spacing w:after="0" w:line="250"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203">
        <w:r>
          <w:rPr>
            <w:rFonts w:ascii="Times New Roman" w:cs="Times New Roman" w:eastAsia="Times New Roman" w:hAnsi="Times New Roman"/>
            <w:sz w:val="18"/>
            <w:szCs w:val="18"/>
            <w:u w:val="single" w:color="auto"/>
            <w:color w:val="0000EE"/>
          </w:rPr>
          <w:t>Registration Rights Agreement, dated June 30, 2005 between Icahn Enterprises and Highcrest Investors</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Corp., Amos Corp., Cyprus, LLC and Gascon Partners (incorporated by reference to Exhibit 10.6 to Icahn</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Enterprises’ Form 10-Q (SEC File No. 1-9516), filed on August 9, 2005), as amended by Amendment No. 1</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thereto, dated as of August 8, 2007 (incorporated by reference to Exhibit 10.5 to Icahn Enterprises’ Form 10-</w:t>
        </w:r>
      </w:hyperlink>
      <w:hyperlink r:id="rId203">
        <w:r>
          <w:rPr>
            <w:rFonts w:ascii="Times New Roman" w:cs="Times New Roman" w:eastAsia="Times New Roman" w:hAnsi="Times New Roman"/>
            <w:sz w:val="18"/>
            <w:szCs w:val="18"/>
            <w:u w:val="single" w:color="auto"/>
            <w:color w:val="0000EE"/>
          </w:rPr>
          <w:t>Q for the quarter ended June 30, 2007 (SEC File No. 1-9516), filed on August 9, 2007)</w:t>
        </w:r>
        <w:r>
          <w:rPr>
            <w:rFonts w:ascii="Times New Roman" w:cs="Times New Roman" w:eastAsia="Times New Roman" w:hAnsi="Times New Roman"/>
            <w:sz w:val="18"/>
            <w:szCs w:val="18"/>
            <w:u w:val="single" w:color="auto"/>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69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4.8</w:t>
      </w:r>
      <w:r>
        <w:rPr>
          <w:sz w:val="20"/>
          <w:szCs w:val="20"/>
          <w:color w:val="auto"/>
        </w:rPr>
        <w:tab/>
      </w:r>
      <w:hyperlink r:id="rId204">
        <w:r>
          <w:rPr>
            <w:rFonts w:ascii="Times New Roman" w:cs="Times New Roman" w:eastAsia="Times New Roman" w:hAnsi="Times New Roman"/>
            <w:sz w:val="18"/>
            <w:szCs w:val="18"/>
            <w:u w:val="single" w:color="auto"/>
            <w:color w:val="0000EE"/>
          </w:rPr>
          <w:t>Amended and Restated Depositary Agreement among Icahn Enterprises, Icahn Enterprises GP and Registrar</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and Transfer Company, dated as of August 23, 2013 (incorporated by reference to Exhibit 10.1 to Icahn</w:t>
        </w:r>
      </w:hyperlink>
      <w:r>
        <w:rPr>
          <w:rFonts w:ascii="Times New Roman" w:cs="Times New Roman" w:eastAsia="Times New Roman" w:hAnsi="Times New Roman"/>
          <w:sz w:val="18"/>
          <w:szCs w:val="18"/>
          <w:u w:val="single" w:color="auto"/>
          <w:color w:val="0000EE"/>
        </w:rPr>
        <w:t xml:space="preserve"> </w:t>
      </w:r>
      <w:hyperlink r:id="rId204">
        <w:r>
          <w:rPr>
            <w:rFonts w:ascii="Times New Roman" w:cs="Times New Roman" w:eastAsia="Times New Roman" w:hAnsi="Times New Roman"/>
            <w:sz w:val="18"/>
            <w:szCs w:val="18"/>
            <w:u w:val="single" w:color="auto"/>
            <w:color w:val="0000EE"/>
          </w:rPr>
          <w:t>Enterprises’ Form 8-K (SEC File No. 1-9516), filed on August 23, 2013)</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159" w:hanging="692"/>
        <w:spacing w:after="0" w:line="250"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205">
        <w:r>
          <w:rPr>
            <w:rFonts w:ascii="Times New Roman" w:cs="Times New Roman" w:eastAsia="Times New Roman" w:hAnsi="Times New Roman"/>
            <w:sz w:val="18"/>
            <w:szCs w:val="18"/>
            <w:u w:val="single" w:color="auto"/>
            <w:color w:val="0000EE"/>
          </w:rPr>
          <w:t>Indenture, dated as of January 18, 2017, among Icahn Enterprises, Icahn Enterprises Finance, Icahn</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Enterprises Holdings, as Guarantor, and Wilmington Trust Company, as Trustee relating to the 6.250%</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Senior Notes Due 2022 and 6.750% Senior Notes Due 2024 (incorporated by reference to Exhibit 4.1 to</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Icahn Enterprises’ and Icahn Enterprises Holdings’ joint Form 8-K (SEC File Nos. 1-9516 and 333-118021-</w:t>
        </w:r>
      </w:hyperlink>
      <w:hyperlink r:id="rId205">
        <w:r>
          <w:rPr>
            <w:rFonts w:ascii="Times New Roman" w:cs="Times New Roman" w:eastAsia="Times New Roman" w:hAnsi="Times New Roman"/>
            <w:sz w:val="18"/>
            <w:szCs w:val="18"/>
            <w:u w:val="single" w:color="auto"/>
            <w:color w:val="0000EE"/>
          </w:rPr>
          <w:t>01, respectively), filed on January 18, 2017)</w:t>
        </w:r>
        <w:r>
          <w:rPr>
            <w:rFonts w:ascii="Times New Roman" w:cs="Times New Roman" w:eastAsia="Times New Roman" w:hAnsi="Times New Roman"/>
            <w:sz w:val="18"/>
            <w:szCs w:val="18"/>
            <w:u w:val="single" w:color="auto"/>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79" w:hanging="737"/>
        <w:spacing w:after="0" w:line="250"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206">
        <w:r>
          <w:rPr>
            <w:rFonts w:ascii="Times New Roman" w:cs="Times New Roman" w:eastAsia="Times New Roman" w:hAnsi="Times New Roman"/>
            <w:sz w:val="18"/>
            <w:szCs w:val="18"/>
            <w:u w:val="single" w:color="auto"/>
            <w:color w:val="0000EE"/>
          </w:rPr>
          <w:t>Indenture, dated as of December 6, 2017, among Icahn Enterprises, Icahn Enterprises Finance, Icahn</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Enterprises Holdings, as Guarantor, and Wilmington Trust Company, as Trustee relating to the 6.375%</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Senior Notes Due 2025 incorporated by reference to Exhibit 4.1 to Icahn Enterprises’ and Icahn Enterprises</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Holdings’ joint Form 8-K (SEC File Nos. 1-9516 and 333-118021-01, respectively), filed on December 6,</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2017)</w:t>
        </w:r>
        <w:r>
          <w:rPr>
            <w:rFonts w:ascii="Times New Roman" w:cs="Times New Roman" w:eastAsia="Times New Roman" w:hAnsi="Times New Roman"/>
            <w:sz w:val="18"/>
            <w:szCs w:val="18"/>
            <w:u w:val="single" w:color="auto"/>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79" w:hanging="734"/>
        <w:spacing w:after="0" w:line="250"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207">
        <w:r>
          <w:rPr>
            <w:rFonts w:ascii="Times New Roman" w:cs="Times New Roman" w:eastAsia="Times New Roman" w:hAnsi="Times New Roman"/>
            <w:sz w:val="18"/>
            <w:szCs w:val="18"/>
            <w:u w:val="single" w:color="auto"/>
            <w:color w:val="0000EE"/>
          </w:rPr>
          <w:t>Indenture, dated as of May 10, 2019, among Icahn Enterprises, Icahn Enterprises Finance, Icahn Enterprises</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Holdings, as Guarantor, and Wilmington Trust Company, as Trustee relating to the 6.250% Senior Notes Due</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2026 incorporated by reference to Exhibit 4.1 to Icahn Enterprises’ and Icahn Enterprises Holdings’ joint</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Form 8-K (SEC File Nos. 1-9516 and 333-118021-01, respectively), filed on May 10, 2019)</w:t>
        </w:r>
        <w:r>
          <w:rPr>
            <w:rFonts w:ascii="Times New Roman" w:cs="Times New Roman" w:eastAsia="Times New Roman" w:hAnsi="Times New Roman"/>
            <w:sz w:val="18"/>
            <w:szCs w:val="18"/>
            <w:u w:val="single" w:color="auto"/>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79" w:hanging="737"/>
        <w:spacing w:after="0" w:line="250"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208">
        <w:r>
          <w:rPr>
            <w:rFonts w:ascii="Times New Roman" w:cs="Times New Roman" w:eastAsia="Times New Roman" w:hAnsi="Times New Roman"/>
            <w:sz w:val="18"/>
            <w:szCs w:val="18"/>
            <w:u w:val="single" w:color="auto"/>
            <w:color w:val="0000EE"/>
          </w:rPr>
          <w:t>Indenture, dated as of September 6, 2019, among Icahn Enterprises, Icahn Enterprises Finance, Icahn</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Enterprises Holdings, as Guarantor, and Wilmington Trust Company, as Trustee relating to the 4.750%</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Senior Notes Due 2024 incorporated by reference to Exhibit 4.1 to Icahn Enterprises’ and Icahn Enterprises</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Holdings’ joint Form 8-K (SEC File Nos. 1-9516 and 333-118021-01, respectively), filed on September 6,</w:t>
        </w:r>
      </w:hyperlink>
      <w:r>
        <w:rPr>
          <w:rFonts w:ascii="Times New Roman" w:cs="Times New Roman" w:eastAsia="Times New Roman" w:hAnsi="Times New Roman"/>
          <w:sz w:val="18"/>
          <w:szCs w:val="18"/>
          <w:u w:val="single" w:color="auto"/>
          <w:color w:val="0000EE"/>
        </w:rPr>
        <w:t xml:space="preserve"> </w:t>
      </w:r>
      <w:hyperlink r:id="rId208">
        <w:r>
          <w:rPr>
            <w:rFonts w:ascii="Times New Roman" w:cs="Times New Roman" w:eastAsia="Times New Roman" w:hAnsi="Times New Roman"/>
            <w:sz w:val="18"/>
            <w:szCs w:val="18"/>
            <w:u w:val="single" w:color="auto"/>
            <w:color w:val="0000EE"/>
          </w:rPr>
          <w:t>2019)</w:t>
        </w:r>
        <w:r>
          <w:rPr>
            <w:rFonts w:ascii="Times New Roman" w:cs="Times New Roman" w:eastAsia="Times New Roman" w:hAnsi="Times New Roman"/>
            <w:sz w:val="18"/>
            <w:szCs w:val="18"/>
            <w:u w:val="single" w:color="auto"/>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79" w:hanging="737"/>
        <w:spacing w:after="0" w:line="250"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209">
        <w:r>
          <w:rPr>
            <w:rFonts w:ascii="Times New Roman" w:cs="Times New Roman" w:eastAsia="Times New Roman" w:hAnsi="Times New Roman"/>
            <w:sz w:val="18"/>
            <w:szCs w:val="18"/>
            <w:u w:val="single" w:color="auto"/>
            <w:color w:val="0000EE"/>
          </w:rPr>
          <w:t>Indenture, dated as of December 12, 2019, among Icahn Enterprises, Icahn Enterprises Finance, Icahn</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Enterprises Holdings, as Guarantor, and Wilmington Trust Company, as Trustee relating to the 5.250%</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Senior Notes Due 2027 incorporated by reference to Exhibit 4.1 to Icahn Enterprises’ and Icahn Enterprises</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Holdings’ joint Form 8-K (SEC File Nos. 1-9516 and 333-118021-01, respectively), filed on December 12,</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2019)</w:t>
        </w:r>
        <w:r>
          <w:rPr>
            <w:rFonts w:ascii="Times New Roman" w:cs="Times New Roman" w:eastAsia="Times New Roman" w:hAnsi="Times New Roman"/>
            <w:sz w:val="18"/>
            <w:szCs w:val="18"/>
            <w:u w:val="single" w:color="auto"/>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79" w:hanging="737"/>
        <w:spacing w:after="0" w:line="253"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210">
        <w:r>
          <w:rPr>
            <w:rFonts w:ascii="Times New Roman" w:cs="Times New Roman" w:eastAsia="Times New Roman" w:hAnsi="Times New Roman"/>
            <w:sz w:val="18"/>
            <w:szCs w:val="18"/>
            <w:u w:val="single" w:color="auto"/>
            <w:color w:val="0000EE"/>
          </w:rPr>
          <w:t>Indenture, dated as of January 19, 2021, among Icahn Enterprises, Icahn Enterprises Finance, Icahn</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Enterprises Holdings, as Guarantor, and Wilmington Trust Company, as Trustee relating to the 4.375%</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Senior Notes Due 2029 incorporated by reference to Exhibit 4.1 to Icahn Enterprises’ and Icahn Enterprises</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Holdings’ joint Form 8-K (SEC File Nos. 1-9516 and 333-118021-01, respectively), filed on January 19,</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u w:val="single" w:color="auto"/>
            <w:color w:val="000000"/>
          </w:rPr>
          <w:t>.</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3"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80" w:right="439" w:hanging="737"/>
        <w:spacing w:after="0" w:line="255"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4.15</w:t>
      </w:r>
      <w:r>
        <w:rPr>
          <w:sz w:val="20"/>
          <w:szCs w:val="20"/>
          <w:color w:val="auto"/>
        </w:rPr>
        <w:tab/>
      </w:r>
      <w:hyperlink r:id="rId212">
        <w:r>
          <w:rPr>
            <w:rFonts w:ascii="Times New Roman" w:cs="Times New Roman" w:eastAsia="Times New Roman" w:hAnsi="Times New Roman"/>
            <w:sz w:val="18"/>
            <w:szCs w:val="18"/>
            <w:u w:val="single" w:color="auto"/>
            <w:color w:val="0000EE"/>
          </w:rPr>
          <w:t>Shareholders Agreement, dated as of October 1, 2018, by and among Icahn Enterprises L.P., Icahn</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Enterprises Holdings L.P., American Entertainment Properties Corp. and Tenneco Inc. (incorporated by</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reference to Exhibit 4.1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Nos. 1-9516 and 333-118021-01, respectively) file October 2, 2018)</w:t>
        </w:r>
        <w:r>
          <w:rPr>
            <w:rFonts w:ascii="Times New Roman" w:cs="Times New Roman" w:eastAsia="Times New Roman" w:hAnsi="Times New Roman"/>
            <w:sz w:val="18"/>
            <w:szCs w:val="18"/>
            <w:color w:val="000000"/>
          </w:rPr>
          <w:t>.</w:t>
        </w:r>
      </w:hyperlink>
    </w:p>
    <w:p>
      <w:pPr>
        <w:spacing w:after="0" w:line="3" w:lineRule="exact"/>
        <w:rPr>
          <w:rFonts w:ascii="Times New Roman" w:cs="Times New Roman" w:eastAsia="Times New Roman" w:hAnsi="Times New Roman"/>
          <w:sz w:val="18"/>
          <w:szCs w:val="18"/>
          <w:u w:val="single" w:color="auto"/>
          <w:color w:val="0000EE"/>
        </w:rPr>
      </w:pPr>
    </w:p>
    <w:p>
      <w:pPr>
        <w:ind w:left="1080" w:right="119" w:hanging="737"/>
        <w:spacing w:after="0" w:line="265" w:lineRule="auto"/>
        <w:tabs>
          <w:tab w:leader="none" w:pos="1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213">
        <w:r>
          <w:rPr>
            <w:rFonts w:ascii="Times New Roman" w:cs="Times New Roman" w:eastAsia="Times New Roman" w:hAnsi="Times New Roman"/>
            <w:sz w:val="17"/>
            <w:szCs w:val="17"/>
            <w:u w:val="single" w:color="auto"/>
            <w:color w:val="0000EE"/>
          </w:rPr>
          <w:t>Amended and Restated Agency Agreement (incorporated by reference to Exhibit 10.12 to Icahn Enterprises’</w:t>
        </w:r>
      </w:hyperlink>
      <w:r>
        <w:rPr>
          <w:rFonts w:ascii="Times New Roman" w:cs="Times New Roman" w:eastAsia="Times New Roman" w:hAnsi="Times New Roman"/>
          <w:sz w:val="17"/>
          <w:szCs w:val="17"/>
          <w:u w:val="single" w:color="auto"/>
          <w:color w:val="0000EE"/>
        </w:rPr>
        <w:t xml:space="preserve"> </w:t>
      </w:r>
      <w:hyperlink r:id="rId213">
        <w:r>
          <w:rPr>
            <w:rFonts w:ascii="Times New Roman" w:cs="Times New Roman" w:eastAsia="Times New Roman" w:hAnsi="Times New Roman"/>
            <w:sz w:val="17"/>
            <w:szCs w:val="17"/>
            <w:u w:val="single" w:color="auto"/>
            <w:color w:val="0000EE"/>
          </w:rPr>
          <w:t>Form 10-K for the year ended December 31, 1994 (SEC File No. 1-9516), filed on March 31, 1995)</w:t>
        </w:r>
        <w:r>
          <w:rPr>
            <w:rFonts w:ascii="Times New Roman" w:cs="Times New Roman" w:eastAsia="Times New Roman" w:hAnsi="Times New Roman"/>
            <w:sz w:val="17"/>
            <w:szCs w:val="17"/>
            <w:u w:val="single" w:color="auto"/>
            <w:color w:val="000000"/>
          </w:rPr>
          <w:t>.</w:t>
        </w:r>
      </w:hyperlink>
    </w:p>
    <w:p>
      <w:pPr>
        <w:jc w:val="both"/>
        <w:ind w:left="1080" w:right="7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w:t>
      </w:r>
      <w:r>
        <w:rPr>
          <w:sz w:val="20"/>
          <w:szCs w:val="20"/>
          <w:color w:val="auto"/>
        </w:rPr>
        <w:tab/>
      </w:r>
      <w:hyperlink r:id="rId214">
        <w:r>
          <w:rPr>
            <w:rFonts w:ascii="Times New Roman" w:cs="Times New Roman" w:eastAsia="Times New Roman" w:hAnsi="Times New Roman"/>
            <w:sz w:val="18"/>
            <w:szCs w:val="18"/>
            <w:u w:val="single" w:color="auto"/>
            <w:color w:val="0000EE"/>
          </w:rPr>
          <w:t>Undertaking, dated November 20, 1998, by Starfire Holding Corporation, for the benefit of Icahn Enterprises</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and its subsidiaries (incorporated by reference to Exhibit 10.42 to Icahn Enterprises’ Form 10-K for the year</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ended December 31, 2005 (SEC File No. 1-9516), filed on March 16, 2006)</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80" w:right="79" w:hanging="737"/>
        <w:spacing w:after="0" w:line="250" w:lineRule="auto"/>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215">
        <w:r>
          <w:rPr>
            <w:rFonts w:ascii="Times New Roman" w:cs="Times New Roman" w:eastAsia="Times New Roman" w:hAnsi="Times New Roman"/>
            <w:sz w:val="18"/>
            <w:szCs w:val="18"/>
            <w:u w:val="single" w:color="auto"/>
            <w:color w:val="0000EE"/>
          </w:rPr>
          <w:t>Covered Affiliate and Shared Expenses Agreement by and among Icahn Enterprises, Icahn Partners LP,</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Icahn Fund Ltd., Icahn Fund II Ltd., Icahn Fund III Ltd., Icahn Partners Master Fund L.P., Icahn Partners</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Master Fund II L.P., Icahn Partners Master Fund III L.P., Icahn Cayman Partners, L.P. and Icahn Partners</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Master Fund II Feeder LP (incorporated by reference to Exhibit 10.4 to Icahn Enterprises’ Form 10-Q for the</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quarter ended June 30, 2007 (SEC File No. 1-9516), filed on August 9, 2007)</w:t>
        </w:r>
        <w:r>
          <w:rPr>
            <w:rFonts w:ascii="Times New Roman" w:cs="Times New Roman" w:eastAsia="Times New Roman" w:hAnsi="Times New Roman"/>
            <w:sz w:val="18"/>
            <w:szCs w:val="18"/>
            <w:u w:val="single" w:color="auto"/>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10.4</w:t>
      </w:r>
      <w:r>
        <w:rPr>
          <w:sz w:val="20"/>
          <w:szCs w:val="20"/>
          <w:color w:val="auto"/>
        </w:rPr>
        <w:tab/>
      </w:r>
      <w:hyperlink r:id="rId216">
        <w:r>
          <w:rPr>
            <w:rFonts w:ascii="Times New Roman" w:cs="Times New Roman" w:eastAsia="Times New Roman" w:hAnsi="Times New Roman"/>
            <w:sz w:val="18"/>
            <w:szCs w:val="18"/>
            <w:u w:val="single" w:color="auto"/>
            <w:color w:val="0000EE"/>
          </w:rPr>
          <w:t>Registration Rights Agreement, dated January 18, 2017, among Icahn Enterprises, Icahn Enterprises</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Nos. 1-9516 and 333-118021-01, respectively), filed on January 18, 2017)</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10.5</w:t>
      </w:r>
      <w:r>
        <w:rPr>
          <w:sz w:val="20"/>
          <w:szCs w:val="20"/>
          <w:color w:val="auto"/>
        </w:rPr>
        <w:tab/>
      </w:r>
      <w:hyperlink r:id="rId217">
        <w:r>
          <w:rPr>
            <w:rFonts w:ascii="Times New Roman" w:cs="Times New Roman" w:eastAsia="Times New Roman" w:hAnsi="Times New Roman"/>
            <w:sz w:val="18"/>
            <w:szCs w:val="18"/>
            <w:u w:val="single" w:color="auto"/>
            <w:color w:val="0000EE"/>
          </w:rPr>
          <w:t>Registration Rights Agreement, dated December 6, 2017, among Icahn Enterprises, Icahn Enterprises</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Nos. 1-9516 and 333-118021-01, respectively), filed on December 6, 2017)</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27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10.6</w:t>
      </w:r>
      <w:r>
        <w:rPr>
          <w:sz w:val="20"/>
          <w:szCs w:val="20"/>
          <w:color w:val="auto"/>
        </w:rPr>
        <w:tab/>
      </w:r>
      <w:hyperlink r:id="rId218">
        <w:r>
          <w:rPr>
            <w:rFonts w:ascii="Times New Roman" w:cs="Times New Roman" w:eastAsia="Times New Roman" w:hAnsi="Times New Roman"/>
            <w:sz w:val="18"/>
            <w:szCs w:val="18"/>
            <w:u w:val="single" w:color="auto"/>
            <w:color w:val="0000EE"/>
          </w:rPr>
          <w:t>Registration Rights Agreement, dated May 10, 2019, among Icahn Enterprises, Icahn Enterprises Finance,</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Icahn Enterprises Holdings, as Guarantor, and Jefferies LLC, as the Initial Purchaser (incorporated by</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Nos. 1-9516 and 333-118021-01, respectively), filed on May 10, 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27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10.7</w:t>
      </w:r>
      <w:r>
        <w:rPr>
          <w:sz w:val="20"/>
          <w:szCs w:val="20"/>
          <w:color w:val="auto"/>
        </w:rPr>
        <w:tab/>
      </w:r>
      <w:hyperlink r:id="rId219">
        <w:r>
          <w:rPr>
            <w:rFonts w:ascii="Times New Roman" w:cs="Times New Roman" w:eastAsia="Times New Roman" w:hAnsi="Times New Roman"/>
            <w:sz w:val="18"/>
            <w:szCs w:val="18"/>
            <w:u w:val="single" w:color="auto"/>
            <w:color w:val="0000EE"/>
          </w:rPr>
          <w:t>Registration Rights Agreement, dated June 27, 2019, among Icahn Enterprises, Icahn Enterprises Finance,</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Icahn Enterprises Holdings, as Guarantor, and Jefferies LLC, as the Initial Purchaser (incorporated by</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Nos. 1-9516 and 333-118021-01, respectively), filed on June 27, 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10.8</w:t>
      </w:r>
      <w:r>
        <w:rPr>
          <w:sz w:val="20"/>
          <w:szCs w:val="20"/>
          <w:color w:val="auto"/>
        </w:rPr>
        <w:tab/>
      </w:r>
      <w:hyperlink r:id="rId220">
        <w:r>
          <w:rPr>
            <w:rFonts w:ascii="Times New Roman" w:cs="Times New Roman" w:eastAsia="Times New Roman" w:hAnsi="Times New Roman"/>
            <w:sz w:val="18"/>
            <w:szCs w:val="18"/>
            <w:u w:val="single" w:color="auto"/>
            <w:color w:val="0000EE"/>
          </w:rPr>
          <w:t>Registration Rights Agreement, dated September 6, 2019, among Icahn Enterprises, Icahn Enterprises</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Nos. 1-9516 and 333-118021-01, respectively), filed on September 6, 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37"/>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10.9</w:t>
      </w:r>
      <w:r>
        <w:rPr>
          <w:sz w:val="20"/>
          <w:szCs w:val="20"/>
          <w:color w:val="auto"/>
        </w:rPr>
        <w:tab/>
      </w:r>
      <w:hyperlink r:id="rId221">
        <w:r>
          <w:rPr>
            <w:rFonts w:ascii="Times New Roman" w:cs="Times New Roman" w:eastAsia="Times New Roman" w:hAnsi="Times New Roman"/>
            <w:sz w:val="18"/>
            <w:szCs w:val="18"/>
            <w:u w:val="single" w:color="auto"/>
            <w:color w:val="0000EE"/>
          </w:rPr>
          <w:t>Registration Rights Agreement, dated December 12, 2019, among Icahn Enterprises, Icahn Enterprises</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Nos. 1-9516 and 333-118021-01, respectively), filed on December 12, 2019)</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39" w:hanging="782"/>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10.10</w:t>
      </w:r>
      <w:r>
        <w:rPr>
          <w:sz w:val="20"/>
          <w:szCs w:val="20"/>
          <w:color w:val="auto"/>
        </w:rPr>
        <w:tab/>
      </w:r>
      <w:hyperlink r:id="rId222">
        <w:r>
          <w:rPr>
            <w:rFonts w:ascii="Times New Roman" w:cs="Times New Roman" w:eastAsia="Times New Roman" w:hAnsi="Times New Roman"/>
            <w:sz w:val="18"/>
            <w:szCs w:val="18"/>
            <w:u w:val="single" w:color="auto"/>
            <w:color w:val="0000EE"/>
          </w:rPr>
          <w:t>Registration Rights Agreement, dated January 9, 2020, among Icahn Enterprises, Icahn Enterprises Finance,</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Icahn Enterprises Holdings, as Guarantor, and Jefferies LLC, as the Initial Purchaser (incorporated by</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Nos. 1-9516 and 333-118021-01, respectively), filed on January 9, 2020)</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79"/>
        <w:spacing w:after="0" w:line="250"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10.11</w:t>
      </w:r>
      <w:r>
        <w:rPr>
          <w:sz w:val="20"/>
          <w:szCs w:val="20"/>
          <w:color w:val="auto"/>
        </w:rPr>
        <w:tab/>
      </w:r>
      <w:hyperlink r:id="rId223">
        <w:r>
          <w:rPr>
            <w:rFonts w:ascii="Times New Roman" w:cs="Times New Roman" w:eastAsia="Times New Roman" w:hAnsi="Times New Roman"/>
            <w:sz w:val="18"/>
            <w:szCs w:val="18"/>
            <w:u w:val="single" w:color="auto"/>
            <w:color w:val="0000EE"/>
          </w:rPr>
          <w:t>Registration Rights Agreement, dated January 28, 2020, among Icahn Enterprises, Icahn Enterprises</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Nos. 1-9516 and 333-118021-01, respectively), filed on January 28, 2020)</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EE"/>
        </w:rPr>
      </w:pPr>
    </w:p>
    <w:p>
      <w:pPr>
        <w:ind w:left="1080" w:right="119" w:hanging="782"/>
        <w:spacing w:after="0" w:line="253" w:lineRule="auto"/>
        <w:tabs>
          <w:tab w:leader="none" w:pos="10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10.12</w:t>
      </w:r>
      <w:r>
        <w:rPr>
          <w:sz w:val="20"/>
          <w:szCs w:val="20"/>
          <w:color w:val="auto"/>
        </w:rPr>
        <w:tab/>
      </w:r>
      <w:hyperlink r:id="rId224">
        <w:r>
          <w:rPr>
            <w:rFonts w:ascii="Times New Roman" w:cs="Times New Roman" w:eastAsia="Times New Roman" w:hAnsi="Times New Roman"/>
            <w:sz w:val="18"/>
            <w:szCs w:val="18"/>
            <w:u w:val="single" w:color="auto"/>
            <w:color w:val="0000EE"/>
          </w:rPr>
          <w:t>Registration Rights Agreement, dated January 19, 2021, among Icahn Enterprises, Icahn Enterprises</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Finance, Icahn Enterprises Holdings, as Guarantor, and Jefferies LLC, as the Initial Purchaser (incorporated</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by reference to Exhibit 10.1 to Icahn Enterprises’ and Icahn Enterprises Holdings’ joint Form 8-K (SEC File</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Nos. 1-9516 and 333-118021-01, respectively), filed on January 19, 2021)</w:t>
        </w:r>
        <w:r>
          <w:rPr>
            <w:rFonts w:ascii="Times New Roman" w:cs="Times New Roman" w:eastAsia="Times New Roman" w:hAnsi="Times New Roman"/>
            <w:sz w:val="18"/>
            <w:szCs w:val="18"/>
            <w:color w:val="000000"/>
          </w:rPr>
          <w:t>.</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5"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10.13</w:t>
            </w:r>
          </w:p>
        </w:tc>
        <w:tc>
          <w:tcPr>
            <w:tcW w:w="74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Amendment No. 1 and Joinder to Purchase and Sale Agreement, dated October 1, 2018, by and among</w:t>
              </w:r>
            </w:hyperlink>
          </w:p>
        </w:tc>
        <w:tc>
          <w:tcPr>
            <w:tcW w:w="4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5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Tropicana Entertainment Inc., GLP Capital, L.P. and Eldorado Resorts, Inc. (incorporated by reference to</w:t>
              </w:r>
            </w:hyperlink>
          </w:p>
        </w:tc>
        <w:tc>
          <w:tcPr>
            <w:tcW w:w="28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Exhibit 10.1 to Icahn Enterprises’ and Icahn Enterprises Holdings’ joint Form 8-K (SEC File Nos. 1-9516</w:t>
              </w:r>
            </w:hyperlink>
          </w:p>
        </w:tc>
        <w:tc>
          <w:tcPr>
            <w:tcW w:w="2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18"/>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and 333-118021-01, respectively) file October 2, 2018)</w:t>
              </w:r>
              <w:r>
                <w:rPr>
                  <w:rFonts w:ascii="Times New Roman" w:cs="Times New Roman" w:eastAsia="Times New Roman" w:hAnsi="Times New Roman"/>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10.14</w:t>
            </w:r>
          </w:p>
        </w:tc>
        <w:tc>
          <w:tcPr>
            <w:tcW w:w="7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Employment Agreement with Keith Cozza, dated December 20, 2019 (incorporated by reference to</w:t>
              </w:r>
            </w:hyperlink>
          </w:p>
        </w:tc>
        <w:tc>
          <w:tcPr>
            <w:tcW w:w="70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Exhibit 10.1 to Icahn Enterprises’ and Icahn Enterprises Holdings’ joint Form 8-K (SEC File Nos. 1-9516</w:t>
              </w:r>
            </w:hyperlink>
          </w:p>
        </w:tc>
        <w:tc>
          <w:tcPr>
            <w:tcW w:w="2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18"/>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and 333-118021-01, respectively), filed on December 23, 2019)</w:t>
              </w:r>
              <w:r>
                <w:rPr>
                  <w:rFonts w:ascii="Times New Roman" w:cs="Times New Roman" w:eastAsia="Times New Roman" w:hAnsi="Times New Roman"/>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10.15</w:t>
            </w:r>
          </w:p>
        </w:tc>
        <w:tc>
          <w:tcPr>
            <w:tcW w:w="7860" w:type="dxa"/>
            <w:vAlign w:val="bottom"/>
            <w:gridSpan w:val="18"/>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Manager Agreement, dated October 1, 2020, among Icahn Enterprises, Icahn Capital LP, Icahn Partners</w:t>
              </w:r>
            </w:hyperlink>
          </w:p>
        </w:tc>
      </w:tr>
      <w:tr>
        <w:trPr>
          <w:trHeight w:val="196"/>
        </w:trPr>
        <w:tc>
          <w:tcPr>
            <w:tcW w:w="92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Master Fund LP, Brett Icahn and Isthmus LLC (incorporated by reference to Exhibit 10.1 to Icahn</w:t>
              </w:r>
            </w:hyperlink>
          </w:p>
        </w:tc>
        <w:tc>
          <w:tcPr>
            <w:tcW w:w="400" w:type="dxa"/>
            <w:vAlign w:val="bottom"/>
            <w:tcBorders>
              <w:top w:val="single" w:sz="8" w:color="0000EE"/>
            </w:tcBorders>
            <w:gridSpan w:val="6"/>
          </w:tcPr>
          <w:p>
            <w:pPr>
              <w:spacing w:after="0"/>
              <w:rPr>
                <w:sz w:val="17"/>
                <w:szCs w:val="17"/>
                <w:color w:val="auto"/>
              </w:rPr>
            </w:pPr>
          </w:p>
        </w:tc>
        <w:tc>
          <w:tcPr>
            <w:tcW w:w="40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18"/>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Enterprises’ and Icahn Enterprises Holdings’ joint Form 8-K (SEC File Nos. 1-9516 and 333-118021-01,</w:t>
              </w:r>
            </w:hyperlink>
          </w:p>
        </w:tc>
      </w:tr>
      <w:tr>
        <w:trPr>
          <w:trHeight w:val="196"/>
        </w:trPr>
        <w:tc>
          <w:tcPr>
            <w:tcW w:w="920" w:type="dxa"/>
            <w:vAlign w:val="bottom"/>
          </w:tcPr>
          <w:p>
            <w:pPr>
              <w:spacing w:after="0"/>
              <w:rPr>
                <w:sz w:val="17"/>
                <w:szCs w:val="17"/>
                <w:color w:val="auto"/>
              </w:rPr>
            </w:pPr>
          </w:p>
        </w:tc>
        <w:tc>
          <w:tcPr>
            <w:tcW w:w="75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respectively), filed on October 1, 2020)</w:t>
              </w:r>
              <w:r>
                <w:rPr>
                  <w:rFonts w:ascii="Times New Roman" w:cs="Times New Roman" w:eastAsia="Times New Roman" w:hAnsi="Times New Roman"/>
                  <w:sz w:val="18"/>
                  <w:szCs w:val="18"/>
                  <w:color w:val="000000"/>
                </w:rPr>
                <w:t>.</w:t>
              </w:r>
            </w:hyperlink>
          </w:p>
        </w:tc>
        <w:tc>
          <w:tcPr>
            <w:tcW w:w="30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7860" w:type="dxa"/>
            <w:vAlign w:val="bottom"/>
            <w:gridSpan w:val="18"/>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Guaranty, dated October 1, 2020, between American Entertainment Properties Corp. and Isthmus LLC</w:t>
              </w:r>
            </w:hyperlink>
          </w:p>
        </w:tc>
      </w:tr>
      <w:tr>
        <w:trPr>
          <w:trHeight w:val="196"/>
        </w:trPr>
        <w:tc>
          <w:tcPr>
            <w:tcW w:w="92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(incorporated by reference to Exhibit 10.2 to Icahn Enterprises’ and Icahn Enterprises Holdings’ joint</w:t>
              </w:r>
            </w:hyperlink>
          </w:p>
        </w:tc>
        <w:tc>
          <w:tcPr>
            <w:tcW w:w="60" w:type="dxa"/>
            <w:vAlign w:val="bottom"/>
            <w:tcBorders>
              <w:top w:val="single" w:sz="8" w:color="0000EE"/>
            </w:tcBorders>
            <w:gridSpan w:val="2"/>
          </w:tcPr>
          <w:p>
            <w:pPr>
              <w:spacing w:after="0"/>
              <w:rPr>
                <w:sz w:val="17"/>
                <w:szCs w:val="17"/>
                <w:color w:val="auto"/>
              </w:rPr>
            </w:pPr>
          </w:p>
        </w:tc>
        <w:tc>
          <w:tcPr>
            <w:tcW w:w="480" w:type="dxa"/>
            <w:vAlign w:val="bottom"/>
            <w:gridSpan w:val="9"/>
          </w:tcPr>
          <w:p>
            <w:pPr>
              <w:spacing w:after="0"/>
              <w:rPr>
                <w:sz w:val="17"/>
                <w:szCs w:val="17"/>
                <w:color w:val="auto"/>
              </w:rPr>
            </w:pPr>
          </w:p>
        </w:tc>
      </w:tr>
      <w:tr>
        <w:trPr>
          <w:trHeight w:val="218"/>
        </w:trPr>
        <w:tc>
          <w:tcPr>
            <w:tcW w:w="920" w:type="dxa"/>
            <w:vAlign w:val="bottom"/>
          </w:tcPr>
          <w:p>
            <w:pPr>
              <w:spacing w:after="0"/>
              <w:rPr>
                <w:sz w:val="18"/>
                <w:szCs w:val="18"/>
                <w:color w:val="auto"/>
              </w:rPr>
            </w:pPr>
          </w:p>
        </w:tc>
        <w:tc>
          <w:tcPr>
            <w:tcW w:w="7860" w:type="dxa"/>
            <w:vAlign w:val="bottom"/>
            <w:gridSpan w:val="18"/>
          </w:tcPr>
          <w:p>
            <w:pPr>
              <w:spacing w:after="0"/>
              <w:rPr>
                <w:rFonts w:ascii="Times New Roman" w:cs="Times New Roman" w:eastAsia="Times New Roman" w:hAnsi="Times New Roman"/>
                <w:sz w:val="18"/>
                <w:szCs w:val="18"/>
                <w:u w:val="single" w:color="auto"/>
                <w:color w:val="0000EE"/>
              </w:rPr>
            </w:pPr>
            <w:hyperlink r:id="rId229">
              <w:r>
                <w:rPr>
                  <w:rFonts w:ascii="Times New Roman" w:cs="Times New Roman" w:eastAsia="Times New Roman" w:hAnsi="Times New Roman"/>
                  <w:sz w:val="18"/>
                  <w:szCs w:val="18"/>
                  <w:u w:val="single" w:color="auto"/>
                  <w:color w:val="0000EE"/>
                </w:rPr>
                <w:t>Form 8-K (SEC File Nos. 1-9516 and 333-118021-01, respectively), filed on October 1, 2020)</w:t>
              </w:r>
              <w:r>
                <w:rPr>
                  <w:rFonts w:ascii="Times New Roman" w:cs="Times New Roman" w:eastAsia="Times New Roman" w:hAnsi="Times New Roman"/>
                  <w:sz w:val="18"/>
                  <w:szCs w:val="18"/>
                  <w:u w:val="single" w:color="auto"/>
                  <w:color w:val="000000"/>
                </w:rPr>
                <w:t>.</w:t>
              </w:r>
            </w:hyperlink>
          </w:p>
        </w:tc>
      </w:tr>
      <w:tr>
        <w:trPr>
          <w:trHeight w:val="194"/>
        </w:trPr>
        <w:tc>
          <w:tcPr>
            <w:tcW w:w="920" w:type="dxa"/>
            <w:vAlign w:val="bottom"/>
          </w:tcPr>
          <w:p>
            <w:pPr>
              <w:jc w:val="center"/>
              <w:ind w:right="150"/>
              <w:spacing w:after="0" w:line="194" w:lineRule="exact"/>
              <w:rPr>
                <w:sz w:val="20"/>
                <w:szCs w:val="20"/>
                <w:color w:val="auto"/>
              </w:rPr>
            </w:pPr>
            <w:r>
              <w:rPr>
                <w:rFonts w:ascii="Times New Roman" w:cs="Times New Roman" w:eastAsia="Times New Roman" w:hAnsi="Times New Roman"/>
                <w:sz w:val="18"/>
                <w:szCs w:val="18"/>
                <w:color w:val="auto"/>
                <w:w w:val="98"/>
              </w:rPr>
              <w:t>10.17</w:t>
            </w:r>
          </w:p>
        </w:tc>
        <w:tc>
          <w:tcPr>
            <w:tcW w:w="7860" w:type="dxa"/>
            <w:vAlign w:val="bottom"/>
            <w:gridSpan w:val="18"/>
          </w:tcPr>
          <w:p>
            <w:pPr>
              <w:spacing w:after="0" w:line="194"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Restricted Unit Agreement, dated October 1, 2020, between Icahn Enterprises and Brett Icahn (incorporated</w:t>
              </w:r>
            </w:hyperlink>
          </w:p>
        </w:tc>
      </w:tr>
      <w:tr>
        <w:trPr>
          <w:trHeight w:val="20"/>
        </w:trPr>
        <w:tc>
          <w:tcPr>
            <w:tcW w:w="920" w:type="dxa"/>
            <w:vAlign w:val="bottom"/>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1320" w:type="dxa"/>
            <w:vAlign w:val="bottom"/>
            <w:tcBorders>
              <w:left w:val="single" w:sz="8" w:color="0000EE"/>
            </w:tcBorders>
            <w:gridSpan w:val="2"/>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860" w:type="dxa"/>
            <w:vAlign w:val="bottom"/>
            <w:gridSpan w:val="18"/>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by reference to Exhibit 10.3 to Icahn Enterprises’ and Icahn Enterprises Holdings’ joint Form 8-K (SEC File</w:t>
              </w:r>
            </w:hyperlink>
          </w:p>
        </w:tc>
      </w:tr>
      <w:tr>
        <w:trPr>
          <w:trHeight w:val="196"/>
        </w:trPr>
        <w:tc>
          <w:tcPr>
            <w:tcW w:w="920" w:type="dxa"/>
            <w:vAlign w:val="bottom"/>
          </w:tcPr>
          <w:p>
            <w:pPr>
              <w:spacing w:after="0"/>
              <w:rPr>
                <w:sz w:val="17"/>
                <w:szCs w:val="17"/>
                <w:color w:val="auto"/>
              </w:rPr>
            </w:pPr>
          </w:p>
        </w:tc>
        <w:tc>
          <w:tcPr>
            <w:tcW w:w="78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Nos. 1-9516 and 333-118021-01, respectively), filed on October 1, 2020)</w:t>
              </w:r>
              <w:r>
                <w:rPr>
                  <w:rFonts w:ascii="Times New Roman" w:cs="Times New Roman" w:eastAsia="Times New Roman" w:hAnsi="Times New Roman"/>
                  <w:sz w:val="18"/>
                  <w:szCs w:val="18"/>
                  <w:color w:val="000000"/>
                </w:rPr>
                <w:t>.</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1320" w:type="dxa"/>
            <w:vAlign w:val="bottom"/>
            <w:tcBorders>
              <w:left w:val="single" w:sz="8" w:color="0000EE"/>
            </w:tcBorders>
            <w:gridSpan w:val="2"/>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7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Code of Business Conduct and Ethics (incorporated by reference to Exhibit 14.1 to Icahn Enterprises’</w:t>
              </w:r>
            </w:hyperlink>
          </w:p>
        </w:tc>
        <w:tc>
          <w:tcPr>
            <w:tcW w:w="520" w:type="dxa"/>
            <w:vAlign w:val="bottom"/>
            <w:gridSpan w:val="10"/>
          </w:tcPr>
          <w:p>
            <w:pPr>
              <w:spacing w:after="0"/>
              <w:rPr>
                <w:sz w:val="17"/>
                <w:szCs w:val="17"/>
                <w:color w:val="auto"/>
              </w:rPr>
            </w:pPr>
          </w:p>
        </w:tc>
      </w:tr>
      <w:tr>
        <w:trPr>
          <w:trHeight w:val="218"/>
        </w:trPr>
        <w:tc>
          <w:tcPr>
            <w:tcW w:w="920" w:type="dxa"/>
            <w:vAlign w:val="bottom"/>
          </w:tcPr>
          <w:p>
            <w:pPr>
              <w:spacing w:after="0"/>
              <w:rPr>
                <w:sz w:val="18"/>
                <w:szCs w:val="18"/>
                <w:color w:val="auto"/>
              </w:rPr>
            </w:pPr>
          </w:p>
        </w:tc>
        <w:tc>
          <w:tcPr>
            <w:tcW w:w="7860" w:type="dxa"/>
            <w:vAlign w:val="bottom"/>
            <w:gridSpan w:val="18"/>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u w:val="single" w:color="auto"/>
                  <w:color w:val="0000EE"/>
                </w:rPr>
                <w:t>Form 10-Q for the quarter ended September 30, 2012 (SEC File No. 1-9516), filed on November 7, 2012)</w:t>
              </w:r>
            </w:hyperlink>
            <w:r>
              <w:rPr>
                <w:rFonts w:ascii="Times New Roman" w:cs="Times New Roman" w:eastAsia="Times New Roman" w:hAnsi="Times New Roman"/>
                <w:sz w:val="18"/>
                <w:szCs w:val="18"/>
                <w:color w:val="000000"/>
              </w:rPr>
              <w:t>.</w:t>
            </w:r>
          </w:p>
        </w:tc>
      </w:tr>
      <w:tr>
        <w:trPr>
          <w:trHeight w:val="234"/>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21.1</w:t>
            </w:r>
          </w:p>
        </w:tc>
        <w:tc>
          <w:tcPr>
            <w:tcW w:w="7860" w:type="dxa"/>
            <w:vAlign w:val="bottom"/>
            <w:gridSpan w:val="18"/>
          </w:tcPr>
          <w:p>
            <w:pPr>
              <w:spacing w:after="0"/>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u w:val="single" w:color="auto"/>
                  <w:color w:val="0000EE"/>
                </w:rPr>
                <w:t>Subsidiaries of the Registrants</w:t>
              </w:r>
            </w:hyperlink>
            <w:r>
              <w:rPr>
                <w:rFonts w:ascii="Times New Roman" w:cs="Times New Roman" w:eastAsia="Times New Roman" w:hAnsi="Times New Roman"/>
                <w:sz w:val="18"/>
                <w:szCs w:val="18"/>
                <w:color w:val="000000"/>
              </w:rPr>
              <w:t>.</w:t>
            </w:r>
          </w:p>
        </w:tc>
      </w:tr>
      <w:tr>
        <w:trPr>
          <w:trHeight w:val="243"/>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22.1</w:t>
            </w:r>
          </w:p>
        </w:tc>
        <w:tc>
          <w:tcPr>
            <w:tcW w:w="7860" w:type="dxa"/>
            <w:vAlign w:val="bottom"/>
            <w:gridSpan w:val="18"/>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Subsidiary guarantor.</w:t>
              </w:r>
            </w:hyperlink>
          </w:p>
        </w:tc>
      </w:tr>
      <w:tr>
        <w:trPr>
          <w:trHeight w:val="243"/>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23.1</w:t>
            </w:r>
          </w:p>
        </w:tc>
        <w:tc>
          <w:tcPr>
            <w:tcW w:w="7860" w:type="dxa"/>
            <w:vAlign w:val="bottom"/>
            <w:gridSpan w:val="18"/>
          </w:tcPr>
          <w:p>
            <w:pPr>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u w:val="single" w:color="auto"/>
                  <w:color w:val="0000EE"/>
                </w:rPr>
                <w:t>Consent of Grant Thornton LLP</w:t>
              </w:r>
            </w:hyperlink>
            <w:r>
              <w:rPr>
                <w:rFonts w:ascii="Times New Roman" w:cs="Times New Roman" w:eastAsia="Times New Roman" w:hAnsi="Times New Roman"/>
                <w:sz w:val="18"/>
                <w:szCs w:val="18"/>
                <w:color w:val="000000"/>
              </w:rPr>
              <w:t>.</w:t>
            </w:r>
          </w:p>
        </w:tc>
      </w:tr>
      <w:tr>
        <w:trPr>
          <w:trHeight w:val="243"/>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23.2</w:t>
            </w:r>
          </w:p>
        </w:tc>
        <w:tc>
          <w:tcPr>
            <w:tcW w:w="7860" w:type="dxa"/>
            <w:vAlign w:val="bottom"/>
            <w:gridSpan w:val="18"/>
          </w:tcPr>
          <w:p>
            <w:pPr>
              <w:spacing w:after="0"/>
              <w:rPr>
                <w:rFonts w:ascii="Times New Roman" w:cs="Times New Roman" w:eastAsia="Times New Roman" w:hAnsi="Times New Roman"/>
                <w:sz w:val="18"/>
                <w:szCs w:val="18"/>
                <w:color w:val="0000EE"/>
              </w:rPr>
            </w:pPr>
            <w:hyperlink w:anchor="page171">
              <w:r>
                <w:rPr>
                  <w:rFonts w:ascii="Times New Roman" w:cs="Times New Roman" w:eastAsia="Times New Roman" w:hAnsi="Times New Roman"/>
                  <w:sz w:val="18"/>
                  <w:szCs w:val="18"/>
                  <w:u w:val="single" w:color="auto"/>
                  <w:color w:val="0000EE"/>
                </w:rPr>
                <w:t>Consent of Grant Thornton LLP</w:t>
              </w:r>
            </w:hyperlink>
            <w:r>
              <w:rPr>
                <w:rFonts w:ascii="Times New Roman" w:cs="Times New Roman" w:eastAsia="Times New Roman" w:hAnsi="Times New Roman"/>
                <w:sz w:val="18"/>
                <w:szCs w:val="18"/>
                <w:color w:val="000000"/>
              </w:rPr>
              <w:t>.</w:t>
            </w:r>
          </w:p>
        </w:tc>
      </w:tr>
      <w:tr>
        <w:trPr>
          <w:trHeight w:val="229"/>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31.1</w:t>
            </w:r>
          </w:p>
        </w:tc>
        <w:tc>
          <w:tcPr>
            <w:tcW w:w="7860" w:type="dxa"/>
            <w:vAlign w:val="bottom"/>
            <w:gridSpan w:val="18"/>
          </w:tcPr>
          <w:p>
            <w:pPr>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Certification of Chief Executive Officer pursuant to Section 302(a) of the Sarbanes-Oxley Act of 2002 and</w:t>
              </w:r>
            </w:hyperlink>
          </w:p>
        </w:tc>
      </w:tr>
      <w:tr>
        <w:trPr>
          <w:trHeight w:val="196"/>
        </w:trPr>
        <w:tc>
          <w:tcPr>
            <w:tcW w:w="920" w:type="dxa"/>
            <w:vAlign w:val="bottom"/>
          </w:tcPr>
          <w:p>
            <w:pPr>
              <w:spacing w:after="0"/>
              <w:rPr>
                <w:sz w:val="17"/>
                <w:szCs w:val="17"/>
                <w:color w:val="auto"/>
              </w:rPr>
            </w:pPr>
          </w:p>
        </w:tc>
        <w:tc>
          <w:tcPr>
            <w:tcW w:w="76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Rule 13a-14(a) of the Securities Exchange Act of 1934</w:t>
              </w:r>
              <w:r>
                <w:rPr>
                  <w:rFonts w:ascii="Times New Roman" w:cs="Times New Roman" w:eastAsia="Times New Roman" w:hAnsi="Times New Roman"/>
                  <w:sz w:val="18"/>
                  <w:szCs w:val="18"/>
                  <w:color w:val="000000"/>
                </w:rPr>
                <w:t>.</w:t>
              </w:r>
            </w:hyperlink>
          </w:p>
        </w:tc>
        <w:tc>
          <w:tcPr>
            <w:tcW w:w="18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3680" w:type="dxa"/>
            <w:vAlign w:val="bottom"/>
            <w:gridSpan w:val="1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73">
              <w:r>
                <w:rPr>
                  <w:rFonts w:ascii="Times New Roman" w:cs="Times New Roman" w:eastAsia="Times New Roman" w:hAnsi="Times New Roman"/>
                  <w:sz w:val="18"/>
                  <w:szCs w:val="18"/>
                  <w:color w:val="0000EE"/>
                  <w:w w:val="99"/>
                </w:rPr>
                <w:t>Certification of Chief Financial Officer pursuant to Section 302(a) of the Sarbanes-Oxley Act of 2002 and</w:t>
              </w:r>
            </w:hyperlink>
          </w:p>
        </w:tc>
        <w:tc>
          <w:tcPr>
            <w:tcW w:w="2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860" w:type="dxa"/>
            <w:vAlign w:val="bottom"/>
            <w:gridSpan w:val="18"/>
          </w:tcPr>
          <w:p>
            <w:pPr>
              <w:spacing w:after="0" w:line="196" w:lineRule="exact"/>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Rule 13a-14(a) of the Securities Exchange Act of 1934</w:t>
              </w:r>
              <w:r>
                <w:rPr>
                  <w:rFonts w:ascii="Times New Roman" w:cs="Times New Roman" w:eastAsia="Times New Roman" w:hAnsi="Times New Roman"/>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3960" w:type="dxa"/>
            <w:vAlign w:val="bottom"/>
            <w:gridSpan w:val="2"/>
            <w:shd w:val="clear" w:color="auto" w:fill="0000EE"/>
          </w:tcPr>
          <w:p>
            <w:pPr>
              <w:spacing w:after="0" w:line="20" w:lineRule="exact"/>
              <w:rPr>
                <w:sz w:val="1"/>
                <w:szCs w:val="1"/>
                <w:color w:val="auto"/>
              </w:rPr>
            </w:pPr>
          </w:p>
        </w:tc>
        <w:tc>
          <w:tcPr>
            <w:tcW w:w="3900" w:type="dxa"/>
            <w:vAlign w:val="bottom"/>
            <w:gridSpan w:val="16"/>
          </w:tcPr>
          <w:p>
            <w:pPr>
              <w:spacing w:after="0" w:line="20" w:lineRule="exact"/>
              <w:rPr>
                <w:sz w:val="1"/>
                <w:szCs w:val="1"/>
                <w:color w:val="auto"/>
              </w:rPr>
            </w:pPr>
          </w:p>
        </w:tc>
      </w:tr>
      <w:tr>
        <w:trPr>
          <w:trHeight w:val="196"/>
        </w:trPr>
        <w:tc>
          <w:tcPr>
            <w:tcW w:w="92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8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174">
              <w:r>
                <w:rPr>
                  <w:rFonts w:ascii="Times New Roman" w:cs="Times New Roman" w:eastAsia="Times New Roman" w:hAnsi="Times New Roman"/>
                  <w:sz w:val="18"/>
                  <w:szCs w:val="18"/>
                  <w:color w:val="0000EE"/>
                  <w:w w:val="99"/>
                </w:rPr>
                <w:t>Certification of Chief Executive Officer and Chief Financial Officer pursuant to Section 906 of the Sarbanes-</w:t>
              </w:r>
            </w:hyperlink>
          </w:p>
        </w:tc>
      </w:tr>
      <w:tr>
        <w:trPr>
          <w:trHeight w:val="218"/>
        </w:trPr>
        <w:tc>
          <w:tcPr>
            <w:tcW w:w="920" w:type="dxa"/>
            <w:vAlign w:val="bottom"/>
          </w:tcPr>
          <w:p>
            <w:pPr>
              <w:spacing w:after="0"/>
              <w:rPr>
                <w:sz w:val="18"/>
                <w:szCs w:val="18"/>
                <w:color w:val="auto"/>
              </w:rPr>
            </w:pPr>
          </w:p>
        </w:tc>
        <w:tc>
          <w:tcPr>
            <w:tcW w:w="7860" w:type="dxa"/>
            <w:vAlign w:val="bottom"/>
            <w:gridSpan w:val="18"/>
          </w:tcPr>
          <w:p>
            <w:pPr>
              <w:spacing w:after="0"/>
              <w:rPr>
                <w:rFonts w:ascii="Times New Roman" w:cs="Times New Roman" w:eastAsia="Times New Roman" w:hAnsi="Times New Roman"/>
                <w:sz w:val="18"/>
                <w:szCs w:val="18"/>
                <w:u w:val="single" w:color="auto"/>
                <w:color w:val="0000EE"/>
              </w:rPr>
            </w:pPr>
            <w:hyperlink w:anchor="page174">
              <w:r>
                <w:rPr>
                  <w:rFonts w:ascii="Times New Roman" w:cs="Times New Roman" w:eastAsia="Times New Roman" w:hAnsi="Times New Roman"/>
                  <w:sz w:val="18"/>
                  <w:szCs w:val="18"/>
                  <w:u w:val="single" w:color="auto"/>
                  <w:color w:val="0000EE"/>
                </w:rPr>
                <w:t>Oxley Act of 2002 (18 U.S.C. 1350) and Rule 13a-14(b) of the Securities Exchange Act of 1934</w:t>
              </w:r>
              <w:r>
                <w:rPr>
                  <w:rFonts w:ascii="Times New Roman" w:cs="Times New Roman" w:eastAsia="Times New Roman" w:hAnsi="Times New Roman"/>
                  <w:sz w:val="18"/>
                  <w:szCs w:val="18"/>
                  <w:u w:val="single" w:color="auto"/>
                  <w:color w:val="000000"/>
                </w:rPr>
                <w:t>.</w:t>
              </w:r>
            </w:hyperlink>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9" w:lineRule="exact"/>
        <w:rPr>
          <w:sz w:val="20"/>
          <w:szCs w:val="20"/>
          <w:color w:val="auto"/>
        </w:rPr>
      </w:pPr>
    </w:p>
    <w:p>
      <w:pPr>
        <w:ind w:left="1080" w:hanging="71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3"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By:Icahn Enterprises G.P. Inc., its</w:t>
      </w:r>
    </w:p>
    <w:p>
      <w:pPr>
        <w:spacing w:after="0" w:line="6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26485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Keith Cozza</w:t>
      </w:r>
    </w:p>
    <w:p>
      <w:pPr>
        <w:spacing w:after="0" w:line="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25"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20"/>
                <w:szCs w:val="20"/>
                <w:color w:val="auto"/>
              </w:rPr>
            </w:pPr>
          </w:p>
        </w:tc>
        <w:tc>
          <w:tcPr>
            <w:tcW w:w="44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/s/Keith Cozza</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Keith Cozza</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/s/SungHwan Cho</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SungHwan Cho</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/s/Ted Papapostolou</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Ted Papapostolou</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/s/Brett Icahn</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Brett Icahn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/s/Michael Nevin</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Michael Nevin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/s/Denise Barton</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Denise Barton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/s/Alvin B. Krongard</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Alvin B. Krongard</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/s/Stephen A. Mongillo</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Stephen A. Mongillo</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c>
          <w:tcPr>
            <w:tcW w:w="20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Carl C. Icahn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84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p>
      <w:pPr>
        <w:spacing w:after="0" w:line="2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By:Icahn Enterprises G.P. Inc., its</w:t>
      </w:r>
    </w:p>
    <w:p>
      <w:pPr>
        <w:spacing w:after="0" w:line="6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26485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Keith Cozza</w:t>
      </w:r>
    </w:p>
    <w:p>
      <w:pPr>
        <w:spacing w:after="0" w:line="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2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in the capacities indicated with respect to Icahn Enterprises G.P. Inc., the general partner of Icahn Enterprises Holdings L.P., and on behalf of the registrant and on the dates indicated below by the following persons in the capacities and on the dates indicated.</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0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80" w:type="dxa"/>
            <w:vAlign w:val="bottom"/>
          </w:tcPr>
          <w:p>
            <w:pPr>
              <w:spacing w:after="0"/>
              <w:rPr>
                <w:sz w:val="18"/>
                <w:szCs w:val="18"/>
                <w:color w:val="auto"/>
              </w:rPr>
            </w:pPr>
          </w:p>
        </w:tc>
        <w:tc>
          <w:tcPr>
            <w:tcW w:w="4620" w:type="dxa"/>
            <w:vAlign w:val="bottom"/>
            <w:gridSpan w:val="2"/>
          </w:tcPr>
          <w:p>
            <w:pPr>
              <w:ind w:left="206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3"/>
        </w:trPr>
        <w:tc>
          <w:tcPr>
            <w:tcW w:w="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41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/s/Keith Cozza</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Cozza</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/s/SungHwan Cho</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SungHwan Cho</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/s/Ted Papapostolou</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Ted Papapostolou</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/s/Brett Icahn</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Brett Icahn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/s/Michael Nevin</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Nevin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/s/Denise Barton</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Denise Barton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/s/Alvin B. Krongard</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Alvin B. Krongard</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/s/Stephen A. Mongillo</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r>
      <w:tr>
        <w:trPr>
          <w:trHeight w:val="22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A. Mongillo</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c>
          <w:tcPr>
            <w:tcW w:w="20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Carl C. Icahn</w:t>
            </w:r>
          </w:p>
        </w:tc>
        <w:tc>
          <w:tcPr>
            <w:tcW w:w="1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675"/>
        </w:trPr>
        <w:tc>
          <w:tcPr>
            <w:tcW w:w="80" w:type="dxa"/>
            <w:vAlign w:val="bottom"/>
          </w:tcPr>
          <w:p>
            <w:pPr>
              <w:spacing w:after="0"/>
              <w:rPr>
                <w:sz w:val="24"/>
                <w:szCs w:val="24"/>
                <w:color w:val="auto"/>
              </w:rPr>
            </w:pPr>
          </w:p>
        </w:tc>
        <w:tc>
          <w:tcPr>
            <w:tcW w:w="736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SUBSIDIARIES OF THE REGISTRANTS</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2"/>
        </w:trPr>
        <w:tc>
          <w:tcPr>
            <w:tcW w:w="7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60" w:type="dxa"/>
            <w:vAlign w:val="bottom"/>
          </w:tcPr>
          <w:p>
            <w:pPr>
              <w:spacing w:after="0"/>
              <w:rPr>
                <w:sz w:val="24"/>
                <w:szCs w:val="24"/>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Formation</w:t>
            </w:r>
          </w:p>
        </w:tc>
      </w:tr>
      <w:tr>
        <w:trPr>
          <w:trHeight w:val="76"/>
        </w:trPr>
        <w:tc>
          <w:tcPr>
            <w:tcW w:w="7440" w:type="dxa"/>
            <w:vAlign w:val="bottom"/>
            <w:gridSpan w:val="3"/>
          </w:tcPr>
          <w:p>
            <w:pPr>
              <w:ind w:left="40"/>
              <w:spacing w:after="0" w:line="76" w:lineRule="exact"/>
              <w:rPr>
                <w:sz w:val="20"/>
                <w:szCs w:val="20"/>
                <w:color w:val="auto"/>
              </w:rPr>
            </w:pPr>
            <w:r>
              <w:rPr>
                <w:rFonts w:ascii="Times New Roman" w:cs="Times New Roman" w:eastAsia="Times New Roman" w:hAnsi="Times New Roman"/>
                <w:sz w:val="8"/>
                <w:szCs w:val="8"/>
                <w:color w:val="auto"/>
              </w:rPr>
              <w:t>Icahn Enterprises Holdings L.P.</w:t>
            </w:r>
          </w:p>
        </w:tc>
        <w:tc>
          <w:tcPr>
            <w:tcW w:w="2140" w:type="dxa"/>
            <w:vAlign w:val="bottom"/>
            <w:gridSpan w:val="2"/>
          </w:tcPr>
          <w:p>
            <w:pPr>
              <w:jc w:val="center"/>
              <w:spacing w:after="0" w:line="76" w:lineRule="exact"/>
              <w:rPr>
                <w:sz w:val="20"/>
                <w:szCs w:val="20"/>
                <w:color w:val="auto"/>
              </w:rPr>
            </w:pPr>
            <w:r>
              <w:rPr>
                <w:rFonts w:ascii="Times New Roman" w:cs="Times New Roman" w:eastAsia="Times New Roman" w:hAnsi="Times New Roman"/>
                <w:sz w:val="8"/>
                <w:szCs w:val="8"/>
                <w:color w:val="auto"/>
              </w:rPr>
              <w:t>Delaware</w:t>
            </w:r>
          </w:p>
        </w:tc>
      </w:tr>
      <w:tr>
        <w:trPr>
          <w:trHeight w:val="174"/>
        </w:trPr>
        <w:tc>
          <w:tcPr>
            <w:tcW w:w="7080" w:type="dxa"/>
            <w:vAlign w:val="bottom"/>
            <w:gridSpan w:val="2"/>
          </w:tcPr>
          <w:p>
            <w:pPr>
              <w:ind w:left="2320"/>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0"/>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American Entertainment Properties Corp.</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AEP Real Estate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AEP Serafima Manager Holding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AREP Debt HoldCo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AREP Florida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AREP New York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AREP Real Estate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Atlantic Coast Entertainment Holdings, Inc.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Development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Falling Waters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Flat Pond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Hammond Ridge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Pondview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Bayswater Seaside II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GH Vero Beach Development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GH Vero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Grand Harbor Golf Club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Grand Harbor North Land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Icahn Automotive Service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Icahn Automotive Group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767 Auto Leasing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Icahn Enterprises Onshore/Offshore Investors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Icahn Strategy Holding Corp.</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IEH ARI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IEH Auto Parts Holding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IEH BioPharma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IEH Loop Road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IEH Sherman Drive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IEH Viskase Holdings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Energy Holding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Ferrous Brazil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Ferrous Brazil Sub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AC Holdings LP</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AC Plaza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TERH LP, Inc.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TTM Associates</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TER Holdings I, Inc. f/k/a Trump Entertainment Resorts, Inc.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Peachtree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Valley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IEP Viga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New Seabury Development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New Seabury Golf Club LLC</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547"/>
        </w:trPr>
        <w:tc>
          <w:tcPr>
            <w:tcW w:w="80" w:type="dxa"/>
            <w:vAlign w:val="bottom"/>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580"/>
          </w:cols>
          <w:pgMar w:left="1160" w:top="117" w:right="115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Seabury Private Sewer Treatment Facility LLC</w:t>
            </w:r>
          </w:p>
        </w:tc>
        <w:tc>
          <w:tcPr>
            <w:tcW w:w="2480" w:type="dxa"/>
            <w:vAlign w:val="bottom"/>
            <w:vMerge w:val="restart"/>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9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Seabury Properties L.L.C .</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Seabury Real Estate Holdings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Seabury Residential Properties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NS Beach Club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VB Community Management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Vero Beach Acquisition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IEP Eagle Beach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Eagle Entertainment Cayman Holdings Company Ltd.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Cayman Islands</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Abura Development Corporation</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Aruba</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Eagle Aruba Casino Operating Corporation VBA</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Aruba</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Eagle Aruba Resort Operating Corporation VBA</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Aruba</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Federal-Mogul Ignition Company</w:t>
            </w:r>
          </w:p>
        </w:tc>
        <w:tc>
          <w:tcPr>
            <w:tcW w:w="24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Missouri</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Federal-Mogul New Products Inc.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Agency Services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IEP Parts Acquisition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 Gator Holdings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Enterprises Finance Corp.</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Nashville Recycling,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IPH GP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Capital Management LP</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Capital LP</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Onshore LP</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Offshore LP</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Partners LP</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Pep Boys Manny Moe &amp; Jack (282 "Pep Boys" stores omitted)</w:t>
            </w:r>
          </w:p>
        </w:tc>
        <w:tc>
          <w:tcPr>
            <w:tcW w:w="24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Tire Store Holding Corp.</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 10 Tire Stores, LLC (79 "Big 10 Tires"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Pep Boys - Manny, Moe &amp; Jack of Puerto Rico, Inc. (27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Carrus Supply Corporation</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Florida LLC (11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Indiana LLC (3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North Carolina LLC (1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Puerto Rico LLC (6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Tennessee LLC (2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Colchester Insurance Company</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Vermont</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Pep Boys - Manny, Moe &amp; Jack of Delaware, Inc. (191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Sales US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Sales of New York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Sales of California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Sales of Georgia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Sales of Pennsylvania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Pep Boys - Manny, Moe &amp; Jack of California (228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San Diego LLC</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Arizona LLC (15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Alameda LLC (3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Minnesota LLC (3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Illinois LLC (1 "Pep Boys" stores omitted)</w:t>
            </w:r>
          </w:p>
        </w:tc>
        <w:tc>
          <w:tcPr>
            <w:tcW w:w="24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763"/>
        </w:trPr>
        <w:tc>
          <w:tcPr>
            <w:tcW w:w="40" w:type="dxa"/>
            <w:vAlign w:val="bottom"/>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40"/>
          </w:cols>
          <w:pgMar w:left="1200" w:top="94" w:right="125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Hartford LLC (2 "Pep Boys" stores omitted)</w:t>
            </w:r>
          </w:p>
        </w:tc>
        <w:tc>
          <w:tcPr>
            <w:tcW w:w="234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706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Massachusettes LLC (2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Michigan LLC (5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Nassau LLC (5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 Acquisition Company Washington LLC (10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Holdings, LLC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LLC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CTEX LLC (11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CO LLC (11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AZ LLC (5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GA LLC (8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NV LLC (7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NTEX LLC (17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FL LLC (25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JBRE STEX LLC (8 "Pep Boys"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Auto Care, Inc. (52 "Precision Tune"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Printing,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JAC Corporation</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Tune Auto Care,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PTAC Operating Centers, LLC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PTW,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Washington</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Franchising LLC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Auto Care Canada,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ACC-U-TUNE</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60 Minute Tune,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Washington</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 Tune,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Colorado</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Miracle Industries, Inc</w:t>
            </w:r>
          </w:p>
        </w:tc>
        <w:tc>
          <w:tcPr>
            <w:tcW w:w="23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 Mexican Delaware Holding Company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Auto Care Mexico II, S. de R.l.</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Auto Care Mexico I, S. de R.l.</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Promotora de Franquicas Praxis, S.A. de C.V.</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Praxis Afinaciones Puerto Rico,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Sixar Afinaciones Puerto Rico,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Praxis Autopartes S.S. de C.V.</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Praxis Afinaciones S.A. de C.V.</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Premier Accessories S.A. de C.V.</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Sixar Afinaciones S.A. de C.V.</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Sixar Guadalajara S.A. de C.V.</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Sixar Occidente, S.A.</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Miracle Partners,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Precision Building Solutions, Inc.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IEH BA LLC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IEH AIM LLC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Icahn Automotive Service Partners LLC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IEH Auto Parts LLC (446 "Auto Plus" and 20 "Consumer Auto Parts" stores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Clark LLC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Gordon LLC (1 "Auto Plus" store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Missouri LLC (1 "Auto Plus" store omitted)</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Washington LLC</w:t>
            </w:r>
          </w:p>
        </w:tc>
        <w:tc>
          <w:tcPr>
            <w:tcW w:w="2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763"/>
        </w:trPr>
        <w:tc>
          <w:tcPr>
            <w:tcW w:w="4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40"/>
          </w:cols>
          <w:pgMar w:left="1200" w:top="94" w:right="125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Massachusetts LLC (3 "Auto Plus" stores omitted)</w:t>
            </w:r>
          </w:p>
        </w:tc>
        <w:tc>
          <w:tcPr>
            <w:tcW w:w="26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72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North Carolina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 Acquisition Company New York LLC (2 "Auto Plus" stores omitted)</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Transmissions,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Canada, Inc.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Driveline Technical Services,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Driveline Centers,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Cottman Transmission Systems,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Ross Advertising,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Retail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Northeast LLC (3 "AAMCO" stores omitted)</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Northwest LLC (10 "AAMCO" stores omitted)</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Southeast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AAMCO Southwest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Energy Inc.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Nitrogen Fertilizers, Inc.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Services,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Resources Refining &amp; Marketing,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Resources Crude Transportation,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Resources Terminal,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Resources Pipeline,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GP,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Partners, LP</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Coffeyville Resources Nitrogen Fertilizers,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Wynnewood Energy Company,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Wynnewood Refining Company,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Refining,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Wynnewood Insurance Corporation</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Hawaii</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Refining, LP</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Refining GP,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Nitrogen GP,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Nitrogen, LP</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Nitrogen Finance Corporation</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Dubuque Nitrogen Fertlizers,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Aviation, LLC</w:t>
            </w:r>
          </w:p>
        </w:tc>
        <w:tc>
          <w:tcPr>
            <w:tcW w:w="26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 W Recycling, LLC (dba PSC Metals)</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TAP USA,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Carbon Plate Steel Products,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Akron,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Aliquippa,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Alliance,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Beaver Falls,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Canton,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CAW,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Chattanooga,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D&amp;L,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Pennsylvania</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Elyria,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Garn, LLC</w:t>
            </w:r>
          </w:p>
        </w:tc>
        <w:tc>
          <w:tcPr>
            <w:tcW w:w="26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763"/>
        </w:trPr>
        <w:tc>
          <w:tcPr>
            <w:tcW w:w="40" w:type="dxa"/>
            <w:vAlign w:val="bottom"/>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40"/>
          </w:cols>
          <w:pgMar w:left="1200" w:top="94" w:right="125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Joyce, LLC</w:t>
            </w:r>
          </w:p>
        </w:tc>
        <w:tc>
          <w:tcPr>
            <w:tcW w:w="4000" w:type="dxa"/>
            <w:vAlign w:val="bottom"/>
            <w:vMerge w:val="restart"/>
          </w:tcPr>
          <w:p>
            <w:pPr>
              <w:jc w:val="center"/>
              <w:ind w:left="195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540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Knoxville, LLC</w:t>
            </w:r>
          </w:p>
        </w:tc>
        <w:tc>
          <w:tcPr>
            <w:tcW w:w="40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Massillon, LLC</w:t>
            </w:r>
          </w:p>
        </w:tc>
        <w:tc>
          <w:tcPr>
            <w:tcW w:w="40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Metallics, LLC</w:t>
            </w:r>
          </w:p>
        </w:tc>
        <w:tc>
          <w:tcPr>
            <w:tcW w:w="40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Mitco, LLC</w:t>
            </w:r>
          </w:p>
        </w:tc>
        <w:tc>
          <w:tcPr>
            <w:tcW w:w="40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New York,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Queen City, LLC</w:t>
            </w:r>
          </w:p>
        </w:tc>
        <w:tc>
          <w:tcPr>
            <w:tcW w:w="40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Rockwood, LLC</w:t>
            </w:r>
          </w:p>
        </w:tc>
        <w:tc>
          <w:tcPr>
            <w:tcW w:w="40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South Knoxville, LLC</w:t>
            </w:r>
          </w:p>
        </w:tc>
        <w:tc>
          <w:tcPr>
            <w:tcW w:w="40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St. Louis, LLC</w:t>
            </w:r>
          </w:p>
        </w:tc>
        <w:tc>
          <w:tcPr>
            <w:tcW w:w="40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PSC Metals - Wooster, LLC</w:t>
            </w:r>
          </w:p>
        </w:tc>
        <w:tc>
          <w:tcPr>
            <w:tcW w:w="40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 Gray,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Tennessee</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CAPPCO Tubular Products USA,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Companies, Inc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WSC Corp.</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Films, Inc.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del Norte, S.A. de C.V.</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Servicos Viskase del Norte, S.A. de C.V.</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Mexico</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S.A.S.</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SpA</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Gmbh</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Polska SP.ZO.O</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Poland</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Spain SL</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Brasil Embalagens Ltda</w:t>
            </w:r>
          </w:p>
        </w:tc>
        <w:tc>
          <w:tcPr>
            <w:tcW w:w="40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Asia Pacific Corp</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Sales Philippines Inc.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Holdings, Inc.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Walsroder Casings GmbH</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CT Casings Beteiligungs GmbH</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Netherlands Holding,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(Netherlands) Coopertief</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Netherlands</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Asia Ltd.</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Pakistan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IP,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Trademarks,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Property Holdings I,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Property Holdings II,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Stores,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Sales, Inc.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WPH - Nostalgia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Lanier/Carter,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Lumberton,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Wagram,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Clemson,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Properties Wagram Facility, LLC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(Netherlands) B.V.</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(Bahrain) W.L.L.</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Bahrain</w:t>
            </w: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WestPoint Home (Shanghai) Inc.</w:t>
            </w:r>
          </w:p>
        </w:tc>
        <w:tc>
          <w:tcPr>
            <w:tcW w:w="400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7"/>
              </w:rPr>
              <w:t>China</w:t>
            </w:r>
          </w:p>
        </w:tc>
        <w:tc>
          <w:tcPr>
            <w:tcW w:w="0" w:type="dxa"/>
            <w:vAlign w:val="bottom"/>
          </w:tcPr>
          <w:p>
            <w:pPr>
              <w:spacing w:after="0"/>
              <w:rPr>
                <w:sz w:val="1"/>
                <w:szCs w:val="1"/>
                <w:color w:val="auto"/>
              </w:rPr>
            </w:pPr>
          </w:p>
        </w:tc>
      </w:tr>
      <w:tr>
        <w:trPr>
          <w:trHeight w:val="763"/>
        </w:trPr>
        <w:tc>
          <w:tcPr>
            <w:tcW w:w="40" w:type="dxa"/>
            <w:vAlign w:val="bottom"/>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40"/>
          </w:cols>
          <w:pgMar w:left="1200" w:top="94" w:right="12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WestPoint Home Luxury Linens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WP Properties Greenville,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WP Properties LMP,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WP Properties Opelika Lots,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WP Properties Lakeview,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WP Properties Transportation Center, 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WestPoint VSS Holding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Support Services Global Limited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Linens Group Limited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Support Services Asia Limited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Support Services Limited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Support Services Pakistan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Support Services Pvt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VSS Ningbo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Support Gulf FZE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Support Services Europe Limited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Linens Limited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Lissadell Liddell Ireland Limited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Vision Linens B.V.</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VIVUS,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Vivus Pharmaceuticals Limited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VIVUS BV</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Vivus Digital Health</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Kingdom</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Kingdom</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Mauritius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Pakistan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China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United Arab Emirates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Republic of Ireland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Kingdom</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Republic of Ireland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Netherlands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Canada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Netherlands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960" w:space="720"/>
            <w:col w:w="1580"/>
          </w:cols>
          <w:pgMar w:left="1200" w:top="94" w:right="1439" w:bottom="1440" w:gutter="0" w:footer="0" w:header="0"/>
        </w:sectPr>
      </w:pPr>
    </w:p>
    <w:p>
      <w:pPr>
        <w:spacing w:after="0" w:line="156" w:lineRule="exact"/>
        <w:rPr>
          <w:sz w:val="20"/>
          <w:szCs w:val="20"/>
          <w:color w:val="auto"/>
        </w:rPr>
      </w:pPr>
    </w:p>
    <w:p>
      <w:pPr>
        <w:ind w:left="200" w:right="80" w:hanging="160"/>
        <w:spacing w:after="0" w:line="223" w:lineRule="auto"/>
        <w:tabs>
          <w:tab w:leader="none" w:pos="198"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Icahn Enterprises Holdings L.P. is a 99% owned subsidiary of Icahn Enterprises L.P. All other subsidiaries listed above are subsidiaries of Icahn Enterprises Holdings L.P. and therefore are also subsidiaries of Icahn Enterprises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478155</wp:posOffset>
            </wp:positionV>
            <wp:extent cx="596646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260"/>
          </w:cols>
          <w:pgMar w:left="1200" w:top="94" w:right="1439" w:bottom="1440" w:gutter="0" w:footer="0" w:header="0"/>
          <w:type w:val="continuous"/>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GUARANTOR</w:t>
      </w:r>
    </w:p>
    <w:p>
      <w:pPr>
        <w:spacing w:after="0" w:line="200" w:lineRule="exact"/>
        <w:rPr>
          <w:sz w:val="20"/>
          <w:szCs w:val="20"/>
          <w:color w:val="auto"/>
        </w:rPr>
      </w:pPr>
    </w:p>
    <w:p>
      <w:pPr>
        <w:spacing w:after="0" w:line="28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Each of the senior unsecured notes listed below have been issued by Icahn Enterprises L.P. (“Icahn Enterprises”) and Icahn Enterprises Finance Corp. (“Icahn Enterprises Finance”), as co-issuers, and are guaranteed by Icahn Enterprises Holdings L.P. (“Icahn Enterprises Holdings”).</w:t>
      </w:r>
    </w:p>
    <w:p>
      <w:pPr>
        <w:spacing w:after="0" w:line="110" w:lineRule="exact"/>
        <w:rPr>
          <w:sz w:val="20"/>
          <w:szCs w:val="20"/>
          <w:color w:val="auto"/>
        </w:rPr>
      </w:pPr>
    </w:p>
    <w:p>
      <w:pPr>
        <w:jc w:val="both"/>
        <w:ind w:right="320"/>
        <w:spacing w:after="0" w:line="281" w:lineRule="auto"/>
        <w:rPr>
          <w:sz w:val="20"/>
          <w:szCs w:val="20"/>
          <w:color w:val="auto"/>
        </w:rPr>
      </w:pPr>
      <w:r>
        <w:rPr>
          <w:rFonts w:ascii="Times New Roman" w:cs="Times New Roman" w:eastAsia="Times New Roman" w:hAnsi="Times New Roman"/>
          <w:sz w:val="18"/>
          <w:szCs w:val="18"/>
          <w:color w:val="auto"/>
        </w:rPr>
        <w:t>Icahn Enterprises has a 99% limited partner interest in Icahn Enterprises Holdings, which owns substantially all the assets and liabilities of, and conducts substantially all the operations of, Icahn Enterprises. Icahn Enterprises Finance is a wholly owned finance subsidiary of Icahn Enterprises.</w:t>
      </w:r>
    </w:p>
    <w:p>
      <w:pPr>
        <w:spacing w:after="0" w:line="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6.250% senior unsecured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596646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5966460" cy="1289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6.750% senior unsecured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596646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5966460" cy="128905"/>
                    </a:xfrm>
                    <a:prstGeom prst="rect">
                      <a:avLst/>
                    </a:prstGeom>
                    <a:noFill/>
                  </pic:spPr>
                </pic:pic>
              </a:graphicData>
            </a:graphic>
          </wp:anchor>
        </w:drawing>
      </w:r>
    </w:p>
    <w:p>
      <w:pPr>
        <w:ind w:left="100"/>
        <w:spacing w:after="0" w:line="234" w:lineRule="auto"/>
        <w:rPr>
          <w:sz w:val="20"/>
          <w:szCs w:val="20"/>
          <w:color w:val="auto"/>
        </w:rPr>
      </w:pPr>
      <w:r>
        <w:rPr>
          <w:rFonts w:ascii="Times New Roman" w:cs="Times New Roman" w:eastAsia="Times New Roman" w:hAnsi="Times New Roman"/>
          <w:sz w:val="18"/>
          <w:szCs w:val="18"/>
          <w:color w:val="auto"/>
        </w:rPr>
        <w:t>4.750% senior unsecured notes due 2024</w:t>
      </w:r>
    </w:p>
    <w:p>
      <w:pPr>
        <w:ind w:left="100"/>
        <w:spacing w:after="0" w:line="235" w:lineRule="auto"/>
        <w:rPr>
          <w:sz w:val="20"/>
          <w:szCs w:val="20"/>
          <w:color w:val="auto"/>
        </w:rPr>
      </w:pPr>
      <w:r>
        <w:rPr>
          <w:rFonts w:ascii="Times New Roman" w:cs="Times New Roman" w:eastAsia="Times New Roman" w:hAnsi="Times New Roman"/>
          <w:sz w:val="18"/>
          <w:szCs w:val="18"/>
          <w:color w:val="auto"/>
        </w:rPr>
        <w:t>6.375% senior unsecured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96646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5966460" cy="128905"/>
                    </a:xfrm>
                    <a:prstGeom prst="rect">
                      <a:avLst/>
                    </a:prstGeom>
                    <a:noFill/>
                  </pic:spPr>
                </pic:pic>
              </a:graphicData>
            </a:graphic>
          </wp:anchor>
        </w:drawing>
      </w:r>
    </w:p>
    <w:p>
      <w:pPr>
        <w:ind w:left="100"/>
        <w:spacing w:after="0" w:line="235" w:lineRule="auto"/>
        <w:rPr>
          <w:sz w:val="20"/>
          <w:szCs w:val="20"/>
          <w:color w:val="auto"/>
        </w:rPr>
      </w:pPr>
      <w:r>
        <w:rPr>
          <w:rFonts w:ascii="Times New Roman" w:cs="Times New Roman" w:eastAsia="Times New Roman" w:hAnsi="Times New Roman"/>
          <w:sz w:val="18"/>
          <w:szCs w:val="18"/>
          <w:color w:val="auto"/>
        </w:rPr>
        <w:t>6.250% senior unsecured notes due 2026</w:t>
      </w:r>
    </w:p>
    <w:p>
      <w:pPr>
        <w:ind w:left="100"/>
        <w:spacing w:after="0" w:line="235" w:lineRule="auto"/>
        <w:rPr>
          <w:sz w:val="20"/>
          <w:szCs w:val="20"/>
          <w:color w:val="auto"/>
        </w:rPr>
      </w:pPr>
      <w:r>
        <w:rPr>
          <w:rFonts w:ascii="Times New Roman" w:cs="Times New Roman" w:eastAsia="Times New Roman" w:hAnsi="Times New Roman"/>
          <w:sz w:val="18"/>
          <w:szCs w:val="18"/>
          <w:color w:val="auto"/>
        </w:rPr>
        <w:t>5.250% senior unsecured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96646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5966460" cy="1289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4.375% senior unsecured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733425</wp:posOffset>
            </wp:positionV>
            <wp:extent cx="596646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5966460" cy="26035"/>
                    </a:xfrm>
                    <a:prstGeom prst="rect">
                      <a:avLst/>
                    </a:prstGeom>
                    <a:noFill/>
                  </pic:spPr>
                </pic:pic>
              </a:graphicData>
            </a:graphic>
          </wp:anchor>
        </w:drawing>
      </w:r>
    </w:p>
    <w:p>
      <w:pPr>
        <w:sectPr>
          <w:pgSz w:w="11900" w:h="16838" w:orient="portrait"/>
          <w:cols w:equalWidth="0" w:num="1">
            <w:col w:w="9400"/>
          </w:cols>
          <w:pgMar w:left="1240" w:top="347" w:right="125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have issued our reports dated February 26, 2021, with respect to the consolidated financial statements and internal control over financial reporting of Icahn Enterprises L.P. and subsidiaries included in the joint Annual Report of Icahn Enterprises L.P. and Icahn Enterprises Holdings L.P. on Form 10-K for the year ended December 31, 2020. We consent to the incorporation by reference of said reports in the Registration Statements of Icahn Enterprises L.P. and subsidiaries on Form S-3 (File No. 333-232711) and on Form S-8 (File No. 333-216934).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485775</wp:posOffset>
            </wp:positionV>
            <wp:extent cx="598360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333" w:right="12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8"/>
          <w:szCs w:val="18"/>
          <w:color w:val="auto"/>
        </w:rPr>
        <w:t>We have issued our report dated February 26, 2021, with respect to the consolidated financial statements of Icahn Enterprises Holdings L.P. and subsidiaries included in the joint Annual Report of Icahn Enterprises L.P. and Icahn Enterprises Holdings L.P. on Form 10-K for the year ended December 31, 2020. We consent to the incorporation by reference of said report in the Registration Statement of Icahn Enterprises L.P. and subsidiaries on Form S-3 (File No. 333-232711).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511810</wp:posOffset>
            </wp:positionV>
            <wp:extent cx="598360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374" w:right="12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Cozza, certify that:</w:t>
      </w:r>
    </w:p>
    <w:p>
      <w:pPr>
        <w:spacing w:after="0" w:line="225" w:lineRule="exact"/>
        <w:rPr>
          <w:sz w:val="20"/>
          <w:szCs w:val="20"/>
          <w:color w:val="auto"/>
        </w:rPr>
      </w:pPr>
    </w:p>
    <w:p>
      <w:pPr>
        <w:ind w:right="40" w:firstLine="321"/>
        <w:spacing w:after="0" w:line="282" w:lineRule="auto"/>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joint annual report on Form 10-K of Icahn Enterprises L.P. and Icahn Enterprises Holdings L.P. for the year ended December 31, 2020;</w:t>
      </w:r>
    </w:p>
    <w:p>
      <w:pPr>
        <w:spacing w:after="0" w:line="161"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40" w:firstLine="321"/>
        <w:spacing w:after="0" w:line="266" w:lineRule="auto"/>
        <w:tabs>
          <w:tab w:leader="none" w:pos="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60" w:firstLine="325"/>
        <w:spacing w:after="0" w:line="266" w:lineRule="auto"/>
        <w:tabs>
          <w:tab w:leader="none" w:pos="82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8890</wp:posOffset>
            </wp:positionV>
            <wp:extent cx="338645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Keith Cozza</w:t>
      </w:r>
    </w:p>
    <w:p>
      <w:pPr>
        <w:spacing w:after="0" w:line="131" w:lineRule="exact"/>
        <w:rPr>
          <w:sz w:val="20"/>
          <w:szCs w:val="20"/>
          <w:color w:val="auto"/>
        </w:rPr>
      </w:pPr>
    </w:p>
    <w:p>
      <w:pPr>
        <w:jc w:val="both"/>
        <w:ind w:left="4120" w:right="80"/>
        <w:spacing w:after="0" w:line="205"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 and Icahn Enterprises Holdings L.P.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SungHwan Cho, certify that:</w:t>
      </w:r>
    </w:p>
    <w:p>
      <w:pPr>
        <w:spacing w:after="0" w:line="225" w:lineRule="exact"/>
        <w:rPr>
          <w:sz w:val="20"/>
          <w:szCs w:val="20"/>
          <w:color w:val="auto"/>
        </w:rPr>
      </w:pPr>
    </w:p>
    <w:p>
      <w:pPr>
        <w:ind w:right="40" w:firstLine="321"/>
        <w:spacing w:after="0" w:line="282" w:lineRule="auto"/>
        <w:tabs>
          <w:tab w:leader="none" w:pos="5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joint annual report on Form 10-K of Icahn Enterprises L.P. and Icahn Enterprises Holdings L.P. for the year ended December 31, 2020;</w:t>
      </w:r>
    </w:p>
    <w:p>
      <w:pPr>
        <w:spacing w:after="0" w:line="161"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40" w:firstLine="321"/>
        <w:spacing w:after="0" w:line="266" w:lineRule="auto"/>
        <w:tabs>
          <w:tab w:leader="none" w:pos="5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60" w:firstLine="325"/>
        <w:spacing w:after="0" w:line="266" w:lineRule="auto"/>
        <w:tabs>
          <w:tab w:leader="none" w:pos="82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8890</wp:posOffset>
            </wp:positionV>
            <wp:extent cx="338645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SungHwan Cho</w:t>
      </w:r>
    </w:p>
    <w:p>
      <w:pPr>
        <w:spacing w:after="0" w:line="77" w:lineRule="exact"/>
        <w:rPr>
          <w:sz w:val="20"/>
          <w:szCs w:val="20"/>
          <w:color w:val="auto"/>
        </w:rPr>
      </w:pPr>
    </w:p>
    <w:p>
      <w:pPr>
        <w:ind w:left="4120" w:right="340"/>
        <w:spacing w:after="0" w:line="235" w:lineRule="auto"/>
        <w:rPr>
          <w:sz w:val="20"/>
          <w:szCs w:val="20"/>
          <w:color w:val="auto"/>
        </w:rPr>
      </w:pPr>
      <w:r>
        <w:rPr>
          <w:rFonts w:ascii="Times New Roman" w:cs="Times New Roman" w:eastAsia="Times New Roman" w:hAnsi="Times New Roman"/>
          <w:sz w:val="17"/>
          <w:szCs w:val="17"/>
          <w:color w:val="auto"/>
        </w:rPr>
        <w:t>Chief Financial Officer of Icahn Enterprises G.P. Inc., the general partner of Icahn Enterprises L.P. and Icahn Enterprises Holdings L.P.</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173" w:name="page174"/>
    <w:bookmarkEnd w:id="173"/>
    <w:p>
      <w:pPr>
        <w:ind w:left="8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joint annual report on Form 10-K of Icahn Enterprises L.P. and Icahn Enterprises Holdings L.P., for the year ended December 31, 2020, the undersigned certify that, to the best of his knowledge, based upon a review of the Icahn Enterprises L.P. and Icahn Enterprises Holdings L.P. joint annual report on Form 10-K for the year ended December 31, 2020:</w:t>
      </w:r>
    </w:p>
    <w:p>
      <w:pPr>
        <w:spacing w:after="0" w:line="176" w:lineRule="exact"/>
        <w:rPr>
          <w:sz w:val="20"/>
          <w:szCs w:val="20"/>
          <w:color w:val="auto"/>
        </w:rPr>
      </w:pPr>
    </w:p>
    <w:p>
      <w:pPr>
        <w:ind w:right="460" w:firstLine="321"/>
        <w:spacing w:after="0" w:line="282" w:lineRule="auto"/>
        <w:tabs>
          <w:tab w:leader="none" w:pos="57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500" w:firstLine="321"/>
        <w:spacing w:after="0" w:line="282" w:lineRule="auto"/>
        <w:tabs>
          <w:tab w:leader="none" w:pos="57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registrants.</w:t>
      </w:r>
    </w:p>
    <w:p>
      <w:pPr>
        <w:spacing w:after="0" w:line="2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8890</wp:posOffset>
            </wp:positionV>
            <wp:extent cx="341185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Keith Cozza</w:t>
      </w:r>
    </w:p>
    <w:p>
      <w:pPr>
        <w:spacing w:after="0" w:line="131" w:lineRule="exact"/>
        <w:rPr>
          <w:sz w:val="20"/>
          <w:szCs w:val="20"/>
          <w:color w:val="auto"/>
        </w:rPr>
      </w:pPr>
    </w:p>
    <w:p>
      <w:pPr>
        <w:jc w:val="both"/>
        <w:ind w:left="4080" w:right="120"/>
        <w:spacing w:after="0" w:line="205"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 and Icahn Enterprises Holdings L.P.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8890</wp:posOffset>
            </wp:positionV>
            <wp:extent cx="338645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SungHwan Cho</w:t>
      </w:r>
    </w:p>
    <w:p>
      <w:pPr>
        <w:spacing w:after="0" w:line="77" w:lineRule="exact"/>
        <w:rPr>
          <w:sz w:val="20"/>
          <w:szCs w:val="20"/>
          <w:color w:val="auto"/>
        </w:rPr>
      </w:pPr>
    </w:p>
    <w:p>
      <w:pPr>
        <w:ind w:left="4120" w:right="340"/>
        <w:spacing w:after="0" w:line="235" w:lineRule="auto"/>
        <w:rPr>
          <w:sz w:val="20"/>
          <w:szCs w:val="20"/>
          <w:color w:val="auto"/>
        </w:rPr>
      </w:pPr>
      <w:r>
        <w:rPr>
          <w:rFonts w:ascii="Times New Roman" w:cs="Times New Roman" w:eastAsia="Times New Roman" w:hAnsi="Times New Roman"/>
          <w:sz w:val="17"/>
          <w:szCs w:val="17"/>
          <w:color w:val="auto"/>
        </w:rPr>
        <w:t>Chief Financial Officer of Icahn Enterprises G.P. Inc., the general partner of Icahn Enterprises L.P. and Icahn Enterprises Holdings L.P.</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sectPr>
      <w:pgSz w:w="11900" w:h="16838" w:orient="portrait"/>
      <w:cols w:equalWidth="0" w:num="1">
        <w:col w:w="9420"/>
      </w:cols>
      <w:pgMar w:left="124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lowerRoman"/>
      <w:start w:val="2"/>
    </w:lvl>
  </w:abstractNum>
  <w:abstractNum w:abstractNumId="19">
    <w:nsid w:val="3A95F874"/>
    <w:multiLevelType w:val="hybridMultilevel"/>
    <w:lvl w:ilvl="0">
      <w:lvlJc w:val="left"/>
      <w:lvlText w:val="(%1)"/>
      <w:numFmt w:val="lowerRoman"/>
      <w:start w:val="2"/>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9"/>
    </w:lvl>
  </w:abstractNum>
  <w:abstractNum w:abstractNumId="24">
    <w:nsid w:val="6CEAF087"/>
    <w:multiLevelType w:val="hybridMultilevel"/>
    <w:lvl w:ilvl="0">
      <w:lvlJc w:val="left"/>
      <w:lvlText w:val="%1."/>
      <w:numFmt w:val="decimal"/>
      <w:start w:val="14"/>
    </w:lvl>
  </w:abstractNum>
  <w:abstractNum w:abstractNumId="25">
    <w:nsid w:val="22221A70"/>
    <w:multiLevelType w:val="hybridMultilevel"/>
    <w:lvl w:ilvl="0">
      <w:lvlJc w:val="left"/>
      <w:lvlText w:val="%1."/>
      <w:numFmt w:val="decimal"/>
      <w:start w:val="16"/>
    </w:lvl>
  </w:abstractNum>
  <w:abstractNum w:abstractNumId="26">
    <w:nsid w:val="4516DDE9"/>
    <w:multiLevelType w:val="hybridMultilevel"/>
    <w:lvl w:ilvl="0">
      <w:lvlJc w:val="left"/>
      <w:lvlText w:val="(%1)"/>
      <w:numFmt w:val="decimal"/>
      <w:start w:val="7"/>
    </w:lvl>
  </w:abstractNum>
  <w:abstractNum w:abstractNumId="27">
    <w:nsid w:val="3006C83E"/>
    <w:multiLevelType w:val="hybridMultilevel"/>
    <w:lvl w:ilvl="0">
      <w:lvlJc w:val="left"/>
      <w:lvlText w:val="●"/>
      <w:numFmt w:val="bullet"/>
      <w:start w:val="1"/>
    </w:lvl>
    <w:lvl w:ilvl="1">
      <w:lvlJc w:val="left"/>
      <w:lvlText w:val="(%2)"/>
      <w:numFmt w:val="decimal"/>
      <w:start w:val="1"/>
    </w:lvl>
  </w:abstractNum>
  <w:abstractNum w:abstractNumId="28">
    <w:nsid w:val="614FD4A1"/>
    <w:multiLevelType w:val="hybridMultilevel"/>
    <w:lvl w:ilvl="0">
      <w:lvlJc w:val="left"/>
      <w:lvlText w:val="(%1)"/>
      <w:numFmt w:val="lowerRoman"/>
      <w:start w:val="3"/>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4"/>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10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3" Type="http://schemas.openxmlformats.org/officeDocument/2006/relationships/image" Target="media/image174.png"/><Relationship Id="rId196" Type="http://schemas.openxmlformats.org/officeDocument/2006/relationships/image" Target="media/image175.png"/><Relationship Id="rId211" Type="http://schemas.openxmlformats.org/officeDocument/2006/relationships/image" Target="media/image176.png"/><Relationship Id="rId225"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4" Type="http://schemas.openxmlformats.org/officeDocument/2006/relationships/hyperlink" Target="https://www.sec.gov/ix?doc=/Archives/edgar/data/813762/000081376220000008/iep-20191231.htm" TargetMode="External"/><Relationship Id="rId182" Type="http://schemas.openxmlformats.org/officeDocument/2006/relationships/hyperlink" Target="https://www.sec.gov/Archives/edgar/data/813762/000110465916143329/a16-17984_1ex2d1.htm" TargetMode="External"/><Relationship Id="rId184" Type="http://schemas.openxmlformats.org/officeDocument/2006/relationships/hyperlink" Target="https://www.sec.gov/Archives/edgar/data/813762/000114420416140174/v449727_ex2-1.htm" TargetMode="External"/><Relationship Id="rId185" Type="http://schemas.openxmlformats.org/officeDocument/2006/relationships/hyperlink" Target="https://www.sec.gov/Archives/edgar/data/813762/000119312518112277/d554615dex21.htm" TargetMode="External"/><Relationship Id="rId186" Type="http://schemas.openxmlformats.org/officeDocument/2006/relationships/hyperlink" Target="https://www.sec.gov/Archives/edgar/data/813762/000110465918024062/a18-11003_1ex2d1.htm" TargetMode="External"/><Relationship Id="rId187" Type="http://schemas.openxmlformats.org/officeDocument/2006/relationships/hyperlink" Target="https://www.sec.gov/Archives/edgar/data/813762/000114036118040981/s002486x3_ex2-1.htm" TargetMode="External"/><Relationship Id="rId188" Type="http://schemas.openxmlformats.org/officeDocument/2006/relationships/hyperlink" Target="https://www.sec.gov/Archives/edgar/data/813762/000114420407050385/v088216_ex3-1.htm" TargetMode="External"/><Relationship Id="rId189" Type="http://schemas.openxmlformats.org/officeDocument/2006/relationships/hyperlink" Target="https://www.sec.gov/Archives/edgar/data/813762/000114420408015862/v106776_ex3-9.htm" TargetMode="External"/><Relationship Id="rId190" Type="http://schemas.openxmlformats.org/officeDocument/2006/relationships/hyperlink" Target="https://www.sec.gov/Archives/edgar/data/813762/000081376216000089/iep-ex31_amendedandrestate.htm" TargetMode="External"/><Relationship Id="rId191" Type="http://schemas.openxmlformats.org/officeDocument/2006/relationships/hyperlink" Target="https://www.sec.gov/Archives/edgar/data/813762/000095012304006078/y97041exv3w5.txt" TargetMode="External"/><Relationship Id="rId192" Type="http://schemas.openxmlformats.org/officeDocument/2006/relationships/hyperlink" Target="https://www.sec.gov/Archives/edgar/data/813762/0000897204-96-000093.txt" TargetMode="External"/><Relationship Id="rId193" Type="http://schemas.openxmlformats.org/officeDocument/2006/relationships/hyperlink" Target="https://www.sec.gov/Archives/edgar/data/813762/000095011703001233/ex3-9.txt" TargetMode="External"/><Relationship Id="rId194" Type="http://schemas.openxmlformats.org/officeDocument/2006/relationships/hyperlink" Target="https://www.sec.gov/Archives/edgar/data/813762/000095012305009643/y11364exv3w2.htm" TargetMode="External"/><Relationship Id="rId195" Type="http://schemas.openxmlformats.org/officeDocument/2006/relationships/hyperlink" Target="https://www.sec.gov/Archives/edgar/data/813762/000114420408015862/v106776_ex3-11.htm" TargetMode="External"/><Relationship Id="rId197" Type="http://schemas.openxmlformats.org/officeDocument/2006/relationships/hyperlink" Target="https://www.sec.gov/Archives/edgar/data/813762/000081376220000008/ex41123119.htm" TargetMode="External"/><Relationship Id="rId198" Type="http://schemas.openxmlformats.org/officeDocument/2006/relationships/hyperlink" Target="https://www.sec.gov/Archives/edgar/data/813762/000095012305003242/y06341exv4w4.htm" TargetMode="External"/><Relationship Id="rId199" Type="http://schemas.openxmlformats.org/officeDocument/2006/relationships/hyperlink" Target="https://www.sec.gov/Archives/edgar/data/813762/000095012305003242/y06341exv4w3.htm" TargetMode="External"/><Relationship Id="rId200" Type="http://schemas.openxmlformats.org/officeDocument/2006/relationships/hyperlink" Target="https://www.sec.gov/Archives/edgar/data/813762/000081376216000089/iep-ex41_certificatex8416.htm" TargetMode="External"/><Relationship Id="rId201" Type="http://schemas.openxmlformats.org/officeDocument/2006/relationships/hyperlink" Target="https://www.sec.gov/Archives/edgar/data/813762/0000897204-95-000016.txt" TargetMode="External"/><Relationship Id="rId202" Type="http://schemas.openxmlformats.org/officeDocument/2006/relationships/hyperlink" Target="https://www.sec.gov/Archives/edgar/data/813762/000095012305003242/y06341exv10w2.htm" TargetMode="External"/><Relationship Id="rId203" Type="http://schemas.openxmlformats.org/officeDocument/2006/relationships/hyperlink" Target="https://www.sec.gov/Archives/edgar/data/813762/000114420407041620/v083035_ex10-5.htm" TargetMode="External"/><Relationship Id="rId204" Type="http://schemas.openxmlformats.org/officeDocument/2006/relationships/hyperlink" Target="https://www.sec.gov/Archives/edgar/data/813762/000114420413047710/v353661_ex10-1.htm" TargetMode="External"/><Relationship Id="rId205" Type="http://schemas.openxmlformats.org/officeDocument/2006/relationships/hyperlink" Target="https://www.sec.gov/Archives/edgar/data/813762/000114420417002748/v457095_ex4-1.htm" TargetMode="External"/><Relationship Id="rId206" Type="http://schemas.openxmlformats.org/officeDocument/2006/relationships/hyperlink" Target="https://www.sec.gov/Archives/edgar/data/813762/000114420417062610/tv480904_ex4-1.htm" TargetMode="External"/><Relationship Id="rId207" Type="http://schemas.openxmlformats.org/officeDocument/2006/relationships/hyperlink" Target="https://www.sec.gov/Archives/edgar/data/813762/000114420419025269/tv521264_ex4-1.htm" TargetMode="External"/><Relationship Id="rId208" Type="http://schemas.openxmlformats.org/officeDocument/2006/relationships/hyperlink" Target="https://www.sec.gov/Archives/edgar/data/813762/000114420419043783/tv528967_ex4-1.htm" TargetMode="External"/><Relationship Id="rId209" Type="http://schemas.openxmlformats.org/officeDocument/2006/relationships/hyperlink" Target="https://www.sec.gov/Archives/edgar/data/813762/000110465919072211/tm1925028d1_ex4-1.htm" TargetMode="External"/><Relationship Id="rId210" Type="http://schemas.openxmlformats.org/officeDocument/2006/relationships/hyperlink" Target="https://www.sec.gov/Archives/edgar/data/813762/000110465921005325/tm213465d1_ex4-1.htm" TargetMode="External"/><Relationship Id="rId212" Type="http://schemas.openxmlformats.org/officeDocument/2006/relationships/hyperlink" Target="https://www.sec.gov/Archives/edgar/data/813762/000119312518290879/d629636dex41.htm" TargetMode="External"/><Relationship Id="rId213" Type="http://schemas.openxmlformats.org/officeDocument/2006/relationships/hyperlink" Target="https://www.sec.gov/Archives/edgar/data/813762/0000897204-95-000029.txt" TargetMode="External"/><Relationship Id="rId214" Type="http://schemas.openxmlformats.org/officeDocument/2006/relationships/hyperlink" Target="https://www.sec.gov/Archives/edgar/data/813762/000095012306003289/y18546exv10w42.htm" TargetMode="External"/><Relationship Id="rId215" Type="http://schemas.openxmlformats.org/officeDocument/2006/relationships/hyperlink" Target="https://www.sec.gov/Archives/edgar/data/813762/000114420407041620/v083035_ex10-4.htm" TargetMode="External"/><Relationship Id="rId216" Type="http://schemas.openxmlformats.org/officeDocument/2006/relationships/hyperlink" Target="https://www.sec.gov/Archives/edgar/data/813762/000114420417002748/v457095_ex10-1.htm" TargetMode="External"/><Relationship Id="rId217" Type="http://schemas.openxmlformats.org/officeDocument/2006/relationships/hyperlink" Target="https://www.sec.gov/Archives/edgar/data/813762/000114420417062610/tv480904_ex10-1.htm" TargetMode="External"/><Relationship Id="rId218" Type="http://schemas.openxmlformats.org/officeDocument/2006/relationships/hyperlink" Target="https://www.sec.gov/Archives/edgar/data/813762/000114420419025269/tv521264_ex10-1.htm" TargetMode="External"/><Relationship Id="rId219" Type="http://schemas.openxmlformats.org/officeDocument/2006/relationships/hyperlink" Target="https://www.sec.gov/Archives/edgar/data/813762/000114420419032722/tv524288_ex10-1.htm" TargetMode="External"/><Relationship Id="rId220" Type="http://schemas.openxmlformats.org/officeDocument/2006/relationships/hyperlink" Target="https://www.sec.gov/Archives/edgar/data/813762/000114420419043783/tv528967_ex10-1.htm" TargetMode="External"/><Relationship Id="rId221" Type="http://schemas.openxmlformats.org/officeDocument/2006/relationships/hyperlink" Target="https://www.sec.gov/Archives/edgar/data/813762/000110465919072211/tm1925028d1_ex10-1.htm" TargetMode="External"/><Relationship Id="rId222" Type="http://schemas.openxmlformats.org/officeDocument/2006/relationships/hyperlink" Target="https://www.sec.gov/Archives/edgar/data/813762/000110465920002683/tm201494d1_ex10-1.htm" TargetMode="External"/><Relationship Id="rId223" Type="http://schemas.openxmlformats.org/officeDocument/2006/relationships/hyperlink" Target="https://www.sec.gov/Archives/edgar/data/813762/000110465920007677/tm205861d2_ex10-1.htm" TargetMode="External"/><Relationship Id="rId224" Type="http://schemas.openxmlformats.org/officeDocument/2006/relationships/hyperlink" Target="https://www.sec.gov/Archives/edgar/data/813762/000110465921005325/tm213465d1_ex10-1.htm" TargetMode="External"/><Relationship Id="rId226" Type="http://schemas.openxmlformats.org/officeDocument/2006/relationships/hyperlink" Target="https://www.sec.gov/Archives/edgar/data/813762/000119312518290879/d629636dex101.htm" TargetMode="External"/><Relationship Id="rId227" Type="http://schemas.openxmlformats.org/officeDocument/2006/relationships/hyperlink" Target="https://www.sec.gov/Archives/edgar/data/813762/000110465919075671/tm1927295d1_ex10-1.htm" TargetMode="External"/><Relationship Id="rId228" Type="http://schemas.openxmlformats.org/officeDocument/2006/relationships/hyperlink" Target="https://www.sec.gov/Archives/edgar/data/813762/000110465920111049/tm2032213d1_ex10-1.htm" TargetMode="External"/><Relationship Id="rId229" Type="http://schemas.openxmlformats.org/officeDocument/2006/relationships/hyperlink" Target="https://www.sec.gov/Archives/edgar/data/813762/000110465920111049/tm2032213d1_ex10-2.htm" TargetMode="External"/><Relationship Id="rId230" Type="http://schemas.openxmlformats.org/officeDocument/2006/relationships/hyperlink" Target="https://www.sec.gov/Archives/edgar/data/813762/000110465920111049/tm2032213d1_ex10-3.htm" TargetMode="External"/><Relationship Id="rId231" Type="http://schemas.openxmlformats.org/officeDocument/2006/relationships/hyperlink" Target="https://www.sec.gov/Archives/edgar/data/813762/000081376212000064/iep-ex141_93012xcodeofeth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2021-02-26T16:29:27Z</dcterms:created>
  <dcterms:modified xsi:type="dcterms:W3CDTF">2021-02-26T16:29:27Z</dcterms:modified>
</cp:coreProperties>
</file>