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2016, there were 141,693,617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10"/>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2.</w:t>
              </w:r>
            </w:hyperlink>
          </w:p>
        </w:tc>
        <w:tc>
          <w:tcPr>
            <w:tcW w:w="9540" w:type="dxa"/>
            <w:vAlign w:val="bottom"/>
            <w:gridSpan w:val="10"/>
          </w:tcPr>
          <w:p>
            <w:pPr>
              <w:ind w:left="3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2"/>
          </w:tcPr>
          <w:p>
            <w:pPr>
              <w:jc w:val="center"/>
              <w:ind w:left="274"/>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55</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9540" w:type="dxa"/>
            <w:vAlign w:val="bottom"/>
            <w:gridSpan w:val="10"/>
            <w:shd w:val="clear" w:color="auto" w:fill="CCEEFF"/>
          </w:tcPr>
          <w:p>
            <w:pPr>
              <w:ind w:left="3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4.</w:t>
              </w:r>
            </w:hyperlink>
          </w:p>
        </w:tc>
        <w:tc>
          <w:tcPr>
            <w:tcW w:w="9540" w:type="dxa"/>
            <w:vAlign w:val="bottom"/>
            <w:gridSpan w:val="10"/>
          </w:tcPr>
          <w:p>
            <w:pPr>
              <w:ind w:left="3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540" w:type="dxa"/>
            <w:vAlign w:val="bottom"/>
            <w:gridSpan w:val="2"/>
          </w:tcPr>
          <w:p>
            <w:pPr>
              <w:jc w:val="center"/>
              <w:ind w:left="274"/>
              <w:spacing w:after="0" w:line="20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80</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Item 1.</w:t>
              </w:r>
            </w:hyperlink>
          </w:p>
        </w:tc>
        <w:tc>
          <w:tcPr>
            <w:tcW w:w="9540" w:type="dxa"/>
            <w:vAlign w:val="bottom"/>
            <w:gridSpan w:val="10"/>
            <w:shd w:val="clear" w:color="auto" w:fill="CCEEFF"/>
          </w:tcPr>
          <w:p>
            <w:pPr>
              <w:ind w:left="3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Legal Proceedings.</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82</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Item 1A.</w:t>
              </w:r>
            </w:hyperlink>
          </w:p>
        </w:tc>
        <w:tc>
          <w:tcPr>
            <w:tcW w:w="9540" w:type="dxa"/>
            <w:vAlign w:val="bottom"/>
            <w:gridSpan w:val="10"/>
          </w:tcPr>
          <w:p>
            <w:pPr>
              <w:ind w:left="32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Risk Factors.</w:t>
              </w:r>
            </w:hyperlink>
          </w:p>
        </w:tc>
        <w:tc>
          <w:tcPr>
            <w:tcW w:w="540" w:type="dxa"/>
            <w:vAlign w:val="bottom"/>
            <w:gridSpan w:val="2"/>
          </w:tcPr>
          <w:p>
            <w:pPr>
              <w:jc w:val="center"/>
              <w:ind w:left="274"/>
              <w:spacing w:after="0" w:line="20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82</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5.</w:t>
              </w:r>
            </w:hyperlink>
          </w:p>
        </w:tc>
        <w:tc>
          <w:tcPr>
            <w:tcW w:w="9540" w:type="dxa"/>
            <w:vAlign w:val="bottom"/>
            <w:gridSpan w:val="10"/>
            <w:shd w:val="clear" w:color="auto" w:fill="CCEEFF"/>
          </w:tcPr>
          <w:p>
            <w:pPr>
              <w:ind w:left="3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540" w:type="dxa"/>
            <w:vAlign w:val="bottom"/>
            <w:tcBorders>
              <w:right w:val="single" w:sz="8" w:color="CCEEFF"/>
            </w:tcBorders>
            <w:gridSpan w:val="2"/>
            <w:shd w:val="clear" w:color="auto" w:fill="CCEEFF"/>
          </w:tcPr>
          <w:p>
            <w:pPr>
              <w:jc w:val="center"/>
              <w:ind w:left="274"/>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83</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40" w:type="dxa"/>
            <w:vAlign w:val="bottom"/>
            <w:gridSpan w:val="3"/>
          </w:tcPr>
          <w:p>
            <w:pPr>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Item 6.</w:t>
              </w:r>
            </w:hyperlink>
          </w:p>
        </w:tc>
        <w:tc>
          <w:tcPr>
            <w:tcW w:w="9540" w:type="dxa"/>
            <w:vAlign w:val="bottom"/>
            <w:gridSpan w:val="10"/>
          </w:tcPr>
          <w:p>
            <w:pPr>
              <w:ind w:left="32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540" w:type="dxa"/>
            <w:vAlign w:val="bottom"/>
            <w:gridSpan w:val="2"/>
          </w:tcPr>
          <w:p>
            <w:pPr>
              <w:jc w:val="center"/>
              <w:ind w:left="274"/>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85</w:t>
              </w:r>
            </w:hyperlink>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33,085</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4"/>
              </w:rPr>
              <w:t>Limited partners: Depositary units: 141,693,617 units issued and outstanding at September 30, 2016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131,481,059 units issued and outstanding at December 31, 2015</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8,798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33,085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8"/>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9"/>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3,720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4,899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3,212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12,376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3,378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3,224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4,646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4,130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Icahn Enterprises</w:t>
            </w:r>
          </w:p>
        </w:tc>
        <w:tc>
          <w:tcPr>
            <w:tcW w:w="15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attributable to Icahn Enterprises allocable to:</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15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0" w:type="dxa"/>
            <w:vAlign w:val="bottom"/>
          </w:tcPr>
          <w:p>
            <w:pPr>
              <w:ind w:left="40"/>
              <w:spacing w:after="0"/>
              <w:rPr>
                <w:sz w:val="20"/>
                <w:szCs w:val="20"/>
                <w:color w:val="auto"/>
              </w:rPr>
            </w:pPr>
            <w:r>
              <w:rPr>
                <w:rFonts w:ascii="Arial" w:cs="Arial" w:eastAsia="Arial" w:hAnsi="Arial"/>
                <w:sz w:val="18"/>
                <w:szCs w:val="18"/>
                <w:color w:val="auto"/>
              </w:rPr>
              <w:t>Basic and diluted loss per LP unit</w:t>
            </w:r>
          </w:p>
        </w:tc>
        <w:tc>
          <w:tcPr>
            <w:tcW w:w="15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51"/>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Basic and diluted weighted average LP units outstanding</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0" w:type="dxa"/>
            <w:vAlign w:val="bottom"/>
          </w:tcPr>
          <w:p>
            <w:pPr>
              <w:ind w:left="40"/>
              <w:spacing w:after="0"/>
              <w:rPr>
                <w:sz w:val="20"/>
                <w:szCs w:val="20"/>
                <w:color w:val="auto"/>
              </w:rPr>
            </w:pPr>
            <w:r>
              <w:rPr>
                <w:rFonts w:ascii="Arial" w:cs="Arial" w:eastAsia="Arial" w:hAnsi="Arial"/>
                <w:sz w:val="18"/>
                <w:szCs w:val="18"/>
                <w:color w:val="auto"/>
              </w:rPr>
              <w:t>Cash distributions declared per LP unit</w:t>
            </w:r>
          </w:p>
        </w:tc>
        <w:tc>
          <w:tcPr>
            <w:tcW w:w="15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20" w:type="dxa"/>
            <w:vAlign w:val="bottom"/>
            <w:gridSpan w:val="7"/>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Icahn Enterprises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Comprehensive loss attributable to Icahn Enterprises allocable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$1,448 million and $1,457 million at September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(1,656)</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contribution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LP unit issuance</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8,798</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Dividends and distributions to non-</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12,286</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33020</wp:posOffset>
            </wp:positionV>
            <wp:extent cx="2092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(1,440)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(5,087)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Impairment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contributions by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distributions to non-controlling interests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Dividends and distributions to non-controlling interests in subsidiaries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(1,959)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change in cash of assets held for sale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2,912</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364" w:right="2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(refunds)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Pep Boys prior to acquiring a controlling interest</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Trump prior to acquiring a controlling interest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LP unit issuance for remaining 25% interest in ARL</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Subsidiary common unit issuance for acquisition of CVR Nitrogen</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in Ferrous Resources prior to acquiring a controlling interest</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0"/>
        </w:trPr>
        <w:tc>
          <w:tcPr>
            <w:tcW w:w="8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544" w:right="25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(Unaudited)</w:t>
            </w: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33,110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36,427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12,971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33,110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3"/>
              </w:rPr>
              <w:t>(In millions)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3,720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4,899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3,212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12,376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3,378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3,224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4,646</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4,130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Less: net (income) loss attributable to non-controlling interests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Icahn Enterprises Holdings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loss attributable to Icahn Enterprises Holdings allocable to:</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580" w:type="dxa"/>
            <w:vAlign w:val="bottom"/>
            <w:gridSpan w:val="8"/>
          </w:tcPr>
          <w:p>
            <w:pPr>
              <w:jc w:val="center"/>
              <w:ind w:left="27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9820" w:type="dxa"/>
            <w:vAlign w:val="bottom"/>
            <w:gridSpan w:val="10"/>
          </w:tcPr>
          <w:p>
            <w:pPr>
              <w:jc w:val="center"/>
              <w:ind w:left="15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1"/>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3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Less: Comprehensive (income) loss attributable to non-</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Comprehensive loss attributable to Icahn Enterprises Holdings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Comprehensive loss attributable to Icahn Enterprises Holdings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allocable to:</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7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$1,448 million and $1,457 million at September 30, 2016 and December 31,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12"/>
          </w:tcPr>
          <w:p>
            <w:pPr>
              <w:jc w:val="center"/>
              <w:ind w:right="22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Partnership distributions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Partnership contribution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Investment segment contributions</w:t>
            </w:r>
          </w:p>
        </w:tc>
        <w:tc>
          <w:tcPr>
            <w:tcW w:w="14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498</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 in subsidiaries</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LP unit issuance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40" w:type="dxa"/>
            <w:vAlign w:val="bottom"/>
          </w:tcPr>
          <w:p>
            <w:pPr>
              <w:spacing w:after="0"/>
              <w:rPr>
                <w:sz w:val="21"/>
                <w:szCs w:val="21"/>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8,823</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gridSpan w:val="12"/>
          </w:tcPr>
          <w:p>
            <w:pPr>
              <w:jc w:val="center"/>
              <w:ind w:right="260"/>
              <w:spacing w:after="0"/>
              <w:rPr>
                <w:sz w:val="20"/>
                <w:szCs w:val="20"/>
                <w:color w:val="auto"/>
              </w:rPr>
            </w:pPr>
            <w:r>
              <w:rPr>
                <w:rFonts w:ascii="Arial" w:cs="Arial" w:eastAsia="Arial" w:hAnsi="Arial"/>
                <w:sz w:val="17"/>
                <w:szCs w:val="17"/>
                <w:b w:val="1"/>
                <w:bCs w:val="1"/>
                <w:color w:val="auto"/>
                <w:w w:val="92"/>
              </w:rPr>
              <w:t>Equity Attributable to Icahn Enterprises Holdings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1"/>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6"/>
              </w:rPr>
              <w:t>Limited</w:t>
            </w:r>
          </w:p>
        </w:tc>
        <w:tc>
          <w:tcPr>
            <w:tcW w:w="180" w:type="dxa"/>
            <w:vAlign w:val="bottom"/>
          </w:tcPr>
          <w:p>
            <w:pPr>
              <w:spacing w:after="0"/>
              <w:rPr>
                <w:sz w:val="18"/>
                <w:szCs w:val="18"/>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Non-controlling</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Partner's Equity</w:t>
            </w:r>
          </w:p>
        </w:tc>
        <w:tc>
          <w:tcPr>
            <w:tcW w:w="180" w:type="dxa"/>
            <w:vAlign w:val="bottom"/>
          </w:tcPr>
          <w:p>
            <w:pPr>
              <w:spacing w:after="0"/>
              <w:rPr>
                <w:sz w:val="20"/>
                <w:szCs w:val="20"/>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Interests</w:t>
            </w:r>
          </w:p>
        </w:tc>
        <w:tc>
          <w:tcPr>
            <w:tcW w:w="20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12,413</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Partnership distributions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r>
      <w:tr>
        <w:trPr>
          <w:trHeight w:val="229"/>
        </w:trPr>
        <w:tc>
          <w:tcPr>
            <w:tcW w:w="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Dividends and distributions to non-</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tcPr>
          <w:p>
            <w:pPr>
              <w:ind w:left="180"/>
              <w:spacing w:after="0"/>
              <w:rPr>
                <w:sz w:val="20"/>
                <w:szCs w:val="20"/>
                <w:color w:val="auto"/>
              </w:rPr>
            </w:pPr>
            <w:r>
              <w:rPr>
                <w:rFonts w:ascii="Arial" w:cs="Arial" w:eastAsia="Arial" w:hAnsi="Arial"/>
                <w:sz w:val="18"/>
                <w:szCs w:val="18"/>
                <w:color w:val="auto"/>
              </w:rPr>
              <w:t>controlling interests in subsidiaries</w:t>
            </w:r>
          </w:p>
        </w:tc>
        <w:tc>
          <w:tcPr>
            <w:tcW w:w="14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w:t>
            </w: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Changes in subsidiary equity and other</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2015</w:t>
            </w: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5,452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12,310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4"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33020</wp:posOffset>
            </wp:positionV>
            <wp:extent cx="2092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0"/>
                <w:szCs w:val="20"/>
                <w:color w:val="auto"/>
              </w:rPr>
            </w:pPr>
          </w:p>
        </w:tc>
      </w:tr>
      <w:tr>
        <w:trPr>
          <w:trHeight w:val="249"/>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 (gain) from securities transactions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of securities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(1,440)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sales of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3,404</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Purchases to cover securities sold, not yet purchased</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securities sold, not yet purchased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1,261</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(5,087)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Impairment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Equity earnings from non-consolidated affiliates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8100" w:type="dxa"/>
            <w:vAlign w:val="bottom"/>
          </w:tcPr>
          <w:p>
            <w:pPr>
              <w:ind w:left="10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Changes in other operating assets and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of businesses,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contribution by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Capital distributions to non-controlling interests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Partnership contributions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Partnership distributions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offering of subsidiary equity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 in subsidiaries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other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Repayments of other borrowings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(1,959)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change in cash of assets held for sale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(871)</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2,912</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4" w:right="25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364" w:right="25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t>Supplemental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payments (refunds) for income taxes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Pep Boys prior to acquiring a controlling interest</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Trump prior to acquiring a controlling interest</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LP unit issuance for remaining 25% interest in ARL</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Subsidiary common unit issuance for acquisition of CVR Nitrogen</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Investment in Ferrous Resources prior to acquiring a controlling interest</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20"/>
        </w:trPr>
        <w:tc>
          <w:tcPr>
            <w:tcW w:w="8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380"/>
          </w:cols>
          <w:pgMar w:left="260" w:top="544"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60" w:top="544" w:right="25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2016.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approximately 89.7% of Icahn Enterprises' outstanding depositary units as of September 30, 2016.</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reporting segments is contained in Note 2, “Operating Units,” and Note 13, “Segment Reporting.”</w:t>
      </w:r>
    </w:p>
    <w:p>
      <w:pPr>
        <w:spacing w:after="0" w:line="80"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4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2015.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378"/>
        <w:spacing w:after="0" w:line="288" w:lineRule="auto"/>
        <w:rPr>
          <w:sz w:val="20"/>
          <w:szCs w:val="20"/>
          <w:color w:val="auto"/>
        </w:rPr>
      </w:pPr>
      <w:r>
        <w:rPr>
          <w:rFonts w:ascii="Arial" w:cs="Arial" w:eastAsia="Arial" w:hAnsi="Arial"/>
          <w:sz w:val="16"/>
          <w:szCs w:val="16"/>
          <w:color w:val="auto"/>
        </w:rPr>
        <w:t>As of September 30, 2016, 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w:t>
      </w:r>
    </w:p>
    <w:p>
      <w:pPr>
        <w:ind w:right="80" w:firstLine="8"/>
        <w:spacing w:after="0" w:line="252"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and which are collectively referred to as "kick-out" rights) held through voting interests of partnerships and similar entities that are not VIEs are considered the equivalent of the equity interests of corporations that are not VIEs. All material intercompany accounts and transactions have been eliminated in consolidation.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Businesses</w:t>
      </w:r>
    </w:p>
    <w:p>
      <w:pPr>
        <w:spacing w:after="0" w:line="117"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We account for business combinations under the acquisition method of accounting (other than acquisitions of businesses under common control), which requires us to recognize separately 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w:t>
      </w:r>
    </w:p>
    <w:p>
      <w:pPr>
        <w:spacing w:after="0" w:line="79" w:lineRule="exact"/>
        <w:rPr>
          <w:sz w:val="20"/>
          <w:szCs w:val="20"/>
          <w:color w:val="auto"/>
        </w:rPr>
      </w:pPr>
    </w:p>
    <w:p>
      <w:pPr>
        <w:ind w:right="60" w:firstLine="378"/>
        <w:spacing w:after="0" w:line="255"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including our estimates for intangible assets, contractual obligations assumed, pre-acquisition contingencies, and contingent consideration, where applicable. In valuing our acquisitions we estimate fair values based on industry data and trends and by reference to relevant market rates and transactions, and discounted cash flow valuation methods, among other factors. The discount rates used were commensurate with the inherent risks associated with each type of asset and the level and timing of cash flows appropriately reflect market participant assumptions. The primary items that generate goodwill include the value of the synergies between the acquired company and our existing businesses and the value of the acquired assembled workforce, neither of which qualifies for recognition as an intangible asset.</w:t>
      </w:r>
    </w:p>
    <w:p>
      <w:pPr>
        <w:spacing w:after="0" w:line="81" w:lineRule="exact"/>
        <w:rPr>
          <w:sz w:val="20"/>
          <w:szCs w:val="20"/>
          <w:color w:val="auto"/>
        </w:rPr>
      </w:pPr>
    </w:p>
    <w:p>
      <w:pPr>
        <w:ind w:right="140" w:firstLine="378"/>
        <w:spacing w:after="0" w:line="277" w:lineRule="auto"/>
        <w:rPr>
          <w:sz w:val="20"/>
          <w:szCs w:val="20"/>
          <w:color w:val="auto"/>
        </w:rPr>
      </w:pPr>
      <w:r>
        <w:rPr>
          <w:rFonts w:ascii="Arial" w:cs="Arial" w:eastAsia="Arial" w:hAnsi="Arial"/>
          <w:sz w:val="18"/>
          <w:szCs w:val="18"/>
          <w:color w:val="auto"/>
        </w:rPr>
        <w:t>The various acquisitions made during the nine months ended September 30, 2016 as discussed below, are not material, individually or in the aggregate,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 Boys Acquisition</w:t>
      </w:r>
    </w:p>
    <w:p>
      <w:pPr>
        <w:spacing w:after="0" w:line="117"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On February 3, 2016, pursuant to a tender offer, Icahn Enterprises acquired a majority of the outstanding shares of Pep Boys - Manny, Moe and Jack ("Pep Boys"). On February 4, 2016, Icahn Enterprises completed the acquisition of the remaining outstanding shares of Pep Boys and our wholly owned subsidiary, IEP Parts Acquisition LLC, merged with and into Pep Boys, with Pep Boys surviving the merger as a wholly owned subsidiary of Icahn Enterprises Holdings. The primary reasons for the acquisition of Pep Boys were to add new product lines to our Automotive segment, to provide operating synergies, to strengthen distribution channels and enhance our Automotive segment's ability to better service its customers.</w:t>
      </w:r>
    </w:p>
    <w:p>
      <w:pPr>
        <w:spacing w:after="0" w:line="50"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The total value for the acquisition of Pep Boys was approximately $1.2 billion, including the fair value of our equity interest in Pep Boys just prior to our acquisition of a controlling interest. Prior to obtaining a controlling interest, we remeasured our equity interest in Pep Boys to its acquisition-date fair value of $121 million. The difference between the carrying value and the acquisition-date fair value of our equity interest in Pep Boys was immaterial.</w:t>
      </w:r>
    </w:p>
    <w:p>
      <w:pPr>
        <w:spacing w:after="0" w:line="3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 preliminary valuation of the net assets of the Pep Boys acquisition resulted in $993 million allocated to tangible net assets and $210 million allocated to goodwill and other intangible net assets as of the acquisition date. Our allocation to other intangible net assets includes $59 million allocated to unfavorable leases liability which is included in accrued expenses and other liabilities on the condensed consolidated balance sheets. We are in the process of valuing the Pep Boys acquisition and have recorded provisional amounts based on preliminary estimates of fair value of net assets acquired, including goodwill. The provisional measurements of net assets are subject to change as we finalize the purchase price allocation.</w:t>
      </w:r>
    </w:p>
    <w:p>
      <w:pPr>
        <w:spacing w:after="0" w:line="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results for the nine months ended September 30, 2016 include total revenues of approximately $1.3 billion, net of intercompany eliminations, and net loss attributable to Icahn Enterprises and Icahn Enterprises Holdings of $8 million, net of intercompany eliminations, that are directly attributable to our acquisition of Pep Boys.</w:t>
      </w:r>
    </w:p>
    <w:p>
      <w:pPr>
        <w:spacing w:after="0" w:line="73"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After giving effect to the acquisition of Pep Boys as if it had occurred on January 1, 2015, Icahn Enterprises' pro forma revenue for the nine months ended September 30, 2016 and 2015 was approximately $12.5 billion and $14.3 billion, respectively, pro forma net (loss) income was approximately $(1.7) billion and $9 million, respectively, and pro forma net loss attributable to Icahn Enterprises was $963 million and $81 million, respectively. Additionally, pro forma basic and diluted loss per LP unit was $6.99 and $0.63 for the nine months ended September 30, 2016 and 2015,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w:t>
      </w:r>
    </w:p>
    <w:p>
      <w:pPr>
        <w:spacing w:after="0" w:line="117" w:lineRule="exact"/>
        <w:rPr>
          <w:sz w:val="20"/>
          <w:szCs w:val="20"/>
          <w:color w:val="auto"/>
        </w:rPr>
      </w:pPr>
    </w:p>
    <w:p>
      <w:pPr>
        <w:ind w:right="500" w:firstLine="405"/>
        <w:spacing w:after="0" w:line="259" w:lineRule="auto"/>
        <w:rPr>
          <w:sz w:val="20"/>
          <w:szCs w:val="20"/>
          <w:color w:val="auto"/>
        </w:rPr>
      </w:pPr>
      <w:r>
        <w:rPr>
          <w:rFonts w:ascii="Arial" w:cs="Arial" w:eastAsia="Arial" w:hAnsi="Arial"/>
          <w:sz w:val="18"/>
          <w:szCs w:val="18"/>
          <w:color w:val="auto"/>
        </w:rPr>
        <w:t>On May 26, 2016, Federal-Mogul completed the acquisition of the assets of a filter manufacturing business in Mexico, which primarily serves the Mexican market, for a purchase price of $25 million, net of cash acquired. The estimated fair value of net assets acquired at the acquisition date is $25 million. Federal-Mogul is in the process of finalizing certain customary post-closing adjustments which could affect the estimated fair value of assets acquired and liabilities assumed.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Nitrogen, LP Acquisition</w:t>
      </w:r>
    </w:p>
    <w:p>
      <w:pPr>
        <w:spacing w:after="0" w:line="11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On April 1, 2016, CVR Partners completed its acquisition of CVR Nitrogen, LP ("CVR Nitrogen") (formerly known as East Dubuque Nitrogen Partners, L.P. and also formerly known as Rentech Nitrogen Partners L.P.) and CVR Nitrogen GP, LLC (formerly known as East Dubuque Nitrogen GP, LLC and also formerly known as Rentech Nitrogen GP, LLC). In connection with this acquisition, CVR Partners issued approximately 40.2 million common units to CVR Nitrogen common unitholders with a fair market value of $336 million and paid $99 million in cash consideration and assumed $368 million fair value of debt. The total fair value of the purchase price consideration to be allocated was $440 million and the estimated fair value of net assets acquired at the acquisition date was $440 million. There were no identifiable intangible assets related to this acquisition. CVR Partners is in the process of finalizing certain customary post-closing adjustments which could affect the estimated fair value of assets acquired and liabilities assumed.</w:t>
      </w:r>
    </w:p>
    <w:p>
      <w:pPr>
        <w:spacing w:after="0" w:line="5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CVR Nitrogen's debt arrangements that remained in place after the closing date of the acquisition included $320 million of its 6.5% notes due 2021, the majority of which were purchased in June 2016, as discussed further in Note 10, "Debt." On April 1, 2016, in connection with the acquisition of CVR Nitrogen, CVR Partners entered into a new $320 million senior term loan facility with American Entertainment Properties Corp. (the "AEPC Facility"), a wholly owned subsidiary of Icahn Enterprises, as the lender. In connection with the repayment of the substantial majority of CVR Nitrogen's 6.5% notes due 2021, the AEPC Facility was terminated.</w:t>
      </w:r>
    </w:p>
    <w:p>
      <w:pPr>
        <w:spacing w:after="0" w:line="80" w:lineRule="exact"/>
        <w:rPr>
          <w:sz w:val="20"/>
          <w:szCs w:val="20"/>
          <w:color w:val="auto"/>
        </w:rPr>
      </w:pPr>
    </w:p>
    <w:p>
      <w:pPr>
        <w:ind w:right="160" w:firstLine="378"/>
        <w:spacing w:after="0" w:line="264" w:lineRule="auto"/>
        <w:rPr>
          <w:sz w:val="20"/>
          <w:szCs w:val="20"/>
          <w:color w:val="auto"/>
        </w:rPr>
      </w:pPr>
      <w:r>
        <w:rPr>
          <w:rFonts w:ascii="Arial" w:cs="Arial" w:eastAsia="Arial" w:hAnsi="Arial"/>
          <w:sz w:val="18"/>
          <w:szCs w:val="18"/>
          <w:color w:val="auto"/>
        </w:rPr>
        <w:t>CVR Nitrogen, located in East Dubuque, Illinois, owns and operates a nitrogen fertilizer facility, producing primarily ammonia and UAN using natural gas as its facility's primary feedstock. The primary reasons for the mergers were to expand CVR Partners' geographical footprint, diversify its raw material feedstocks, widen its customer reach and increase its potential cash-flow generation.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Trump Acquisition</w:t>
      </w:r>
    </w:p>
    <w:p>
      <w:pPr>
        <w:spacing w:after="0" w:line="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September 9, 2014, Trump Entertainment Resorts, Inc. (“Trump”) and its subsidiaries filed voluntary Chapter 11 petitions in the United States Bankruptcy Court for the District of Delaware in Wilmington, Delaware. On February 26, 2016 (the "Effective Date"), Trump emerged from bankruptcy. Icahn Enterprises was the sole holder of Trump's senior secured debt. On the Effective Date, among other things, the existing pre-petition senior secured debt with a face amount of $286 million held by Icahn Enterprises was extinguished and converted into 100.0% of Trump’s New Common Stock (as defined in the bankruptcy plan). As a result, we became the 100.0% owner of Trump after reorganization and accordingly, obtained control and began consolidating the results of Trump on February 26, 2016. Trump owns the Trump Taj Mahal Casino Resort (the "Trump Taj Mahal"). The Trump Taj Mahal closed and ceased its casino and hotel operations on October 10, 2016.</w:t>
      </w:r>
    </w:p>
    <w:p>
      <w:pPr>
        <w:spacing w:after="0" w:line="4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Prior to obtaining a controlling interest in Trump upon its emergence from bankruptcy, we remeasured our interest in Trump to its acquisition-date fair value of $126 million, resulting in a $16 million gain on investment activities.</w:t>
      </w:r>
    </w:p>
    <w:p>
      <w:pPr>
        <w:spacing w:after="0" w:line="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valuation of the net assets of the Trump business resulted in $112 million allocated to tangible net assets and $14 million to intangible assets. As a result of the Trump Taj Mahal's closing, we recorded an aggregate impairment charge of $92 million for the three and nine months ended September 30, 2016 related to property, plant and equipment and intangible assets for our Gaming segment. See Note 5, "Fair Value Measurements," and Note 8, "Goodwill and Intangible Assets, Net," for further discussion regarding these impairment charges.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As further discussed below, the Financial Statement Accounting Standards Board's ("FASB") Accounting Standards Update ("ASU") No. 2015-02 became effective during the first quarter of 2016. ASU No. 2015-02 amends the current consolidation guidance, including introducing a separate consolidation analysis specific to limited partnerships and other similar entities. Specifically, under the revised consolidation analysis, limited partnerships and other similar entities 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considered VIEs unless the limited partners hold substantive kick-out rights or participating rights. Although ASU No. 2015-02 changed the status of certain of our limited partnership entities as VIEs (as discussed below), we continue to consolidate these entities because we are the primary beneficiaries of such entities.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See Note 2, "Operating Units - Investment," for further discussion regarding our Investment segment's business.</w:t>
      </w:r>
    </w:p>
    <w:p>
      <w:pPr>
        <w:spacing w:after="0" w:line="73"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We determined that each of the Investment Funds are considered VIEs because these limited partnerships lack both substantive kick-out and participating rights. Because we are the general partner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 Substantially all of the assets and liabilities of our Investment segment pertain to the Investment Funds. See Note 13, "Segment Reporting," for details of our condensed balance sheets for our Investment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conduct our Energy segment through our majority ownership in CVR Energy Inc. ("CVR"). CVR owns petroleum refining and nitrogen fertilizer manufacturing businesses held through CVR Refining, LP (“CVR Refining”) and CVR Partners, LP (“CVR Partners”), respectively, and each are considered VIEs. See Note 2, "Operating Units - Energy," for further discussion regarding our Energy segment's business.</w:t>
      </w:r>
    </w:p>
    <w:p>
      <w:pPr>
        <w:spacing w:after="0" w:line="5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Energy segment determined that CVR Refining and CVR Partners are each considered VIEs because each of these limited partnerships lack both substantive kick-out and participating rights. In addition, our Energy segment also concluded that based upon its general partner's roles and rights in CVR Refining and CVR Partners as afforded by their respective partnership agreements, coupled with its exposure to losses and benefits in each of CVR Refining and CVR Partners through its significant limited partner interests, intercompany credit facilities and services agreements, CVR determined that it is the primary beneficiary of both CVR Refining and CVR Partners. Based upon this evaluation, CVR continues to consolidate both CVR Refining and CVR Partners. The assets and liabilities of our Energy segment that are directly related to CVR Refining and CVR Partners included in our condensed consolidated balance sheets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0"/>
              </w:rPr>
              <w:t>September 30, 2016</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December 31, 2015</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2"/>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351</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3,365</w:t>
            </w:r>
          </w:p>
        </w:tc>
        <w:tc>
          <w:tcPr>
            <w:tcW w:w="7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2,674</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323</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436</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6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1,167</w:t>
            </w:r>
          </w:p>
        </w:tc>
        <w:tc>
          <w:tcPr>
            <w:tcW w:w="7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As discussed above, Icahn Enterprises Holdings and its subsidiaries own substantially all of our assets and liabilities and conduct substantially all of our operations. We determined that Icahn Enterprises Holdings is a VIE because it lacks both substantive kick-out and participating rights. Icahn Enterprises is the primary beneficiary of Icahn Enterprises Holdings principally based on its 99% limited partner interest in Icahn Enterprises Holdings and therefore continues to consolidate Icahn Enterprises Holdings. The condensed consolidated financial statements of Icahn Enterprises Holdings are included in this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September 30, 2016 was approximately $13.0 billion and $12.8 billion, respectively. The carrying value and estimated fair value of our long-term debt as of December 31, 2015 was approximately $12.6 billion and $12.2 billion,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$569 million and $966 million as of September 30, 2016 and December 31, 2015,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As discussed above we acquired Pep Boys on February 3, 2016. Pep Boys' inventories are valued at lower of cost or market and cost of goods sold is determined using the last-in, first-out ("LIFO") method. Pep Boys is currently the only subsidiary of ours that uses LIFO in determining cost of goods sold. As inventories of Pep Boys have been revalued to fair value as a result of our acquisition on February 3, 2016, there are immaterial differences between inventory balances calculated using LIFO as compared to inventory balances calculated using first-in, first-out as of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In February 2015, the FASB issued ASU No.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which amends FASB ASC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As a result of adopting this guidance in the first quarter of 2016, while certain of our limited partnership entities are now considered VIEs, we continue to consolidate these limited partnerships. See above for further discussion regarding our VIEs.</w:t>
      </w:r>
    </w:p>
    <w:p>
      <w:pPr>
        <w:spacing w:after="0" w:line="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which amends FASB ASC Subtopic 835-30, </w:t>
      </w:r>
      <w:r>
        <w:rPr>
          <w:rFonts w:ascii="Arial" w:cs="Arial" w:eastAsia="Arial" w:hAnsi="Arial"/>
          <w:sz w:val="17"/>
          <w:szCs w:val="17"/>
          <w:i w:val="1"/>
          <w:iCs w:val="1"/>
          <w:color w:val="auto"/>
        </w:rPr>
        <w:t xml:space="preserve">Interest - Imputation of Interest. </w:t>
      </w:r>
      <w:r>
        <w:rPr>
          <w:rFonts w:ascii="Arial" w:cs="Arial" w:eastAsia="Arial" w:hAnsi="Arial"/>
          <w:sz w:val="17"/>
          <w:szCs w:val="17"/>
          <w:color w:val="auto"/>
        </w:rPr>
        <w:t>The new standard requires that all costs incurred to issue debt be presented in the balance sheet as a direct deduction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the debt. Given the absence of authoritative guidance within this ASU regarding debt issuance costs related to line-of-credit, the SEC staff has stated that it would not object to an entity deferring and presenting debt issuance costs as an asset and subsequently amortizing the deferred issuance costs ratably over the term of the line-of-credit arrangement. The standard is effective for interim and annual periods beginning after December 15, 2015 and is required to be applied on a retrospective basis. Early adoption is permitted. The adoption of this guidance resulted in a reclassification of debt issuance costs on our condensed consolidated balance sheets to debt in the amount of $39 million as of December 31, 2015.</w:t>
      </w:r>
    </w:p>
    <w:p>
      <w:pPr>
        <w:spacing w:after="0" w:line="7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 xml:space="preserve">In September 2015, the FASB issued ASU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xml:space="preserve">, which amends FASB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This ASU eliminates the requirement to retrospectively adjust provisional amounts recognized at the acquisition dates of business combinations. Rather, this ASU requires that an acquirer recognize adjustments to provisional amounts that are identified during the measurement period in the reporting period in which the adjustment amounts are determined. This ASU is effective for fiscal years beginning after December 15, 2015, including interim periods within those fiscal years. The amendments in this ASU should be applied prospectively to adjustments to provisional amounts that occur after the effective date with earlier application permitted for</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statements that have not been issued. The adoption of this guidance in the first quarter of 2016 did not have a material impact on our condensed consolidated financial position, results of operations, comprehensive income, cash flows and disclosures.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was amended by ASU No. 2015-14, issued in August 2015, which deferred the original effective date by one year; the effective date of this ASU is for fiscal years, and interim reporting periods within those years, beginning after December 15, 2017, using one of two retrospective application methods. In addition, the FASB issued other amendments during 2016 to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that include implementation guidance to principal versus agent considerations, guidance to identifying performance obligations and licensing guidance and other narrow scope improvements. Early adoption is permitted only as of the annual reporting periods beginning after December 15, 2016, including interim reporting periods within that reporting period. Given the complexity of our operations, we continue to evaluate the impact of these guidance on our consolidated financial position, results of operations, comprehensive income, cash flows and disclosures. We will adopt these new guidance on January 1, 2018 using the modified retrospective application method.</w:t>
      </w:r>
    </w:p>
    <w:p>
      <w:pPr>
        <w:spacing w:after="0" w:line="6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amends FASB ASC Topic 330, </w:t>
      </w:r>
      <w:r>
        <w:rPr>
          <w:rFonts w:ascii="Arial" w:cs="Arial" w:eastAsia="Arial" w:hAnsi="Arial"/>
          <w:sz w:val="18"/>
          <w:szCs w:val="18"/>
          <w:i w:val="1"/>
          <w:iCs w:val="1"/>
          <w:color w:val="auto"/>
        </w:rPr>
        <w:t>Inventory</w:t>
      </w:r>
      <w:r>
        <w:rPr>
          <w:rFonts w:ascii="Arial" w:cs="Arial" w:eastAsia="Arial" w:hAnsi="Arial"/>
          <w:sz w:val="18"/>
          <w:szCs w:val="18"/>
          <w:color w:val="auto"/>
        </w:rPr>
        <w:t>. This ASU requires entities to measure inventory at the lower of cost or net realizable value and eliminates the option that currently exists for measuring inventory at market value. Net realizable value is the estimated selling prices in the ordinary course of business, less reasonably predictable costs of completion, disposal, and transportation. This ASU is effective for fiscal years beginning after December 15, 2016, including interim periods within those fiscal years. This ASU should be applied prospectively with earlier application permitted as of the beginning of an interim period or annual reporting period. We anticipate that the adoption of this guidance will have minimal impact on our consolidated financial position, results of operations, comprehensive income, cash flows and disclosures.</w:t>
      </w:r>
    </w:p>
    <w:p>
      <w:pPr>
        <w:spacing w:after="0" w:line="8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w:t>
      </w:r>
      <w:r>
        <w:rPr>
          <w:rFonts w:ascii="Arial" w:cs="Arial" w:eastAsia="Arial" w:hAnsi="Arial"/>
          <w:sz w:val="17"/>
          <w:szCs w:val="17"/>
          <w:color w:val="auto"/>
        </w:rPr>
        <w:t xml:space="preserve">, which amends FASB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This ASU requires that equity investments (except those accounted for under the equity method of accounting or those that result in the consolidation of the investee) to be measured at fair value with changes recognized in earnings. However, an entity may choose to measure equity investments that do not have readily determinable fair values at cost minus impairment. In addition, there were other amendments to certain disclosure and presentation matters pertaining to financial instruments, including the requirement of an entity to use the exit price notion when measuring the fair value of financial instruments for disclosure purposes. This ASU is effective for fiscal years beginning after December 15, 2017, including interim periods within those fiscal years. The amendments in this ASU should be applied by means of a cumulative-effect adjustment to the balance sheet as of the beginning of the fiscal year of adoption. The amendments related to equity securities without readily determinable fair values should be applied prospectively to equity investments that exist as of the date of adoption. Early application is permitted for certain matters only. We are currently evaluating the impact of this guidance on our consolidated financial position, results of operations, comprehensive income, cash flows and disclosures.</w:t>
      </w:r>
    </w:p>
    <w:p>
      <w:pPr>
        <w:spacing w:after="0" w:line="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the recognition of lease assets and lease liabilities by lessees for those leases classified as operating leases under previous guidance. In addition, among other changes to the accounting for leases, this ASU retains the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guidance. This ASU is effective for fiscal years beginning after December 15, 2018, including interim periods within those fiscal years. The amendments in this ASU should be applied using a modified retrospective approach. Early application is permitted. We are currently evaluating the impact of this guidance on our consolidated financial position, results of operations, comprehensive income, cash flows and disclosures.</w:t>
      </w:r>
    </w:p>
    <w:p>
      <w:pPr>
        <w:spacing w:after="0" w:line="59"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 xml:space="preserve">In March 2016, the FASB issued ASU No. 2016-07, </w:t>
      </w:r>
      <w:r>
        <w:rPr>
          <w:rFonts w:ascii="Arial" w:cs="Arial" w:eastAsia="Arial" w:hAnsi="Arial"/>
          <w:sz w:val="18"/>
          <w:szCs w:val="18"/>
          <w:i w:val="1"/>
          <w:iCs w:val="1"/>
          <w:color w:val="auto"/>
        </w:rPr>
        <w:t>Simplifying the transition to equity method of accounting</w:t>
      </w:r>
      <w:r>
        <w:rPr>
          <w:rFonts w:ascii="Arial" w:cs="Arial" w:eastAsia="Arial" w:hAnsi="Arial"/>
          <w:sz w:val="18"/>
          <w:szCs w:val="18"/>
          <w:color w:val="auto"/>
        </w:rPr>
        <w:t xml:space="preserve">, which amends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This ASU eliminates the retroactive adjustment of an investment that qualifies for the equity method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increase in the level of ownership or degree of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influence as if the equity method had been in effect during all previous periods that the investment had been held. The amendments in this ASU are effective for interim and annual fiscal years beginning after December 15, 2016. Earlier application is permitted. We anticipate that the adoption of this guidance will have minimal impact on our consolidated financial position, results of operations, comprehensive income, cash flows and disclosures.</w:t>
      </w:r>
    </w:p>
    <w:p>
      <w:pPr>
        <w:spacing w:after="0" w:line="5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which amends FASB ASC Topic 326, </w:t>
      </w:r>
      <w:r>
        <w:rPr>
          <w:rFonts w:ascii="Arial" w:cs="Arial" w:eastAsia="Arial" w:hAnsi="Arial"/>
          <w:sz w:val="18"/>
          <w:szCs w:val="18"/>
          <w:i w:val="1"/>
          <w:iCs w:val="1"/>
          <w:color w:val="auto"/>
        </w:rPr>
        <w:t xml:space="preserve">Financial Instruments - Credit Losses. </w:t>
      </w:r>
      <w:r>
        <w:rPr>
          <w:rFonts w:ascii="Arial" w:cs="Arial" w:eastAsia="Arial" w:hAnsi="Arial"/>
          <w:sz w:val="18"/>
          <w:szCs w:val="18"/>
          <w:color w:val="auto"/>
        </w:rPr>
        <w:t>This ASU requires financial assets measured at amortized cost to be presented at the net amount to be collected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broadens the information, including forecasted information incorporating more timely information, that an entity must consider in developing its expected credit loss estimate for assets measured. We are currently evaluating the impact of this guidance on our consolidated financial position, results of operations, comprehensive income, cash flows and disclosures.</w:t>
      </w:r>
    </w:p>
    <w:p>
      <w:pPr>
        <w:spacing w:after="0" w:line="8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w:t>
      </w:r>
      <w:r>
        <w:rPr>
          <w:rFonts w:ascii="Arial" w:cs="Arial" w:eastAsia="Arial" w:hAnsi="Arial"/>
          <w:sz w:val="17"/>
          <w:szCs w:val="17"/>
          <w:color w:val="auto"/>
        </w:rPr>
        <w:t xml:space="preserve">s, which amends FASB ASC Topic 230, </w:t>
      </w:r>
      <w:r>
        <w:rPr>
          <w:rFonts w:ascii="Arial" w:cs="Arial" w:eastAsia="Arial" w:hAnsi="Arial"/>
          <w:sz w:val="17"/>
          <w:szCs w:val="17"/>
          <w:i w:val="1"/>
          <w:iCs w:val="1"/>
          <w:color w:val="auto"/>
        </w:rPr>
        <w:t xml:space="preserve">Statement of Cash Flows. </w:t>
      </w:r>
      <w:r>
        <w:rPr>
          <w:rFonts w:ascii="Arial" w:cs="Arial" w:eastAsia="Arial" w:hAnsi="Arial"/>
          <w:sz w:val="17"/>
          <w:szCs w:val="17"/>
          <w:color w:val="auto"/>
        </w:rPr>
        <w:t>This ASU seeks to reduce the diversity currently in practice by providing guidance on the presentation of eight specific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issues in the statement of cash flows. This ASU is effective for fiscal years beginning after December 15, 2017, and interim periods within those fiscal years. We are currently evaluating the impact of this guidance on our consolidated statement of cash flows.</w:t>
      </w:r>
    </w:p>
    <w:p>
      <w:pPr>
        <w:spacing w:after="0" w:line="63"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requires the recognition of income tax consequences of an intra-entity transfer of an asset other than inventory when the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occurs. Current GAAP prohibits the recognition of current and deferred incomes taxes for an intra-entity asset transfer until the asset has been sold to an outside party. This ASU is effective for fiscal years beginning after December 15, 2017, and interim periods within those fiscal years. Early adoption is permitted. We are currently evaluating the impact of this guidance on our consolidated financial position, results of operations, comprehensive income, cash flows and disclosures.</w:t>
      </w:r>
    </w:p>
    <w:p>
      <w:pPr>
        <w:spacing w:after="0" w:line="85"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 xml:space="preserve">In October 2016, the FASB issued ASU No. 2016-17, </w:t>
      </w:r>
      <w:r>
        <w:rPr>
          <w:rFonts w:ascii="Arial" w:cs="Arial" w:eastAsia="Arial" w:hAnsi="Arial"/>
          <w:sz w:val="17"/>
          <w:szCs w:val="17"/>
          <w:i w:val="1"/>
          <w:iCs w:val="1"/>
          <w:color w:val="auto"/>
        </w:rPr>
        <w:t>Interests Held Through Related Parties That Are Under Common Control,</w:t>
      </w:r>
      <w:r>
        <w:rPr>
          <w:rFonts w:ascii="Arial" w:cs="Arial" w:eastAsia="Arial" w:hAnsi="Arial"/>
          <w:sz w:val="17"/>
          <w:szCs w:val="17"/>
          <w:color w:val="auto"/>
        </w:rPr>
        <w:t xml:space="preserve"> which amends FASB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This ASU requires that a reporting entity, in determining whether it satisfies the characteristics of a primary beneficiary, to include all of its direct variable interests in a VIE and, on a proportionate basis, its indirect variable interests in a VIE held through related parties, including related parties that are under common control with the reporting entity. Current GAAP requires that a single decision maker to consider indirect interests in the entity held through related parties to be the equivalent of direct interests in their entirety. This ASU is effective for fiscal years beginning after December 15, 2017, and interim periods within those fiscal years. Early adoption is permitted. We are currently evaluating the impact of this guidance on our consolidated financial position, results of operations, comprehensive income, cash flows and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300" w:firstLine="405"/>
        <w:spacing w:after="0" w:line="276" w:lineRule="auto"/>
        <w:rPr>
          <w:sz w:val="20"/>
          <w:szCs w:val="20"/>
          <w:color w:val="auto"/>
        </w:rPr>
      </w:pPr>
      <w:r>
        <w:rPr>
          <w:rFonts w:ascii="Arial" w:cs="Arial" w:eastAsia="Arial" w:hAnsi="Arial"/>
          <w:sz w:val="17"/>
          <w:szCs w:val="17"/>
          <w:color w:val="auto"/>
        </w:rPr>
        <w:t>Our Investment segment is comprised of various private investment funds, including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6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had interests in the Investment Funds with a fair value of approximately $1.8 billion and $3.4 billion as of September 30, 2016 and December 31, 2015,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3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80" w:firstLine="378"/>
        <w:spacing w:after="0" w:line="342" w:lineRule="auto"/>
        <w:rPr>
          <w:sz w:val="20"/>
          <w:szCs w:val="20"/>
          <w:color w:val="auto"/>
        </w:rPr>
      </w:pPr>
      <w:r>
        <w:rPr>
          <w:rFonts w:ascii="Arial" w:cs="Arial" w:eastAsia="Arial" w:hAnsi="Arial"/>
          <w:sz w:val="16"/>
          <w:szCs w:val="16"/>
          <w:color w:val="auto"/>
        </w:rPr>
        <w:t>We conduct our Automotive segment through our majority ownership in Federal-Mogul Holdings Corporation ("Federal-Mogul"), our wholly owned subsidiary IEH Auto Parts Holding LLC ("IEH Auto"), effective June 1, 2015, and our wholly owned subsidiary Pep Boys, effective February 3, 2016.</w:t>
      </w:r>
    </w:p>
    <w:p>
      <w:pPr>
        <w:spacing w:after="0" w:line="16" w:lineRule="exact"/>
        <w:rPr>
          <w:sz w:val="20"/>
          <w:szCs w:val="20"/>
          <w:color w:val="auto"/>
        </w:rPr>
      </w:pPr>
    </w:p>
    <w:p>
      <w:pPr>
        <w:ind w:right="220" w:firstLine="378"/>
        <w:spacing w:after="0" w:line="259"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79" w:lineRule="exact"/>
        <w:rPr>
          <w:sz w:val="20"/>
          <w:szCs w:val="20"/>
          <w:color w:val="auto"/>
        </w:rPr>
      </w:pPr>
    </w:p>
    <w:p>
      <w:pPr>
        <w:ind w:right="140" w:firstLine="378"/>
        <w:spacing w:after="0" w:line="286" w:lineRule="auto"/>
        <w:rPr>
          <w:sz w:val="20"/>
          <w:szCs w:val="20"/>
          <w:color w:val="auto"/>
        </w:rPr>
      </w:pPr>
      <w:r>
        <w:rPr>
          <w:rFonts w:ascii="Arial" w:cs="Arial" w:eastAsia="Arial" w:hAnsi="Arial"/>
          <w:sz w:val="17"/>
          <w:szCs w:val="17"/>
          <w:color w:val="auto"/>
        </w:rPr>
        <w:t>Federal-Mogul operates with two end-customer focused businesses.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September 30, 2016, we owned approximately 82.0% of the total outstanding common stock of Federal-Mogul.</w:t>
      </w:r>
    </w:p>
    <w:p>
      <w:pPr>
        <w:spacing w:after="0" w:line="117"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September 6, 2016, we, through our wholly owned subsidiary, IEH FM Holdings LLC commenced a cash tender offer (the "Federal-Mogul Tender Offer) to acquire, subject to the terms and conditions of the Federal-Mogul Merger Agreement, all of the issued and outstanding shares of Federal-Mogul’s common stock not already owned by us. See Part II, Item 5, "Other Information - Federal-Mogul Tender Offer," of this Report for further discussion regarding this transaction.</w:t>
      </w:r>
    </w:p>
    <w:p>
      <w:pPr>
        <w:spacing w:after="0" w:line="79" w:lineRule="exact"/>
        <w:rPr>
          <w:sz w:val="20"/>
          <w:szCs w:val="20"/>
          <w:color w:val="auto"/>
        </w:rPr>
      </w:pPr>
    </w:p>
    <w:p>
      <w:pPr>
        <w:ind w:right="100" w:firstLine="378"/>
        <w:spacing w:after="0" w:line="273" w:lineRule="auto"/>
        <w:rPr>
          <w:sz w:val="20"/>
          <w:szCs w:val="20"/>
          <w:color w:val="auto"/>
        </w:rPr>
      </w:pPr>
      <w:r>
        <w:rPr>
          <w:rFonts w:ascii="Arial" w:cs="Arial" w:eastAsia="Arial" w:hAnsi="Arial"/>
          <w:sz w:val="17"/>
          <w:szCs w:val="17"/>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 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70"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IEH Auto has 21 distribution centers and 284 corporate-owned jobber stores (including 14 satellite locations) in the United States and supports a network of more than 2,000 independent wholesalers. Through its banner and technical support programs as well as its offering of premium auto parts, IEH Auto has built its reputation on being the partner of choice for independent entrepreneurs eager to tap into the strength of large network.</w:t>
      </w:r>
    </w:p>
    <w:p>
      <w:pPr>
        <w:spacing w:after="0" w:line="57" w:lineRule="exact"/>
        <w:rPr>
          <w:sz w:val="20"/>
          <w:szCs w:val="20"/>
          <w:color w:val="auto"/>
        </w:rPr>
      </w:pPr>
    </w:p>
    <w:p>
      <w:pPr>
        <w:jc w:val="both"/>
        <w:ind w:right="160" w:firstLine="378"/>
        <w:spacing w:after="0" w:line="264" w:lineRule="auto"/>
        <w:rPr>
          <w:sz w:val="20"/>
          <w:szCs w:val="20"/>
          <w:color w:val="auto"/>
        </w:rPr>
      </w:pPr>
      <w:r>
        <w:rPr>
          <w:rFonts w:ascii="Arial" w:cs="Arial" w:eastAsia="Arial" w:hAnsi="Arial"/>
          <w:sz w:val="18"/>
          <w:szCs w:val="18"/>
          <w:color w:val="auto"/>
        </w:rPr>
        <w:t>Pep Boys and IEH Auto are being operated together in order to grow their sales to do-it-for-me ("DIFM") distributors and DIFM service professionals, to grow their automotive service business, and to maintain their do-it-yourself customer bases by offering the newest and broadest product assortment in the automotive aftermarket.</w:t>
      </w:r>
    </w:p>
    <w:p>
      <w:pPr>
        <w:spacing w:after="0" w:line="73" w:lineRule="exact"/>
        <w:rPr>
          <w:sz w:val="20"/>
          <w:szCs w:val="20"/>
          <w:color w:val="auto"/>
        </w:rPr>
      </w:pPr>
    </w:p>
    <w:p>
      <w:pPr>
        <w:ind w:right="120" w:firstLine="378"/>
        <w:spacing w:after="0" w:line="277" w:lineRule="auto"/>
        <w:rPr>
          <w:sz w:val="20"/>
          <w:szCs w:val="20"/>
          <w:color w:val="auto"/>
        </w:rPr>
      </w:pPr>
      <w:r>
        <w:rPr>
          <w:rFonts w:ascii="Arial" w:cs="Arial" w:eastAsia="Arial" w:hAnsi="Arial"/>
          <w:sz w:val="18"/>
          <w:szCs w:val="18"/>
          <w:color w:val="auto"/>
        </w:rPr>
        <w:t>In addition, Federal-Mogul is operated independently from Pep Boys and IEH Auto. Transactions among Federal-Mogul, Pep Boys and IEH Auto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 xml:space="preserve">Federal-Mogul's subsidiaries in Brazil, France, Germany, Italy, Canada and the United States are party to accounts receivable factoring and securitization facilities. Gross accounts receivable transferred under these facilities were $519 million and $408 million as of September 30, 2016 and December 31, 2015, respectively. Of those gross amounts, $510 million and $401 million, respectively, qualify as sales as defined in FASB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The remaining transferred receivables were pledged as collateral and accounted for as secured borrowings and recorded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balance sheets within accounts receivable, net and debt. Under the terms of these facilities, Federal-Mogul is not obligated to draw cash immediately upon the transfer of accounts receivable. As of September 30, 2016 and December 31, 2015, Federal-Mogul had undrawn cash related to such transferred receivables of $1 million and $1 million, respectively. Proceeds from the transfers of accounts receivable qualifying as sales were $311 million and $380 million for the three months ended September 30, 2016 and 2015, respectively, and approximately $1.2 billion and $1.2 billion for the nine months ended September 30, 2016 and 2015, respectively.</w:t>
      </w:r>
    </w:p>
    <w:p>
      <w:pPr>
        <w:spacing w:after="0" w:line="7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Expenses associated with transfers of receivables were $2 million and $3 million for the three months ended September 30, 2016 and 2015, respectively, and $9 million and $7 million for the nine months ended September 30, 2016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2015, respectively. Such expenses were recorded in the condensed consolidated statements of operations within other income (loss), net. Where Federal-Mogul receives a fee to service and monitor these transferred receivables, such fees are sufficient to offset the costs and as such, a servicing asset or liability is not incurred as a result of such activities.</w:t>
      </w:r>
    </w:p>
    <w:p>
      <w:pPr>
        <w:spacing w:after="0" w:line="7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Certain of the facilities contain terms that require Federal-Mogul to share in the credit risk of the sold receivables. The maximum exposure to Federal-Mogul associated with certain of these facilities' terms were $5 million and $11 million as of September 30, 2016 and December 31, 2015,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Federal-Mogul recorded restructuring expenses of $7 million and $18 million for the three months ended September 30, 2016 and 2015, respectively, and $28 million and $57 million for the nine months ended September 30, 2016 and 2015, respectively. These restructuring expenses, primarily consisting of employee costs and headcount reductions, pertain to all restructuring programs that Federal-Mogul has initiated in order to improve its operating performance.</w:t>
      </w:r>
    </w:p>
    <w:p>
      <w:pPr>
        <w:spacing w:after="0" w:line="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Federal-Mogul's restructuring expenses for the nine months ended September 30, 2016 are aimed at optimizing its cost structure. Federal-Mogul expects to complete these programs in 2017 and incur additional restructuring and other charges of $1 million. For programs previously initiated in prior periods, Federal-Mogul expects to complete these programs in 2018 and incur additional restructuring charges of approximately $4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280" w:firstLine="405"/>
        <w:spacing w:after="0" w:line="297" w:lineRule="auto"/>
        <w:rPr>
          <w:sz w:val="20"/>
          <w:szCs w:val="20"/>
          <w:color w:val="auto"/>
        </w:rPr>
      </w:pPr>
      <w:r>
        <w:rPr>
          <w:rFonts w:ascii="Arial" w:cs="Arial" w:eastAsia="Arial" w:hAnsi="Arial"/>
          <w:sz w:val="16"/>
          <w:szCs w:val="16"/>
          <w:color w:val="auto"/>
        </w:rPr>
        <w:t>We conduct our Energy segment through our majority ownership in CVR. CVR is a diversified holding company primarily engaged in the petroleum refining and nitrogen fertilizer manufacturing industries through its holdings in CVR Refining and CVR Partners, respectively. CVR Refining is an independent petroleum refiner and marketer of high value transportation fuels. CVR Partners produces and markets nitrogen fertilizers in the form of urea ammonium nitrate ("UAN") and ammonia. As of September 30, 2016, CVR owned 100% of the general partners of CVR Refining and CVR Partners and approximately 66% of the common units of CVR Refining and approximately 34% of the common units of CVR Partners.</w:t>
      </w:r>
    </w:p>
    <w:p>
      <w:pPr>
        <w:spacing w:after="0" w:line="5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As of September 30, 2016, we owned approximately 82.0% of the total outstanding common stock of CVR. In addition, as of September 30, 2016, we owned approximately 3.9% of the total outstanding common units of CVR Refining directly.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8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addition to the refineries, CVR's petroleum business owns and operates the following: (i) a crude oil gathering system with a gathering capacity of over 65,000 barrels per day ("bpd") serving Kansas, Oklahoma, Missouri, Nebraska, Colorado and Texas; (ii) a 170,000 bpd pipeline system (supported by approximately 340 miles of active owned and leased pipeline) that transports crude oil to its Coffeyville refinery from its Broome Station facility near Caney, Kansas; (iii) approximately 6.4 million barrels of company owned and leased crude oil storage capacity; (iv)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(v) over 4.5 million barrels of combined refinery related storage capacity.</w:t>
      </w:r>
    </w:p>
    <w:p>
      <w:pPr>
        <w:spacing w:after="0" w:line="8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On August 2, 2016, we sold 250,000 common units of CVR Refining. As a result of this transaction, we and our affiliates collectively own 69.99% of CVR Refining. See Part II, Item 5, "Other Information - CVR Refining Call Right," of this Report for further discussion regarding this transaction.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located in Coffeyville, Kansas that utilizes a petroleum coke, or pet coke, gasification process to produce nitrogen fertilizer and a nitrogen fertilizer manufacturing facility located in East Dubuque, Illinois that uses natural gas to produce nitrogen fertilizer (as a result of the acquisition of CVR Nitrogen as discussed above). The facility in Coffeyville includes a 1,300 ton-per-day ammonia unit, 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3,000 ton-per-day UAN unit and a gasifier complex having a capacity of 89 million standard cubic feet per day of hydrogen. The facility in East Dubuque includes a 1,025 ton-per-day ammonia unit and a 1,100 ton-per-day UAN unit.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and secondary smelters and metals brokers. PSC Metals’ ferrous products include busheling, plate and structural, shredded, sheared and bundled scrap metal and other purchased scrap metal such as turnings (steel machining fragments), and cast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 PSC Metals also purchases end of life vehicles, dismantles those vehicles, resells valuable parts, and ships the resulting vehicle hulks to its shredder yards.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conduct our Railcar segment through our majority ownership interest in ARI and our wholly owned subsidiary American Railcar Leasing, LLC ("ARL").</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ARI manufactures railcars that are offered for sale or lease, custom and standard railcar components and other industrial products, primarily aluminum and special alloy steel castings. These products are sold to various types of companies including shippers, leasing companies, industrial companies, and Class I railroads. ARI leases railcars that it manufactures to certain markets that include the chemical, mineral, petrochemical, food and agriculture, and energy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64"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chemical, mineral, petrochemical, food and agriculture, and energy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we owned approximately 61.2% of the total outstanding common stock of ARI.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We conduct our Gaming segment through our majority ownership in Tropicana and, effective February 26, 2016, our wholly owned subsidiary, Trump, which owns the Trump Taj Mahal. The Trump Taj Mahal closed and ceased its casino and hotel operations on October 10, 2016.</w:t>
      </w:r>
    </w:p>
    <w:p>
      <w:pPr>
        <w:spacing w:after="0" w:line="38"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Tropicana owns and operates a diversified, multi-jurisdictional collection of casino gaming properties. The eight casino facilities it operates feature approximately 392,000 square feet of gaming space with 7,900 slot machines, 300 table games and 5,500 hotel rooms with two casino facilities located in Nevada and one in each of Mississippi, Missouri, Indiana, Louisiana, New Jersey and Aruba.</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Trump Taj Mahal is located in Atlantic City, New Jersey and features approximately 160,000 square feet of gaming space with 2,500 slot machines, 130 table games and 2,000 hotel rooms. In addition, Trump also owns an idled casino property in Atlantic City, New Jersey, Trump Plaza Hotel and Casino, which ceased operations in September 2014.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we owned approximately 68.8%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conduct our Mining segment through our majority ownership in Ferrous Resources. We obtained control of and consolidated the results of Ferrous Resources during the second quarter of 2015.</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Ferrous Resources acquired certain rights to iron ore mineral resources in Brazil and develops mining operations and related infrastructure to produce and sell iron ore products to the global steel industry. Ferrous Resources has acquired significant iron ore assets in the State of Minas Gerais, Brazil, known as Viga, Viga Norte, Esperança, Serrinha and Santanense.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addition, Ferrous Resources has acquired certain mineral rights near Jacuípe in the State of Bahia, Brazil. Of the assets acquired, Viga, Esperança and Santanense are already extracting and producing iron ore, while the other assets are at an early stage of exploration.</w:t>
      </w:r>
    </w:p>
    <w:p>
      <w:pPr>
        <w:spacing w:after="0" w:line="38"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In response to the current depressed iron ore price environment, Ferrous Resources decided to temporarily suspend Esperança's and Santanense's operations during the first quarter of 2015 in order to study alternatives to further reduce cost of production and improve product quality and therefore to improve profitability and margin per metric ton.</w:t>
      </w:r>
    </w:p>
    <w:p>
      <w:pPr>
        <w:spacing w:after="0" w:line="73" w:lineRule="exact"/>
        <w:rPr>
          <w:sz w:val="20"/>
          <w:szCs w:val="20"/>
          <w:color w:val="auto"/>
        </w:rPr>
      </w:pPr>
    </w:p>
    <w:p>
      <w:pPr>
        <w:ind w:right="2280" w:firstLine="405"/>
        <w:spacing w:after="0" w:line="375" w:lineRule="auto"/>
        <w:rPr>
          <w:sz w:val="20"/>
          <w:szCs w:val="20"/>
          <w:color w:val="auto"/>
        </w:rPr>
      </w:pPr>
      <w:r>
        <w:rPr>
          <w:rFonts w:ascii="Arial" w:cs="Arial" w:eastAsia="Arial" w:hAnsi="Arial"/>
          <w:sz w:val="18"/>
          <w:szCs w:val="18"/>
          <w:color w:val="auto"/>
        </w:rPr>
        <w:t xml:space="preserve">As of September 30, 2016, we owned approximately 77.2% of the total outstanding common stock of Ferrous Resources. </w:t>
      </w:r>
      <w:r>
        <w:rPr>
          <w:rFonts w:ascii="Arial" w:cs="Arial" w:eastAsia="Arial" w:hAnsi="Arial"/>
          <w:sz w:val="18"/>
          <w:szCs w:val="18"/>
          <w:b w:val="1"/>
          <w:bCs w:val="1"/>
          <w:i w:val="1"/>
          <w:iCs w:val="1"/>
          <w:color w:val="auto"/>
        </w:rPr>
        <w:t>Food Packaging</w:t>
      </w:r>
    </w:p>
    <w:p>
      <w:pPr>
        <w:spacing w:after="0" w:line="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six distribution centers and three service centers throughout North America, Europe, South America and Asia and derived approximately 70% of its total net sales from customers located outside the United States for the nine months ended September 30, 2016.</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we owned approximately 75.3%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club activities.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As of September 30, 2016, we owned 15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development property in Vero Beach, Florida include land for future residential development of approximately 239 and 1,128 units of residential housing, respectively. Both our developments operate golf and club operations as well. In addition, our Real Estate segment owns an unfinished development property which is located on approximately 23 acres in Las Vegas, Nevada.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Mr. Icahn, along with his affiliates (excluding Icahn Enterprises and Icahn Enterprises Holdings), makes investments in the Investment Funds. During the nine months ended September 30, 2016 and 2015, affiliates of Mr. Icahn made net investments aggregating $498 million and $246 million, respectively, in the Investment Funds. As of September 30, 2016 and December 31, 2015, the total fair market value of investments in the Investment Funds made by Mr. Icahn and his affiliates (excluding Icahn Enterprises and Icahn Enterprises Holdings) was approximately $4.1 billion and $4.1 billion, respectively, representing approximately 69% and 55%, respectively, of the Investment Funds' assets under management.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Icahn Capital LP ("Icahn Capital") pays for expenses pertaining to the operation, administration and investment activities of our Investment segment for the benefit of the Investment Funds (including salaries, benefits and rent). Effective April 1, 2011, based on an expense-sharing arrangement, certain expenses borne by Icahn Capital are reimbursed by the Investment Funds. For the three months ended September 30, 2016, $21 million was allocated to the Investment Funds based on this expense-sharing arrangement. During the three months ended September 30, 2015, there was a reversal of expenses allocated to the Investment Funds due to the performance of a certain fund, resulting in an expense reallocation of $24 million to Icahn Capital based on this expense-sharing arrangement. For the nine months ended September 30, 2016 and 2015, $28 million and $204 million, respectively, was allocated to the Investment Funds based on this expense-sharing arrangement.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ARL Acquisition</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February 29, 2016, Icahn Enterprises entered into a contribution agreement with IRL Holding, LLC ("IRL"), an affiliate of Mr. Icahn, to acquire the remaining 25% economic interest in ARL not already owned by us. Pursuant to this contribution agreement, we contributed 685,367 newly issued depositary units of Icahn Enterprises to IRL in exchange for the remaining 25% economic interest in ARL. As a result of the transaction, we own a 100% economic interest in ARL. This transaction was authorized by the independent committee of the board of directors of the general partner of Icahn Enterprises. The independent committee was advised by independent counsel and retained an independent financial advisor which rendered a fairness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ARI has from time to time purchased components from ACF Industries LLC ("ACF"), an affiliate of Mr. Icahn, under a long-term agreement, as well as on a purchase order basis. ACF is a manufacturer and fabricator of specialty railcar parts and miscellaneous steel products. Under the manufacturing services agreement entered into in 1994 and amended in 2005, ACF agreed to manufacture and distribute, at ARI’s instruction, various railcar components. In consideration for these services, ARI agreed to pay ACF based on agreed upon rates. The agreement automatically renews unless written notice is provided by ARI.</w:t>
      </w:r>
    </w:p>
    <w:p>
      <w:pPr>
        <w:spacing w:after="0" w:line="80"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Also in April 2015, ARI entered into a parts purchasing and sale agreement with ACF. The agreement was unanimously approved by the independent directors of ARI’s and Icahn Enterprises' audit committee. Under this agreement, ARI and ACF may, from time to time, purchase and sell to each other certain parts for railcars ("Railcar Parts"). ARI also provides a non-exclusive and non-assignable license of certain intellectual property related to the manufacture and sale of Railcar Parts to ARI. The buyer under the agreement must pay the market price of the parts as determined in the agreement or as stated on a public website for all ARI customers. ARI may provide designs, engineering and purchasing support, including all materials and components to ACF. Subject to certain early termination events, the agreement terminates on December 31, 2020.</w:t>
      </w:r>
    </w:p>
    <w:p>
      <w:pPr>
        <w:spacing w:after="0" w:line="70"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ARI purchased $2 million and $4 million of components from ACF for the three months ended September 30, 2016 and 2015, respectively, and $4 million and $13 million of components from ACF for the nine months ended September 30, 2016 and 2015, respectively.</w:t>
      </w:r>
    </w:p>
    <w:p>
      <w:pPr>
        <w:spacing w:after="0" w:line="3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November 2015, ARI and ACF amended this agreement to, among other provisions, extend the termination date to December 31, 2016 from December 31, 2015, subject to certain early termination events.</w:t>
      </w:r>
    </w:p>
    <w:p>
      <w:pPr>
        <w:spacing w:after="0" w:line="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ARI's revenues under this agreement were zero and $3 million for the three months ended September 30, 2016 and 2015, respectively, and less than $1 million and $9 million for the nine months ended September 30, 2016 and 2015, respectively. Such revenues were recorded for sales of railcar components to ACF and for royalties and profits on railcars sold by ACF.</w:t>
      </w:r>
    </w:p>
    <w:p>
      <w:pPr>
        <w:spacing w:after="0" w:line="46"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In April 2015, ARI entered into a repair services and support agreement with ACF. The agreement was unanimously approved by the independent directors of ARI’s and Icahn Enterprises' audit committee. Under this agreement, ARI provides certain sales and administrative and technical services, materials and purchasing support and engineering services to ACF to provide repair and retrofit services ("Repair Services"). Additionally, ARI provides a non-exclusive and non-assignable license of certain intellectual property related to the Repair Services for railcars. ARI receives 30% of the net profits (as defined in the agreement) for Repair Services related to all railcars not owned by ARL or its subsidiaries and 20% of the net profits for Repair Services related to all railcars owned by ARL or its subsidiaries, if any, but does not absorb any losses incurred by ACF.</w:t>
      </w:r>
    </w:p>
    <w:p>
      <w:pPr>
        <w:spacing w:after="0" w:line="4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7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For each of the three and nine months ended September 30, 2016, revenues of less than $1 million were recorded under this agreement. No revenues were recorded under this agreement for each of the three and nine months ended September 30, 2015.</w:t>
      </w:r>
    </w:p>
    <w:p>
      <w:pPr>
        <w:spacing w:after="0" w:line="6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April 2013, AEP Leasing LLC entered into an agreement (the "ACF Agreement") with ACF whereby AEP Leasing would purchase railcars from ACF. The ACF Agreement was assumed by ARL in connection with our purchase of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$9 million for the nine months ended September 30, 2015. There were no purchases of railcars from ACF under this agreement for the nine months ended September 30, 2016.</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 addition to the above purchases, on a contract-by-contract basis, ARL purchased zero and $16 million of railcars from ACF for the three months ended September 30, 2016 and 2015, respectively, and $14 million and $43 million of railcars from ACF for the nine months ended September 30, 2016 and 2015,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Insight Portfolio Group LLC (“Insight Portfolio Group”) is an entity formed and controlled by Mr. Icahn in order to maximize the potential buying power of a group of entities with which Mr. Icahn has a relationship in negotiating with a wide range of suppliers of goods, services and tangible and intangible property at negotiated rates.</w:t>
      </w:r>
    </w:p>
    <w:p>
      <w:pPr>
        <w:spacing w:after="0" w:line="73"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2013,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PSC Metals, ARI, ARL, Tropicana, Viskase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the three months ended September 30, 2016 and 2015 less than $1 million was paid in respect to certain of Insight Portfolio Group's operating expenses. For each of the nine months ended September 30, 2016 and 2015, $2 million were paid in respect to certain of Insight Portfolio Group's operating expenses.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7"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 Investment Segment and Holding Company." The carrying value and detail of security type and business sector with respect to investments and securities sold, not yet purchased held by our Investment segment consist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2016</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342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3180" w:type="dxa"/>
            <w:vAlign w:val="bottom"/>
            <w:gridSpan w:val="4"/>
          </w:tcPr>
          <w:p>
            <w:pPr>
              <w:spacing w:after="0"/>
              <w:rPr>
                <w:sz w:val="2"/>
                <w:szCs w:val="2"/>
                <w:color w:val="auto"/>
              </w:rPr>
            </w:pPr>
          </w:p>
        </w:tc>
      </w:tr>
      <w:tr>
        <w:trPr>
          <w:trHeight w:val="225"/>
        </w:trPr>
        <w:tc>
          <w:tcPr>
            <w:tcW w:w="3420" w:type="dxa"/>
            <w:vAlign w:val="bottom"/>
          </w:tcPr>
          <w:p>
            <w:pPr>
              <w:spacing w:after="0"/>
              <w:rPr>
                <w:sz w:val="19"/>
                <w:szCs w:val="19"/>
                <w:color w:val="auto"/>
              </w:rPr>
            </w:pPr>
          </w:p>
        </w:tc>
        <w:tc>
          <w:tcPr>
            <w:tcW w:w="4700" w:type="dxa"/>
            <w:vAlign w:val="bottom"/>
          </w:tcPr>
          <w:p>
            <w:pPr>
              <w:jc w:val="right"/>
              <w:ind w:right="3759"/>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4"/>
          </w:tcPr>
          <w:p>
            <w:pPr>
              <w:jc w:val="right"/>
              <w:ind w:right="1199"/>
              <w:spacing w:after="0"/>
              <w:rPr>
                <w:sz w:val="20"/>
                <w:szCs w:val="20"/>
                <w:color w:val="auto"/>
              </w:rPr>
            </w:pPr>
            <w:r>
              <w:rPr>
                <w:rFonts w:ascii="Arial" w:cs="Arial" w:eastAsia="Arial" w:hAnsi="Arial"/>
                <w:sz w:val="14"/>
                <w:szCs w:val="14"/>
                <w:color w:val="auto"/>
              </w:rPr>
              <w:t>(in millions)</w:t>
            </w:r>
          </w:p>
        </w:tc>
      </w:tr>
      <w:tr>
        <w:trPr>
          <w:trHeight w:val="249"/>
        </w:trPr>
        <w:tc>
          <w:tcPr>
            <w:tcW w:w="342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342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4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407</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3,684</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Energy</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1,461</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2,094</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4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5,795</w:t>
            </w:r>
          </w:p>
        </w:tc>
      </w:tr>
      <w:tr>
        <w:trPr>
          <w:trHeight w:val="217"/>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14,324</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debt:</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Sovereign debt</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Utilities</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3420" w:type="dxa"/>
            <w:vAlign w:val="bottom"/>
          </w:tcPr>
          <w:p>
            <w:pPr>
              <w:ind w:left="160"/>
              <w:spacing w:after="0"/>
              <w:rPr>
                <w:sz w:val="20"/>
                <w:szCs w:val="20"/>
                <w:color w:val="auto"/>
              </w:rPr>
            </w:pPr>
            <w:r>
              <w:rPr>
                <w:rFonts w:ascii="Arial" w:cs="Arial" w:eastAsia="Arial" w:hAnsi="Arial"/>
                <w:sz w:val="16"/>
                <w:szCs w:val="16"/>
                <w:color w:val="auto"/>
              </w:rPr>
              <w:t>Mortgage-backed securities:</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4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17"/>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9,317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14,553</w:t>
            </w:r>
          </w:p>
        </w:tc>
      </w:tr>
      <w:tr>
        <w:trPr>
          <w:trHeight w:val="73"/>
        </w:trPr>
        <w:tc>
          <w:tcPr>
            <w:tcW w:w="3420" w:type="dxa"/>
            <w:vAlign w:val="bottom"/>
            <w:tcBorders>
              <w:bottom w:val="single" w:sz="8" w:color="CCEEFF"/>
            </w:tcBorders>
          </w:tcPr>
          <w:p>
            <w:pPr>
              <w:spacing w:after="0"/>
              <w:rPr>
                <w:sz w:val="6"/>
                <w:szCs w:val="6"/>
                <w:color w:val="auto"/>
              </w:rPr>
            </w:pPr>
          </w:p>
        </w:tc>
        <w:tc>
          <w:tcPr>
            <w:tcW w:w="47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31"/>
        </w:trPr>
        <w:tc>
          <w:tcPr>
            <w:tcW w:w="34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jc w:val="right"/>
              <w:ind w:right="3759"/>
              <w:spacing w:after="0"/>
              <w:rPr>
                <w:sz w:val="20"/>
                <w:szCs w:val="20"/>
                <w:color w:val="auto"/>
              </w:rPr>
            </w:pPr>
            <w:r>
              <w:rPr>
                <w:rFonts w:ascii="Arial" w:cs="Arial" w:eastAsia="Arial" w:hAnsi="Arial"/>
                <w:sz w:val="16"/>
                <w:szCs w:val="16"/>
                <w:b w:val="1"/>
                <w:bCs w:val="1"/>
                <w:color w:val="auto"/>
              </w:rPr>
              <w:t>Liabilities</w:t>
            </w: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w w:val="99"/>
              </w:rPr>
              <w:t>Securities sold, not yet purchased, at fair value:</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securities:</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Consumer, non-cyclical</w:t>
            </w:r>
          </w:p>
        </w:tc>
        <w:tc>
          <w:tcPr>
            <w:tcW w:w="4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794</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Energy</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2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r>
      <w:tr>
        <w:trPr>
          <w:trHeight w:val="231"/>
        </w:trPr>
        <w:tc>
          <w:tcPr>
            <w:tcW w:w="3420" w:type="dxa"/>
            <w:vAlign w:val="bottom"/>
          </w:tcPr>
          <w:p>
            <w:pPr>
              <w:ind w:left="160"/>
              <w:spacing w:after="0"/>
              <w:rPr>
                <w:sz w:val="20"/>
                <w:szCs w:val="20"/>
                <w:color w:val="auto"/>
              </w:rPr>
            </w:pPr>
            <w:r>
              <w:rPr>
                <w:rFonts w:ascii="Arial" w:cs="Arial" w:eastAsia="Arial" w:hAnsi="Arial"/>
                <w:sz w:val="16"/>
                <w:szCs w:val="16"/>
                <w:color w:val="auto"/>
              </w:rPr>
              <w:t>Debt securities:</w:t>
            </w:r>
          </w:p>
        </w:tc>
        <w:tc>
          <w:tcPr>
            <w:tcW w:w="47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4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w:t>
            </w:r>
          </w:p>
        </w:tc>
      </w:tr>
      <w:tr>
        <w:trPr>
          <w:trHeight w:val="33"/>
        </w:trPr>
        <w:tc>
          <w:tcPr>
            <w:tcW w:w="34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37"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portion of trading gains (losses) that relates to trading securities still held by our Investment segment was $754 million and approximately $(2.2) billion for the three months ended September 30, 2016 and 2015, respectively, and $626 million and approximately $(1.9) billion for the nine months ended September 30, 2016 and 2015, respectively.</w:t>
      </w:r>
    </w:p>
    <w:p>
      <w:pPr>
        <w:spacing w:after="0" w:line="73"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60" w:firstLine="378"/>
        <w:spacing w:after="0" w:line="273" w:lineRule="auto"/>
        <w:rPr>
          <w:sz w:val="20"/>
          <w:szCs w:val="20"/>
          <w:color w:val="auto"/>
        </w:rPr>
      </w:pPr>
      <w:r>
        <w:rPr>
          <w:rFonts w:ascii="Arial" w:cs="Arial" w:eastAsia="Arial" w:hAnsi="Arial"/>
          <w:sz w:val="17"/>
          <w:szCs w:val="17"/>
          <w:color w:val="auto"/>
        </w:rPr>
        <w:t>As of September 30, 2016, the Investment Funds and their affiliates collectively owned approximately 21.1% of Herbalife Ltd. ("Herbalife"). Our Investment segment applied the fair value option to Herbalife because this investment would have otherwise been subject to the equity method of accounting during the third quarter of 2016. Our Investment segment recorded net gains of $52 million and $119 million for the three and nine months ended September 30, 2016, respectively, with respect to its investment in Herbalife. As of September 30, 2016, the fair value of the Investment Funds' investment in Herbalife was $973 million and was included in investments in our condensed consolidated balance sheets. We believe that the Investment Funds' investment in Herbalife is not material to our condensed consolidated financial statements</w:t>
      </w:r>
      <w:r>
        <w:rPr>
          <w:rFonts w:ascii="Arial" w:cs="Arial" w:eastAsia="Arial" w:hAnsi="Arial"/>
          <w:sz w:val="17"/>
          <w:szCs w:val="17"/>
          <w:b w:val="1"/>
          <w:bCs w:val="1"/>
          <w:i w:val="1"/>
          <w:iCs w:val="1"/>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 of investments held by our other segments and our Holding Company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8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6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73"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following table summarizes the valuation of our investments, derivative contracts, securities sold not yet purchased and other liabilities by the above fair value hierarchy levels measured on a recurring and non-recurring basis as of September 30, 2016 and December 31,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Arial" w:cs="Arial" w:eastAsia="Arial" w:hAnsi="Arial"/>
                <w:sz w:val="18"/>
                <w:szCs w:val="18"/>
                <w:b w:val="1"/>
                <w:bCs w:val="1"/>
                <w:color w:val="auto"/>
              </w:rPr>
              <w:t>September 30, 2016</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15,028</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69"/>
        </w:trPr>
        <w:tc>
          <w:tcPr>
            <w:tcW w:w="3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Securities sold, not yet purchased (Note 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26035"/>
                    </a:xfrm>
                    <a:prstGeom prst="rect">
                      <a:avLst/>
                    </a:prstGeom>
                    <a:noFill/>
                  </pic:spPr>
                </pic:pic>
              </a:graphicData>
            </a:graphic>
          </wp:anchor>
        </w:drawing>
      </w: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condensed consolidated balance sheets.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 for Which We Use Level 3 Inputs to Determine Fair Value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changes in investments measured at fair value on a recurring basis for which we use Level 3 inputs to determine fair value are as follows:</w:t>
      </w:r>
    </w:p>
    <w:p>
      <w:pPr>
        <w:spacing w:after="0" w:line="179"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62"/>
        </w:trPr>
        <w:tc>
          <w:tcPr>
            <w:tcW w:w="8120" w:type="dxa"/>
            <w:vAlign w:val="bottom"/>
          </w:tcPr>
          <w:p>
            <w:pPr>
              <w:ind w:left="40"/>
              <w:spacing w:after="0"/>
              <w:rPr>
                <w:sz w:val="20"/>
                <w:szCs w:val="20"/>
                <w:color w:val="auto"/>
              </w:rPr>
            </w:pPr>
            <w:r>
              <w:rPr>
                <w:rFonts w:ascii="Arial" w:cs="Arial" w:eastAsia="Arial" w:hAnsi="Arial"/>
                <w:sz w:val="18"/>
                <w:szCs w:val="18"/>
                <w:color w:val="auto"/>
              </w:rPr>
              <w:t>Net realized and unrealized gains (losses)</w:t>
            </w:r>
            <w:r>
              <w:rPr>
                <w:rFonts w:ascii="Arial" w:cs="Arial" w:eastAsia="Arial" w:hAnsi="Arial"/>
                <w:sz w:val="18"/>
                <w:szCs w:val="18"/>
                <w:color w:val="auto"/>
                <w:vertAlign w:val="superscript"/>
              </w:rPr>
              <w:t>(1)</w:t>
            </w:r>
          </w:p>
        </w:tc>
        <w:tc>
          <w:tcPr>
            <w:tcW w:w="106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58"/>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10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transfers out</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right="420" w:firstLine="8"/>
        <w:spacing w:after="0" w:line="305" w:lineRule="auto"/>
        <w:tabs>
          <w:tab w:leader="none" w:pos="148" w:val="left"/>
        </w:tabs>
        <w:numPr>
          <w:ilvl w:val="0"/>
          <w:numId w:val="8"/>
        </w:numPr>
        <w:rPr>
          <w:rFonts w:ascii="Arial" w:cs="Arial" w:eastAsia="Arial" w:hAnsi="Arial"/>
          <w:sz w:val="17"/>
          <w:szCs w:val="17"/>
          <w:color w:val="auto"/>
          <w:vertAlign w:val="superscript"/>
        </w:rPr>
      </w:pPr>
      <w:r>
        <w:rPr>
          <w:rFonts w:ascii="Arial" w:cs="Arial" w:eastAsia="Arial" w:hAnsi="Arial"/>
          <w:sz w:val="12"/>
          <w:szCs w:val="12"/>
          <w:color w:val="auto"/>
        </w:rPr>
        <w:t>Includes net unrealized losses of $6 million and $40 million for the nine months ended September 30, 2016 and 2015, respectively, relating to investments still held at September 30 of each respective period and which are included in net (loss) gain from investment activities in the condensed consolidated statements of operations.</w:t>
      </w:r>
    </w:p>
    <w:p>
      <w:pPr>
        <w:spacing w:after="0" w:line="5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During the first quarter of 2016, we transferred out a Level 3 corporate debt investment in the amount of $126 million. See Note 2, "Operating Units - Gaming," for further discussion regarding this transaction.</w:t>
      </w:r>
    </w:p>
    <w:p>
      <w:pPr>
        <w:spacing w:after="0" w:line="62"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During 2015, the Holding Company made a certain investment classified as trading securities in the amount of $100 million, which is considered a Level 3 investment due to unobservable market data and is measured at fair value on a recurring basis. We purchased an additional $50 million of this investment during the nine months ended September 30, 2016. We determined the fair value of this investment using internally developed models and other valuation techniques. As of September 30, 2016 and December 31, 2015, the fair value of this investment was $207 million and $157 million, respectively.</w:t>
      </w:r>
    </w:p>
    <w:p>
      <w:pPr>
        <w:spacing w:after="0" w:line="4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During 2015, the Holding Company obtained control of, and consolidated, Ferrous Resources, which was previously considered a Level 3 investment due to unobservable market data. The fair value of our investment in Ferrous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immediately prior to obtaining control was $36 million, which was transferred out of Level 3 investments during the second quarter of 2015. In addition, during the three months ended September 30, 2015, our Gaming segment received $10 million as reimbursement for certain approved capital expenditures.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Non-Recurring Basis for Which We Use Level 3 Inputs to Determine Fair Value</w:t>
      </w:r>
    </w:p>
    <w:p>
      <w:pPr>
        <w:spacing w:after="0" w:line="11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We have certain investments in debt securities classified as held-to-maturity within our Gaming segment since we have the ability and intent to hold the bonds to maturity. The debt securities are classified as Level 3 investments measured at fair value on a non-recurring basis and therefore are excluded from the roll forward of Level 3 investments measured on a recurring basis above. As of September 30, 2016 and December 31, 2015, the fair value of these debt securities was $21 million and $9 million, respectively, with the increase resulting from our acquisition of Trump during the first quarter of 2016.</w:t>
      </w:r>
    </w:p>
    <w:p>
      <w:pPr>
        <w:spacing w:after="0" w:line="4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nine months ended September 30, 2016, our Energy segment recorded a goodwill impairment charge of $574 million, which represented the full amount of the remaining goodwill allocated to this segment. Additionally, during the nine months ended September 30, 2016, our Gaming segment recorded an intangible asset impairment charge of $14 million, which represented the full amount of intangible assets allocated to Trump. Refer to Note 8, "Goodwill and Intangible Assets, Net," for further discussion.</w:t>
      </w:r>
    </w:p>
    <w:p>
      <w:pPr>
        <w:spacing w:after="0" w:line="7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During the nine months ended September 30, 2016, we recorded an aggregate $82 million of impairment relating to property, plant and equipment at our Gaming and Automotive segments. During the nine months ended September 30, 2015, we recorded impairment charges of $10 million relating to property, plant and equipment at our Automotive segment. We determined the fair value of property, plant and equipment by applying probability weighted, expected present value techniques to the estimated future cash flows using assumptions a market participant would utilize.</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Segment and Holding Company</w:t>
      </w:r>
    </w:p>
    <w:p>
      <w:pPr>
        <w:spacing w:after="0" w:line="121"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 investments in securities and amounts due from brokers are partially restricted until we satisfy the obligation to deliver the securities sold, not yet purchased.</w:t>
      </w:r>
    </w:p>
    <w:p>
      <w:pPr>
        <w:spacing w:after="0" w:line="79"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September 30, 2016, the maximum payout amounts relating to certain put options written by the Investment Funds were approximately $1.4 billion, all of which were related to covered put options on existing short positions on certain stock indices. At December 31, 2015, the maximum payout amounts relating to certain put options written by the Investment Funds were approximately $5.9 billion, of which approximately $5.9 billion related to covered put options on existing short positions on certain stock and credit indices. As of September 30, 2016 and December 31, 2015, there were unrealized gains of $6 million and $67 million, respectively, with respect to these put options.</w:t>
      </w:r>
    </w:p>
    <w:p>
      <w:pPr>
        <w:spacing w:after="0" w:line="74"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September 30, 2016 and December 31, 2015 was $766 million and $33 million, respectively.</w:t>
      </w:r>
    </w:p>
    <w:p>
      <w:pPr>
        <w:spacing w:after="0" w:line="80" w:lineRule="exact"/>
        <w:rPr>
          <w:sz w:val="20"/>
          <w:szCs w:val="20"/>
          <w:color w:val="auto"/>
        </w:rPr>
      </w:pPr>
    </w:p>
    <w:p>
      <w:pPr>
        <w:ind w:right="720" w:firstLine="405"/>
        <w:spacing w:after="0" w:line="264" w:lineRule="auto"/>
        <w:rPr>
          <w:sz w:val="20"/>
          <w:szCs w:val="20"/>
          <w:color w:val="auto"/>
        </w:rPr>
      </w:pPr>
      <w:r>
        <w:rPr>
          <w:rFonts w:ascii="Arial" w:cs="Arial" w:eastAsia="Arial" w:hAnsi="Arial"/>
          <w:sz w:val="18"/>
          <w:szCs w:val="18"/>
          <w:color w:val="auto"/>
        </w:rPr>
        <w:t>At September 30, 2016 and December 31, 2015, the Investment Funds had $492 million and $883 million,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7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guaranteed party based on another entity's failure to perform under an agreement as well as indirect guarantees of the indebtedness of others.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8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Federal-Mogul had commodity price hedge contracts outstanding with combined notional values of $17 million and $28 million at September 30, 2016 and December 31, 2015, respectively, substantially all of which mature within one year in each of the respective periods and all of which were designated as hedging instruments for accounting purposes. Federal-Mogul had recorded a net asset of $1 million and a net liability of $3 million as of September 30, 2016 and December 31, 2015, respectively, with respect to these hedging positions. Unrealized net losses of zero and $2 million were recorded in accumulated other comprehensive loss as of September 30, 2016 and December 31, 2015,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7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September 30, 2016 or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Financial instruments including cash equivalents, derivative contracts, and accounts receivable, expose Federal-Mogul to counter-party credit risk for non-performance. Federal-Mogul’s counterparties for cash equivalents and derivative contracts are banks and financial institutions that meet its requirement of high credit standing. Federal-Mogul's counterparties for derivative contracts are substantial investment and commercial banks with significant experience using such derivatives. Federal-Mogul manages its credit risk through policies requiring minimum credit standing and limiting credit exposure to any one counter-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337" w:right="2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party and through monitoring counter-party credit risks. Federal-Mogul's concentration of credit risk related to derivative contracts at September 30, 2016 and December 31, 2015 was not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w:t>
      </w:r>
    </w:p>
    <w:p>
      <w:pPr>
        <w:spacing w:after="0" w:line="12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income (loss), net in the condensed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CVR Refining enters into commodity swap contracts in order to fix the margin on a portion of future production. Additionally, CVR Refining may enter into price and basis swaps in order to fix the price on a portion of its commodity purchases and product sales.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At December 31, 2015, CVR Refining had open commodity hedging instruments consisting of 2.5 million barrels of crack spreads primarily to fix the margin on a portion of its future gasoline and distillate production. During the first quarter of 2016, CVR Refining settled a number of the open crack spread positions and entered into offsetting positions to effectively lock in the gain on the remaining positions to be settled in 2016. During the third quarter of 2016, CVR Refining entered into contracts consisting of 2.2 million barrels of crack spreads to fix the margin on a portion of its future production. At September 30, 2016, CVR Refining had open commodity hedging instruments consisting of 2.2 million barrels net of 2-1-1 crack spreads, 0.2 million barrels net of heating crack spreads and 0.3 million barrels of price and basis swaps. The fair value of the outstanding contracts at September 30, 2016 and December 31, 2015 was a net asset of $5 million and $45 million, respectively. CVR Refining recognized a net loss of $2 million and net gain of $3 million for the three months ended September 30, 2016 and 2015, respectively, and net loss of $4 million and $60 million for the nine months ended September 30, 2016 and 2015, respectively, which are included in other income (loss), net in the condensed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Coffeyville Resources Nitrogen Fertilizers, LLC ("CRNF"), a subsidiary of CVR Partners, had two floating-to-fixed interest rate swap agreements for the purpose of hedging the interest rate risk associated with a portion of its $125 million floating rate term debt, which matured in April 2016. The aggregate notional amount covered under these agreements totaled $62.5 million (split evenly between the two agreements) which commenced on August 12, 2011 and expired on February 12, 2016. The interest rate swaps agreements terminated in February 2016. The realized losses on the interest rate swaps reclassified from accumulated other comprehensive loss into interest expense was less than $1 million for each of the three and nine months ended September 30, 2016 and 2015.</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37"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Derivative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volume of our derivative activities based on their notional exposure, categorized by primary underlying risk,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800"/>
              <w:spacing w:after="0"/>
              <w:rPr>
                <w:sz w:val="20"/>
                <w:szCs w:val="20"/>
                <w:color w:val="auto"/>
              </w:rPr>
            </w:pPr>
            <w:r>
              <w:rPr>
                <w:rFonts w:ascii="Arial" w:cs="Arial" w:eastAsia="Arial" w:hAnsi="Arial"/>
                <w:sz w:val="16"/>
                <w:szCs w:val="16"/>
                <w:b w:val="1"/>
                <w:bCs w:val="1"/>
                <w:color w:val="auto"/>
              </w:rPr>
              <w:t>September 30, 2016</w:t>
            </w: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4"/>
          </w:tcPr>
          <w:p>
            <w:pPr>
              <w:jc w:val="right"/>
              <w:ind w:right="123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Credit swaps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1,343</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line="283"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120" w:hanging="172"/>
        <w:spacing w:after="0" w:line="247"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short notional amount on our credit default swap positions is approximately $2.6 billion and $10.0 billion as of September 30, 2016 and December 31, 2015, respectively. However, because credit spreads cannot compress below zero, our downside short notional exposure to loss is approximately $0.5 billion and $2.3 billion as of September 30, 2016 and December 31, 2015, respectively.</w:t>
      </w:r>
    </w:p>
    <w:p>
      <w:pPr>
        <w:spacing w:after="0" w:line="1" w:lineRule="exact"/>
        <w:rPr>
          <w:rFonts w:ascii="Arial" w:cs="Arial" w:eastAsia="Arial" w:hAnsi="Arial"/>
          <w:sz w:val="9"/>
          <w:szCs w:val="9"/>
          <w:color w:val="auto"/>
        </w:rPr>
      </w:pPr>
    </w:p>
    <w:p>
      <w:pPr>
        <w:ind w:left="180" w:right="140" w:hanging="172"/>
        <w:spacing w:after="0" w:line="293" w:lineRule="auto"/>
        <w:tabs>
          <w:tab w:leader="none" w:pos="180" w:val="left"/>
        </w:tabs>
        <w:numPr>
          <w:ilvl w:val="0"/>
          <w:numId w:val="10"/>
        </w:numPr>
        <w:rPr>
          <w:rFonts w:ascii="Arial" w:cs="Arial" w:eastAsia="Arial" w:hAnsi="Arial"/>
          <w:sz w:val="8"/>
          <w:szCs w:val="8"/>
          <w:color w:val="auto"/>
        </w:rPr>
      </w:pPr>
      <w:r>
        <w:rPr>
          <w:rFonts w:ascii="Arial" w:cs="Arial" w:eastAsia="Arial" w:hAnsi="Arial"/>
          <w:sz w:val="13"/>
          <w:szCs w:val="13"/>
          <w:color w:val="auto"/>
        </w:rPr>
        <w:t>The short notional amount on certain of our interest rate contracts with a three month duration is approximately $16.0 billion as of December 31, 2015. We assume that interest rates will not fall below zero and therefore our downside short notional exposure to loss on these contracts is $74 million (of the total $137 million disclosed in the above table) as of December 31, 2015.</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c>
          <w:tcPr>
            <w:tcW w:w="600" w:type="dxa"/>
            <w:vAlign w:val="bottom"/>
            <w:tcBorders>
              <w:bottom w:val="single" w:sz="8" w:color="auto"/>
            </w:tcBorders>
          </w:tcPr>
          <w:p>
            <w:pPr>
              <w:spacing w:after="0"/>
              <w:rPr>
                <w:sz w:val="24"/>
                <w:szCs w:val="24"/>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September 30, 2016</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gridSpan w:val="3"/>
          </w:tcPr>
          <w:p>
            <w:pPr>
              <w:ind w:left="38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64"/>
        </w:trPr>
        <w:tc>
          <w:tcPr>
            <w:tcW w:w="470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condensed consolidated balance sheets.</w:t>
      </w:r>
    </w:p>
    <w:p>
      <w:pPr>
        <w:spacing w:after="0" w:line="1" w:lineRule="exact"/>
        <w:rPr>
          <w:rFonts w:ascii="Arial" w:cs="Arial" w:eastAsia="Arial" w:hAnsi="Arial"/>
          <w:sz w:val="9"/>
          <w:szCs w:val="9"/>
          <w:color w:val="auto"/>
        </w:rPr>
      </w:pPr>
    </w:p>
    <w:p>
      <w:pPr>
        <w:ind w:left="180" w:right="320" w:hanging="172"/>
        <w:spacing w:after="0" w:line="255"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September 30, 2016 and December 31, 2015 was $492 million and $883 million, respectively, across all counterparties.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 following table presents the amount of gain (loss) recognized in the condensed consolidated statements of operations for our derivatives not designated as hedging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b w:val="1"/>
                <w:bCs w:val="1"/>
                <w:color w:val="auto"/>
                <w:w w:val="99"/>
              </w:rPr>
              <w:t>(Loss) Gain Recognized in Income</w:t>
            </w:r>
            <w:r>
              <w:rPr>
                <w:rFonts w:ascii="Arial" w:cs="Arial" w:eastAsia="Arial" w:hAnsi="Arial"/>
                <w:sz w:val="25"/>
                <w:szCs w:val="25"/>
                <w:b w:val="1"/>
                <w:bCs w:val="1"/>
                <w:color w:val="auto"/>
                <w:w w:val="99"/>
                <w:vertAlign w:val="superscript"/>
              </w:rPr>
              <w:t>(1)</w:t>
            </w: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3"/>
              </w:rPr>
              <w:t>1,334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300" w:hanging="172"/>
        <w:spacing w:after="0" w:line="273" w:lineRule="auto"/>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other income (loss), net for all other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gridSpan w:val="3"/>
          </w:tcPr>
          <w:p>
            <w:pPr>
              <w:jc w:val="right"/>
              <w:ind w:right="29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6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w:t>
            </w:r>
          </w:p>
        </w:tc>
      </w:tr>
      <w:tr>
        <w:trPr>
          <w:trHeight w:val="237"/>
        </w:trPr>
        <w:tc>
          <w:tcPr>
            <w:tcW w:w="8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2,259</w:t>
            </w:r>
          </w:p>
        </w:tc>
      </w:tr>
      <w:tr>
        <w:trPr>
          <w:trHeight w:val="27"/>
        </w:trPr>
        <w:tc>
          <w:tcPr>
            <w:tcW w:w="8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Impairment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Energy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September 30, 2016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2015</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Gross Carrying</w:t>
            </w: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140" w:type="dxa"/>
            <w:vAlign w:val="bottom"/>
          </w:tcPr>
          <w:p>
            <w:pPr>
              <w:jc w:val="center"/>
              <w:ind w:right="1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1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264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17"/>
        </w:trPr>
        <w:tc>
          <w:tcPr>
            <w:tcW w:w="26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r>
      <w:tr>
        <w:trPr>
          <w:trHeight w:val="73"/>
        </w:trPr>
        <w:tc>
          <w:tcPr>
            <w:tcW w:w="26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1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w:t>
            </w: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1,108</w:t>
            </w: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Amortization expense associated with definite-lived intangible assets was $22 million and $25 million for the three months ended September 30, 2016 and 2015, respectively, and $69 million and $70 million for the nine months ended September 30, 2016 and 2015, respectively. We utilize the straight-line method of amortization, recognized over the estimated useful lives of the assets.</w:t>
      </w:r>
    </w:p>
    <w:p>
      <w:pPr>
        <w:spacing w:after="0" w:line="73"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For our segments discussed below, the fair values of our reporting units are based upon consideration of various valuation methodologies, one of which is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further discussed in Note 1, "Description of Business and Basis of Presentation - Acquisitions of Businesses," during the first quarter of 2016, we acquired Pep Boys and allocated $48 million to trademarks and brand names, $19 million to customer relationships, $3 million to other definite-lived intangible assets and $199 million to goodwill as of the acquisition date. None of the goodwill is deductible for income tax purposes. We continue to finalize the valuation of the Pep Boys acquisition and have recorded provisional amounts based on preliminary estimates of fair value of net assets acquired, including goodwill. The provisional measurements of net assets are subject to change as we finalize the purchase price allocation.</w:t>
      </w:r>
    </w:p>
    <w:p>
      <w:pPr>
        <w:spacing w:after="0" w:line="64"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Due to the complexity in the "Step 2" goodwill impairment analysis, we finalized our Automotive segment's goodwill impairment for the year ended December 31, 2015 for the Motorparts reporting unit during the third quarter of 2016 and noted that no additional adjustments to goodwill were required during the third quarter of 2016.</w:t>
      </w:r>
    </w:p>
    <w:p>
      <w:pPr>
        <w:spacing w:after="0" w:line="73"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are currently performing the annual goodwill impairment tests as of October 1, 2016 for all of the reporting units within our Automotive segment and expect to finalize these goodwill impairment tests during the fourth quarter of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37"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reporting unit. Due to the complexity in the "Step 2" goodwill impairment test performed during the first quarter of 2016, we finalized the assessment of our Energy segment's goodwill impairment during the third quarter of 2016 and noted that no additional adjustments to goodwill were required during the third quarter of 2016.</w:t>
      </w:r>
    </w:p>
    <w:p>
      <w:pPr>
        <w:spacing w:after="0" w:line="7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perform the annual goodwill impairment test for our Energy segment as of April 30 of each year, or more frequently if impairment indicators exist. Due to worsening sales trends for our Energy segment's Fertilizer reporting unit, we performed an interim goodwill impairment analysis during the fourth quarter of 2015. Due to the complexity in the "Step 2" goodwill impairment test performed during the fourth quarter of 2015, we finalized the assessment of our Energy segment's goodwill impairment for the Fertilizer reporting unit during the first quarter of 2016 and noted that no additional adjustments to goodwill were required for the first quarter of 2016.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perform the annual goodwill impairment test as of November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further discussed in Note 1, "Description of Business and Basis of Presentation - Acquisitions of Businesses," during the first quarter of 2016, we acquired Trump and allocated $13 million to trademarks and brand names and $1 million to customer relationships as of the acquisition date. As discussed in Note 2, "Operating Units - Gaming," the Trump Taj Mahal closed and ceased its casino and hotel operations on October 10, 2016. As a result of this triggering event, for the three and nine months ended September 30, 2016, we recorded an intangible asset impairment charge of $14 million, which represented the full amount of intangible assets allocated to Trump.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708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080" w:type="dxa"/>
            <w:vAlign w:val="bottom"/>
          </w:tcPr>
          <w:p>
            <w:pPr>
              <w:spacing w:after="0"/>
              <w:rPr>
                <w:sz w:val="21"/>
                <w:szCs w:val="2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(in years)</w:t>
            </w:r>
          </w:p>
        </w:tc>
        <w:tc>
          <w:tcPr>
            <w:tcW w:w="560" w:type="dxa"/>
            <w:vAlign w:val="bottom"/>
          </w:tcPr>
          <w:p>
            <w:pPr>
              <w:spacing w:after="0"/>
              <w:rPr>
                <w:sz w:val="21"/>
                <w:szCs w:val="21"/>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2,456</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3,994</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r>
      <w:tr>
        <w:trPr>
          <w:trHeight w:val="237"/>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16,151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13,787</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9,678</w:t>
            </w:r>
          </w:p>
        </w:tc>
      </w:tr>
      <w:tr>
        <w:trPr>
          <w:trHeight w:val="20"/>
        </w:trPr>
        <w:tc>
          <w:tcPr>
            <w:tcW w:w="7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378"/>
        <w:spacing w:after="0" w:line="276" w:lineRule="auto"/>
        <w:rPr>
          <w:sz w:val="20"/>
          <w:szCs w:val="20"/>
          <w:color w:val="auto"/>
        </w:rPr>
      </w:pPr>
      <w:r>
        <w:rPr>
          <w:rFonts w:ascii="Arial" w:cs="Arial" w:eastAsia="Arial" w:hAnsi="Arial"/>
          <w:sz w:val="17"/>
          <w:szCs w:val="17"/>
          <w:color w:val="auto"/>
        </w:rPr>
        <w:t>Assets leased to others are related to our Railcar and Real Estate segments. Included in assets leased to others in the table above are our Railcar segment's railcars for lease in the amount of approximately $3.6 billion and $3.6 billion as of September 30, 2016 and December 31, 2015, respectively. Additionally, included in assets leased to others in the table above are our Real Estate segment's properties on lease in the amount of $420 million and $423 million as of September 30, 2016 and December 31, 2015, respectively. Aggregate accumulated depreciation pertaining to assets leased to others is approximately $1.1 billion and $1.1 billion as of September 30, 2016 and December 31, 2015,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Depreciation and amortization expense related to property, plant and equipment was $237 million and $190 million for the three months ended September 30, 2016 and 2015, respectively, and $675 million and $556 million for the nine months ended September 30, 2016 and 2015,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8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1,706</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Automotive</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8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Except for those described below, there were no other significant changes to our consolidated debt during the nine months ended September 30, 2016 as compared to that reported in our Annual Report on Form 10-K for the year ended December 31, 2015. Additionally, where applicable, we or our subsidiaries were in compliance with all covenants for their respective debt instruments as of September 30, 2016 and December 31, 2015.</w:t>
      </w:r>
    </w:p>
    <w:p>
      <w:pPr>
        <w:spacing w:after="0" w:line="57" w:lineRule="exact"/>
        <w:rPr>
          <w:sz w:val="20"/>
          <w:szCs w:val="20"/>
          <w:color w:val="auto"/>
        </w:rPr>
      </w:pPr>
    </w:p>
    <w:p>
      <w:pPr>
        <w:ind w:right="5700"/>
        <w:spacing w:after="0" w:line="375"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Senior Unsecured Notes Covenants</w:t>
      </w:r>
    </w:p>
    <w:p>
      <w:pPr>
        <w:spacing w:after="0" w:line="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As of September 30, 2016 and December 31, 2015, we were in compliance with all covenants, including maintaining certain minimum financial ratios, as defined in the indentures. Additionally, as of September 30, 2016, based on covenants in the indentures governing our senior unsecured notes, we are not permitted to incur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Federal-Mogul Credit Facility</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During the first quarter of 2016, Federal-Mogul increased its borrowing capacity under a certain revolving credit facility (the "Federal-Mogul Replacement Revolver Facility") by $50 million to $600 million. As of September 30, 2016 and December 31, 2015, the outstanding balance on the Federal-Mogul Replacement Revolver Facility was $390 million and $340 million, respectively. As of September 30, 2016 and December 31, 2015, the borrowing availability under the Federal-Mogul Replacement Revolver Facility was $173 million and $170 million, respectively. Federal-Mogul had $37 million and $40 million of letters of credit outstanding as of September 30, 2016 and December 31, 2015, respectively, pertaining to the Federal-Mogul Replacement Revolver Facility. To the extent letters of credit associated with the Federal-Mogul Replacement Revolver Facility are issued, there will be a corresponding decrease in borrowings available under this facility. There was also $37 million of availability under foreign credit facilities at September 30, 2016.</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IEP Auto Credit Facility</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August 16, 2016, IEP Auto Holdings LLC ("IEP Auto"), a wholly owned subsidiary of ours and parent company of IEH Auto and Pep Boys, executed a new loan and security agreement (the “IEP Auto Credit Facility”) providing for borrowings of up to $675 million. A portion of the proceeds from the new IEP Auto Credit Facility was used to repay in full both the IEH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Auto Revolving Credit Facility and Pep Boys Revolving Credit Facility (each as defined and discussed below). In addition, the IEP Auto Credit Facility replaced both the IEH Auto Revolving Credit Facility and Pep Boys Revolving Credit Facility.</w:t>
      </w:r>
    </w:p>
    <w:p>
      <w:pPr>
        <w:spacing w:after="0" w:line="62"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The IEP Auto Credit Facility consists of an asset-based revolving credit facility and a first in-last out revolving credit facility with a schedule maturity date of August 16, 2021 and August 16, 2019, respectively. The interest rates on the IEP Auto Credit Facility range from LIBOR plus a margin of 1.25% to 2.75% for LIBOR Rate borrowings or Prime Rate plus 0.25% to 1.75% for Prime Rate borrowings at the election of IEP Auto.</w:t>
      </w:r>
    </w:p>
    <w:p>
      <w:pPr>
        <w:spacing w:after="0" w:line="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of September 30, 2016, IEP Auto had an aggregate $225 million outstanding under the IEP Auto Credit Facility. As of September 30, 2016, there was $43 million in letters of credit outstanding with respect to the IEP Auto Credit Facility. To the extent letters of credit associated with the IEP Auto Credit Facility are issued, there will be a corresponding decrease in borrowings available under this facility. As of September 30, 2016, taking into account the borrowing base requirements (including reduction for amounts outstanding under the trade payable program), there was $129 million of availability under the IEP Auto Credit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IEH Auto Credit Facility</w:t>
      </w:r>
    </w:p>
    <w:p>
      <w:pPr>
        <w:spacing w:after="0" w:line="117"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On November 25, 2015, IEH Auto entered into a senior secured asset based revolving credit facility (the "IEH Auto Revolving Credit Facility") for $125 million. On January 25, 2016, the IEH Auto Credit Facility was amended and restated to increase the revolver commitments to $210 million. As discussed above, the IEH Auto Revolving Credit Facility was paid in full from a portion of the proceeds from the IEP Auto Credit Facility and terminated during the third quarter of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 Boys Credit Facility</w:t>
      </w:r>
    </w:p>
    <w:p>
      <w:pPr>
        <w:spacing w:after="0" w:line="11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Pep Boys had a revolving credit agreement (the "Pep Boys Revolving Credit Facility") providing for borrowings of up to $300 million, with an original maturity date of July 26, 2016. The maturity date of this revolving credit agreement was extended to October 24, 2016. As discussed above, the Pep Boys Revolving Credit Facility was paid in full from a portion of the proceeds from the IEP Auto Credit Facility and terminated during the third quarter of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Refining Credit Facility</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of September 30, 2016, CVR Refining and its subsidiaries had availability under its existing amended and restated asset backed credit facility (the "CVR Refining Credit Facility") of $323 million and had letters of credit outstanding of $28 million. There were no borrowings outstanding under the CVR Refining Credit Facility as of September 30, 2016. Availability under the CVR Refining Credit Facility was limited by borrowing base conditions as of September 30,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2011 Credit Facility</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CVR Partners' credit facility included a term loan in the amount of $125 million and a revolving credit facility. No amounts were outstanding under the revolving credit facility. On April 1, 2016, CVR Partners repaid all amounts outstanding with respect to its term loan under the credit facility and the credit facility was terminated.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2023 Senior Notes</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June 10, 2016, CVR Partners and CVR Nitrogen Finance Corporation, an indirect wholly-owned subsidiary of CVR Partners, certain subsidiary guarantors named therein and Wilmington Trust, National Association, as trustee and as collateral trustee, completed a private offering of $645 million aggregate principal amount of 9.25% Senior Secured Notes due 2023 (the "CVR Partners 2023 Notes"). The CVR Partners 2023 Notes mature on June 15, 2023, unless earlier redeemed or repurchased by the issuers. Interest on the CVR Partners 2023 Notes is payable semi-annually in arrears on June 15 and December 15 of each year, beginning on December 15, 2016. The CVR Partners 2023 Notes are guaranteed on a senior secured basis by all of the Nitrogen Fertilizer Partnership’s existing subsidiaries.</w:t>
      </w:r>
    </w:p>
    <w:p>
      <w:pPr>
        <w:spacing w:after="0" w:line="8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CVR Partners 2023 Notes were issued at a $16 million discount, which is being amortized over the term of the CVR Partners 2023 Notes as interest expense using the effective-interest method. CVR Partners received $623 million of cash proceeds, net of the original issue discount and underwriting fees, but before deducting other third-party fees and expenses associated with the offering. The net proceeds from the sale of the CVR Partners 2023 Notes were used to: (i) repay all amounts outstanding under the senior term loan credit facility with Coffeyville Resources, LLC; (ii) finance the CVR Nitrogen 2021 Notes tender offer (discussed below) and (iii) to pay related fees and expenses.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37"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The CVR Partners 2023 Notes contain customary covenants for a financing of this type that, among other things, restrict CVR Partners' ability and the ability of certain of its subsidiaries to: (i) sell assets; (ii) pay distributions on, redeem or repurchase CVR Partners' units or redeem or repurchase its subordinated debt; (iii) make investments; (iv) incur or guarantee additional indebtedness or issue preferred units; (v) create or incur certain liens; (vi) enter into agreements that restrict distributions or other payments from CVR Partners' restricted subsidiaries to CVR Partners; (vii) consolidate, merge or transfer all or substantially all of CVR Partners' assets; (viii) engage in transactions with affiliates; and (ix) create unrestricted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Nitrogen 2021 Notes</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Prior to the acquisition of CVR Nitrogen by CVR Partners, CVR Nitrogen and CVR Nitrogen Finance Corporation (together the "CVR Nitrogen 2021 Notes Issuers") issued $320 million of 6.5% senior secured notes due 2021 (the "CVR Nitrogen 2021 Notes"). The CVR Nitrogen 2021 Notes are scheduled to mature on April 15, 2021, unless repurchased or redeemed earlier in accordance with their terms.</w:t>
      </w:r>
    </w:p>
    <w:p>
      <w:pPr>
        <w:spacing w:after="0" w:line="7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April 29, 2016, the CVR Nitrogen 2021 Notes Issuers commenced a cash tender offer (the "CVR Nitrogen Tender Offer") to purchase any and all of the outstanding CVR Nitrogen 2021 Notes. In connection with the CVR Nitrogen Tender Offer, the CVR Nitrogen 2021 Notes Issuers solicited the consents of holders of the notes to certain proposed amendments to the indenture governing the notes (the "Consent Solicitation"). As a result of the CVR Nitrogen Tender Offer, on June 10, 2016, the CVR Nitrogen 2021 Notes Issuers repurchased $315 million of the CVR Nitrogen 2021 Notes, representing approximately 98.5% of the total outstanding principal amount of the notes at a purchase price of $1,015 per $1,000 in principal amount. The total amount paid related to the CVR Nitrogen Tender Offer was $320 million, including a premium of $5 million. Additionally, the CVR Nitrogen 2021 Notes Issuers paid $3 million for accrued and unpaid interest for the tendered notes up to the settlement date. CVR Partners received the requisite consents in respect of the CVR Nitrogen 2021 Notes in connection with the Consent Solicitation to amend the indenture governing the CVR Nitrogen 2021 Notes. As a result, the CVR Nitrogen 2021 Notes Issuers executed a supplemental indenture, dated as of June 10, 2016, which eliminated or modified substantially all of the restrictive covenants relating to CVR Nitrogen and its subsidiaries, eliminated all events of default other than failure to pay principal, premium or interest on the CVR Nitrogen 2021 Notes, eliminated all conditions to satisfaction and discharge, and released the liens on the collateral securing the CVR Nitrogen 2021 Notes. The repurchase of a portion of the CVR Nitrogen 2021 Notes resulted in a loss on extinguishment of debt of $5 million for the nine months ended September 30, 2016.</w:t>
      </w:r>
    </w:p>
    <w:p>
      <w:pPr>
        <w:spacing w:after="0" w:line="8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Concurrently with, but separately from the CVR Nitrogen Tender Offer, the CVR Nitrogen 2021 Notes Issuers also commenced an offer to purchase all of the outstanding CVR Nitrogen 2021 Notes at a price equal to 101% of the principal amount thereof, as required as a result of the acquisition of CVR Nitrogen (the "Change of Control Offer"). The offer expired on June 28, 2016. As a result of the Change of Control Offer, CVR Partners repurchased less than $1 million of CVR Nitrogen 2021 Notes at a purchase price of $1,010 per $1,000 in principal amount. The total amount paid related to the Change of Control offer was less than $1 million, including a nominal amount of premium and accrued and unpaid interest.</w:t>
      </w:r>
    </w:p>
    <w:p>
      <w:pPr>
        <w:spacing w:after="0" w:line="6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September 30, 2016, a principal amount of $4 million of the CVR Nitrogen 2021 Notes remained outstanding following the consummation of the CVR Nitrogen Tender Offer.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2016 Credit Facility</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September 30, 2016, CVR Partners entered into a senior secured asset based revolving credit facility (the "CVR Partners Credit Facility") providing for availability of up to $50 million with an incremental facility, which permits an increase in borrowings of up to $25 million in the aggregate subject to additional lender commitments and certain other conditions. The proceeds of the loans may be used for capital expenditures and working capital and general corporate purposes of CVR Partners and its subsidiaries. The CVR Partners Credit Facility provides for loans and standby letters of credit in an amount up to the aggregate availability under the facility, subject to meeting certain borrowing base conditions, with sub-limits of the lesser of 10.0% of the total facility commitment and $5 million for swingline loans and $10 million for letters of credit. The CVR Partners Credit Facility is scheduled to mature on September 30, 2021.</w:t>
      </w:r>
    </w:p>
    <w:p>
      <w:pPr>
        <w:spacing w:after="0" w:line="81"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At the option of the borrowers, loans under the CVR Partners Credit Facility initially bear interest at an annual rate equal to (i) 2.0% plus LIBOR or (ii) 1.0% plus a base rate, subject to a 0.5% step-down based on the previous quarter’s excess availability. The borrowers must also pay a commitment fee on the unutilized commitments and also pay customary letter of credit fees.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CVR Partners Credit Facility also contains customary covenants for a financing of this type that limit the ability of the Nitrogen Fertilizer Partnership and its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CVR Partners Credit Facility also contains a fixed charge coverage ratio financial covenant, as defined therein.</w:t>
      </w:r>
    </w:p>
    <w:p>
      <w:pPr>
        <w:spacing w:after="0" w:line="63"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As of September 30, 2016, CVR Partners and its subsidiaries had availability under the CVR Partners Credit Facility of $48 million. There were no borrowings outstanding under the CVR Partners Credit Facility as of September 30,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 2015 Credit Facility</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December 2015, ARI completed a financing of its railcar lease fleet with availability of up to $200 million under a credit agreement. The initial amount drawn from the revolving credit facility ("ARI Revolving Loan") obtained at closing amounted to $100 million, net of fees and expenses. In February 2016, ARI repaid amounts outstanding under the ARI Revolving Loan in full and as of September 30, 2016, ARI had borrowing availability of $200 million under the ARI Revolving Loan.</w:t>
      </w:r>
    </w:p>
    <w:p>
      <w:pPr>
        <w:spacing w:after="0" w:line="7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As of September 30, 2016 and December 31, 2015, the net book value of the railcars that were pledged as part of ARI's credit facilities was $549 million and $564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ARL 2016 Term Loan</w:t>
      </w:r>
    </w:p>
    <w:p>
      <w:pPr>
        <w:spacing w:after="0" w:line="6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September 28, 2016, NCI IV LLC (f/k/a ARI First LLC), a wholly owned subsidiary of ARL, entered into a secured term facility with PNC Equipment Finance in the amount of $150 million with an interest rate based on 30 day LIBOR with a maturity date of September 27, 2017. The net proceeds and cash on hand were used to pay off a certain debt of NCI IV LLC that matured during the third quarter of 2016 in the amount of $208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and nine months ended September 30, 2016 and 2015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6"/>
              </w:rPr>
              <w:t>Pension Benefits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7"/>
              </w:rPr>
              <w:t>OPEB</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Three Months Ended</w:t>
            </w:r>
          </w:p>
        </w:tc>
        <w:tc>
          <w:tcPr>
            <w:tcW w:w="460" w:type="dxa"/>
            <w:vAlign w:val="bottom"/>
          </w:tcPr>
          <w:p>
            <w:pPr>
              <w:spacing w:after="0"/>
              <w:rPr>
                <w:sz w:val="18"/>
                <w:szCs w:val="18"/>
                <w:color w:val="auto"/>
              </w:rPr>
            </w:pPr>
          </w:p>
        </w:tc>
        <w:tc>
          <w:tcPr>
            <w:tcW w:w="284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2"/>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7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6"/>
              </w:rPr>
              <w:t>Pension Benefits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7"/>
              </w:rPr>
              <w:t>OPEB</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3"/>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color w:val="auto"/>
              </w:rPr>
              <w:t>(in millions, except per unit data)</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Icahn Enterprises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w w:val="93"/>
              </w:rPr>
              <w:t>Net (loss) income attributable to Icahn Enterprises allocable to</w:t>
            </w: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1060" w:type="dxa"/>
            <w:vAlign w:val="bottom"/>
            <w:vMerge w:val="restart"/>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6"/>
                <w:szCs w:val="16"/>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6"/>
                <w:szCs w:val="16"/>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6"/>
                <w:szCs w:val="16"/>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limited partners (98.01% allocation)</w:t>
            </w:r>
          </w:p>
        </w:tc>
        <w:tc>
          <w:tcPr>
            <w:tcW w:w="106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and diluted (loss) income per LP unit</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LP units outstanding</w:t>
            </w:r>
          </w:p>
        </w:tc>
        <w:tc>
          <w:tcPr>
            <w:tcW w:w="10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Issuance</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disclosed in Note 3, "Related Party Transactions," pursuant to a certain contribution agreement, on February 29, 2016, we contributed 685,367 newly issued depositary units of Icahn Enterprises to IRL in exchange for the remaining 25% economic interest in ARL.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 Distributions</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57"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On April 29, 2016, Icahn Enterprises declared a quarterly distribution in the amount of $1.50 per depositary unit in which each depositary unit holder had the option to make an election to receive either cash or additional depositary units. As a result, on June 16, 2016, Icahn Enterprises distributed an aggregate 3,116,976 depositary units to unit holders electing to receive depositary units in connection with this distribution.</w:t>
      </w:r>
    </w:p>
    <w:p>
      <w:pPr>
        <w:spacing w:after="0" w:line="57"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On August 3, 2016, Icahn Enterprises declared a quarterly distribution in the amount of $1.50 per depositary unit in which each depositary unit holder had the option to make an election to receive either cash or additional depositary units. As a result, on September 19, 2016, Icahn Enterprises distributed an aggregate 3,586,029 depositary units to unit holders electing to receive depositary units in connection with this distribution.</w:t>
      </w:r>
    </w:p>
    <w:p>
      <w:pPr>
        <w:spacing w:after="0" w:line="5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November 2, 2016, Mr. Icahn and his affiliates owned 89.7% of Icahn Enterprises outstanding depositary units.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and investment activity and expenses associated with the Holding Company.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Certain terms of financings for certain of our segments impose restrictions on the segments' ability to transfer funds to us, including restrictions on dividends, distributions, loans and other transactions. See Note 2, “Operating Units,” for a detailed description of each of our reporting segments.</w:t>
      </w:r>
    </w:p>
    <w:p>
      <w:pPr>
        <w:spacing w:after="0" w:line="7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Icahn Enterprises' condensed statements of operations by reporting segment for the three and nine months ended September 30, 2016 and 2015 are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10"/>
          </w:tcPr>
          <w:p>
            <w:pPr>
              <w:jc w:val="center"/>
              <w:spacing w:after="0"/>
              <w:rPr>
                <w:sz w:val="20"/>
                <w:szCs w:val="20"/>
                <w:color w:val="auto"/>
              </w:rPr>
            </w:pPr>
            <w:r>
              <w:rPr>
                <w:rFonts w:ascii="Arial" w:cs="Arial" w:eastAsia="Arial" w:hAnsi="Arial"/>
                <w:sz w:val="11"/>
                <w:szCs w:val="11"/>
                <w:b w:val="1"/>
                <w:bCs w:val="1"/>
                <w:color w:val="auto"/>
                <w:w w:val="89"/>
              </w:rPr>
              <w:t>Three Months Ended September 30, 2016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3,904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228</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4,899</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1,195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3,378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603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222</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2,452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4,646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253</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238</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(income) loss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(254)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194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253</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457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457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457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457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457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11"/>
          </w:tcPr>
          <w:p>
            <w:pPr>
              <w:jc w:val="center"/>
              <w:spacing w:after="0"/>
              <w:rPr>
                <w:sz w:val="20"/>
                <w:szCs w:val="20"/>
                <w:color w:val="auto"/>
              </w:rPr>
            </w:pPr>
            <w:r>
              <w:rPr>
                <w:rFonts w:ascii="Arial" w:cs="Arial" w:eastAsia="Arial" w:hAnsi="Arial"/>
                <w:sz w:val="11"/>
                <w:szCs w:val="11"/>
                <w:b w:val="1"/>
                <w:bCs w:val="1"/>
                <w:color w:val="auto"/>
                <w:w w:val="89"/>
              </w:rPr>
              <w:t>Three Months Ended September 30, 2015</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3,720</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(917)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1,422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3,212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3,224</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296</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1,316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152</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4,130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(918)</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(22)</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(940)</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562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500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(440)</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338</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217</w:t>
            </w:r>
          </w:p>
        </w:tc>
      </w:tr>
      <w:tr>
        <w:trPr>
          <w:trHeight w:val="38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10"/>
          </w:tcPr>
          <w:p>
            <w:pPr>
              <w:jc w:val="center"/>
              <w:ind w:left="46"/>
              <w:spacing w:after="0"/>
              <w:rPr>
                <w:sz w:val="20"/>
                <w:szCs w:val="20"/>
                <w:color w:val="auto"/>
              </w:rPr>
            </w:pPr>
            <w:r>
              <w:rPr>
                <w:rFonts w:ascii="Arial" w:cs="Arial" w:eastAsia="Arial" w:hAnsi="Arial"/>
                <w:sz w:val="11"/>
                <w:szCs w:val="11"/>
                <w:b w:val="1"/>
                <w:bCs w:val="1"/>
                <w:color w:val="auto"/>
                <w:w w:val="89"/>
              </w:rPr>
              <w:t>Nine Months Ended September 30, 2016</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11,546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1,506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(826)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(760)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7,516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3,425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719</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12,376</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5,797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9,949</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902</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1,736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670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665</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7,401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554</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788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13,951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(1,575)</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(81)</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(1,656)</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734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(922)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104</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615</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734</w:t>
            </w:r>
          </w:p>
        </w:tc>
      </w:tr>
      <w:tr>
        <w:trPr>
          <w:trHeight w:val="22"/>
        </w:trPr>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-5487670</wp:posOffset>
            </wp:positionV>
            <wp:extent cx="1457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-5641975</wp:posOffset>
            </wp:positionV>
            <wp:extent cx="1457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1457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-6345555</wp:posOffset>
            </wp:positionV>
            <wp:extent cx="1457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-7734935</wp:posOffset>
            </wp:positionV>
            <wp:extent cx="1457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457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1457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1457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14579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-2949575</wp:posOffset>
            </wp:positionV>
            <wp:extent cx="1457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019"/>
          </w:cols>
          <w:pgMar w:left="1440" w:top="58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tcPr>
          <w:p>
            <w:pPr>
              <w:jc w:val="center"/>
              <w:ind w:left="46"/>
              <w:spacing w:after="0"/>
              <w:rPr>
                <w:sz w:val="20"/>
                <w:szCs w:val="20"/>
                <w:color w:val="auto"/>
              </w:rPr>
            </w:pPr>
            <w:r>
              <w:rPr>
                <w:rFonts w:ascii="Arial" w:cs="Arial" w:eastAsia="Arial" w:hAnsi="Arial"/>
                <w:sz w:val="11"/>
                <w:szCs w:val="11"/>
                <w:b w:val="1"/>
                <w:bCs w:val="1"/>
                <w:color w:val="auto"/>
                <w:w w:val="89"/>
              </w:rPr>
              <w:t>Nine Months Ended September 30, 2015</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Gaming</w:t>
            </w:r>
          </w:p>
        </w:tc>
        <w:tc>
          <w:tcPr>
            <w:tcW w:w="80" w:type="dxa"/>
            <w:vAlign w:val="bottom"/>
          </w:tcPr>
          <w:p>
            <w:pPr>
              <w:spacing w:after="0"/>
              <w:rPr>
                <w:sz w:val="12"/>
                <w:szCs w:val="12"/>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Mining</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center"/>
              <w:ind w:left="6"/>
              <w:spacing w:after="0"/>
              <w:rPr>
                <w:sz w:val="20"/>
                <w:szCs w:val="20"/>
                <w:color w:val="auto"/>
              </w:rPr>
            </w:pPr>
            <w:r>
              <w:rPr>
                <w:rFonts w:ascii="Arial" w:cs="Arial" w:eastAsia="Arial" w:hAnsi="Arial"/>
                <w:sz w:val="11"/>
                <w:szCs w:val="11"/>
                <w:color w:val="auto"/>
                <w:w w:val="97"/>
              </w:rPr>
              <w:t>(in millions)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11,264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1,042</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236</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136</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(loss)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4,408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655</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12,707</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3,839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9,673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484</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1,423</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w:t>
            </w:r>
          </w:p>
        </w:tc>
      </w:tr>
      <w:tr>
        <w:trPr>
          <w:trHeight w:val="22"/>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853</w:t>
            </w:r>
          </w:p>
        </w:tc>
      </w:tr>
      <w:tr>
        <w:trPr>
          <w:trHeight w:val="242"/>
        </w:trPr>
        <w:tc>
          <w:tcPr>
            <w:tcW w:w="2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5,846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343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451</w:t>
            </w:r>
          </w:p>
        </w:tc>
        <w:tc>
          <w:tcPr>
            <w:tcW w:w="1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559</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12,500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0"/>
              </w:rPr>
              <w:t>(Loss) income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207</w:t>
            </w:r>
          </w:p>
        </w:tc>
      </w:tr>
      <w:tr>
        <w:trPr>
          <w:trHeight w:val="248"/>
        </w:trPr>
        <w:tc>
          <w:tcPr>
            <w:tcW w:w="230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(184)</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r>
      <w:tr>
        <w:trPr>
          <w:trHeight w:val="139"/>
        </w:trPr>
        <w:tc>
          <w:tcPr>
            <w:tcW w:w="2300" w:type="dxa"/>
            <w:vAlign w:val="bottom"/>
          </w:tcPr>
          <w:p>
            <w:pPr>
              <w:ind w:left="40"/>
              <w:spacing w:after="0"/>
              <w:rPr>
                <w:sz w:val="20"/>
                <w:szCs w:val="20"/>
                <w:color w:val="auto"/>
              </w:rPr>
            </w:pPr>
            <w:r>
              <w:rPr>
                <w:rFonts w:ascii="Arial" w:cs="Arial" w:eastAsia="Arial" w:hAnsi="Arial"/>
                <w:sz w:val="11"/>
                <w:szCs w:val="11"/>
                <w:color w:val="auto"/>
              </w:rPr>
              <w:t>Less: net loss (income) attributable to non-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2300" w:type="dxa"/>
            <w:vAlign w:val="bottom"/>
          </w:tcPr>
          <w:p>
            <w:pPr>
              <w:ind w:left="200"/>
              <w:spacing w:after="0"/>
              <w:rPr>
                <w:sz w:val="20"/>
                <w:szCs w:val="20"/>
                <w:color w:val="auto"/>
              </w:rPr>
            </w:pPr>
            <w:r>
              <w:rPr>
                <w:rFonts w:ascii="Arial" w:cs="Arial" w:eastAsia="Arial" w:hAnsi="Arial"/>
                <w:sz w:val="11"/>
                <w:szCs w:val="11"/>
                <w:color w:val="auto"/>
              </w:rPr>
              <w:t>controlling interests</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(90)</w:t>
            </w:r>
          </w:p>
        </w:tc>
      </w:tr>
      <w:tr>
        <w:trPr>
          <w:trHeight w:val="22"/>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w w:val="91"/>
              </w:rPr>
              <w:t>Net (loss) income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(67)</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30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463</w:t>
            </w:r>
          </w:p>
        </w:tc>
        <w:tc>
          <w:tcPr>
            <w:tcW w:w="1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1,067</w:t>
            </w:r>
          </w:p>
        </w:tc>
      </w:tr>
      <w:tr>
        <w:trPr>
          <w:trHeight w:val="270"/>
        </w:trPr>
        <w:tc>
          <w:tcPr>
            <w:tcW w:w="2300" w:type="dxa"/>
            <w:vAlign w:val="bottom"/>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93</w:t>
            </w:r>
          </w:p>
        </w:tc>
        <w:tc>
          <w:tcPr>
            <w:tcW w:w="1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1457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-843280</wp:posOffset>
            </wp:positionV>
            <wp:extent cx="1457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-1203325</wp:posOffset>
            </wp:positionV>
            <wp:extent cx="1457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1457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-2935605</wp:posOffset>
            </wp:positionV>
            <wp:extent cx="1457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180" w:right="180" w:hanging="172"/>
        <w:spacing w:after="0" w:line="273"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Excludes amounts related to the amortization of deferred financing costs and debt discounts and premiums included in interest expense in the amounts of $6 million and $5 million for the three months ended September 30, 2016 and 2015, respectively, and $14 million and $11 million for the nine months ended September 30, 2016 and 2015,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Icahn Enterprises' condensed balance sheets by reporting segment as of September 30, 2016 and December 31, 2015 are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6"/>
          </w:tcPr>
          <w:p>
            <w:pPr>
              <w:ind w:left="20"/>
              <w:spacing w:after="0"/>
              <w:rPr>
                <w:sz w:val="20"/>
                <w:szCs w:val="20"/>
                <w:color w:val="auto"/>
              </w:rPr>
            </w:pPr>
            <w:r>
              <w:rPr>
                <w:rFonts w:ascii="Arial" w:cs="Arial" w:eastAsia="Arial" w:hAnsi="Arial"/>
                <w:sz w:val="11"/>
                <w:szCs w:val="11"/>
                <w:b w:val="1"/>
                <w:bCs w:val="1"/>
                <w:color w:val="auto"/>
              </w:rPr>
              <w:t>September 30, 2016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2,002</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692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9,987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1,725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3,392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11,446</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2,248</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10,923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10,070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3,348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1,476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33,085</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2,795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1,445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5,872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1,210</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3,030</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1,204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2,343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12,971</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5,014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7,275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2,612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2,711</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454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5,638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24,287</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1,825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2,457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1,054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2,488</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6,310</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5,909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2,419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1,022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644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169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(5,114)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8,798</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10,923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10,070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5,031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3,348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1,476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33,085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ind w:left="40"/>
              <w:spacing w:after="0"/>
              <w:rPr>
                <w:sz w:val="20"/>
                <w:szCs w:val="20"/>
                <w:color w:val="auto"/>
              </w:rPr>
            </w:pPr>
            <w:r>
              <w:rPr>
                <w:rFonts w:ascii="Arial" w:cs="Arial" w:eastAsia="Arial" w:hAnsi="Arial"/>
                <w:sz w:val="11"/>
                <w:szCs w:val="11"/>
                <w:b w:val="1"/>
                <w:bCs w:val="1"/>
                <w:color w:val="auto"/>
              </w:rPr>
              <w:t>December 31, 2015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0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Railcar</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Mining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1"/>
                <w:szCs w:val="11"/>
                <w:color w:val="auto"/>
              </w:rPr>
              <w:t>(in millions)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20" w:type="dxa"/>
            <w:vAlign w:val="bottom"/>
          </w:tcPr>
          <w:p>
            <w:pPr>
              <w:jc w:val="center"/>
              <w:spacing w:after="0"/>
              <w:rPr>
                <w:sz w:val="20"/>
                <w:szCs w:val="20"/>
                <w:color w:val="auto"/>
              </w:rPr>
            </w:pPr>
            <w:r>
              <w:rPr>
                <w:rFonts w:ascii="Arial" w:cs="Arial" w:eastAsia="Arial" w:hAnsi="Arial"/>
                <w:sz w:val="11"/>
                <w:szCs w:val="11"/>
                <w:b w:val="1"/>
                <w:bCs w:val="1"/>
                <w:color w:val="auto"/>
                <w:w w:val="95"/>
              </w:rPr>
              <w:t>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2,078</w:t>
            </w: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200"/>
              <w:spacing w:after="0"/>
              <w:rPr>
                <w:sz w:val="20"/>
                <w:szCs w:val="20"/>
                <w:color w:val="auto"/>
              </w:rPr>
            </w:pPr>
            <w:r>
              <w:rPr>
                <w:rFonts w:ascii="Arial" w:cs="Arial" w:eastAsia="Arial" w:hAnsi="Arial"/>
                <w:sz w:val="11"/>
                <w:szCs w:val="11"/>
                <w:color w:val="auto"/>
              </w:rPr>
              <w:t>restricted cash</w:t>
            </w:r>
          </w:p>
        </w:tc>
        <w:tc>
          <w:tcPr>
            <w:tcW w:w="100" w:type="dxa"/>
            <w:vAlign w:val="bottom"/>
          </w:tcPr>
          <w:p>
            <w:pPr>
              <w:spacing w:after="0"/>
              <w:rPr>
                <w:sz w:val="11"/>
                <w:szCs w:val="1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15,351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1,418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1,685</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2,259</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2,386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2,698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2,767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610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9,678</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1,458</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2,061</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4,441</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794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794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7,317</w:t>
            </w: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1,224</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2,671</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12,594</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8,599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2,033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2,978</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26,370</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2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3,428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1,508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(4,697)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3,987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6,046</w:t>
            </w:r>
          </w:p>
        </w:tc>
        <w:tc>
          <w:tcPr>
            <w:tcW w:w="0" w:type="dxa"/>
            <w:vAlign w:val="bottom"/>
          </w:tcPr>
          <w:p>
            <w:pPr>
              <w:spacing w:after="0"/>
              <w:rPr>
                <w:sz w:val="1"/>
                <w:szCs w:val="1"/>
                <w:color w:val="auto"/>
              </w:rPr>
            </w:pPr>
          </w:p>
        </w:tc>
      </w:tr>
      <w:tr>
        <w:trPr>
          <w:trHeight w:val="228"/>
        </w:trPr>
        <w:tc>
          <w:tcPr>
            <w:tcW w:w="242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7,541</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1,584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2,855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703</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874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656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(4,697)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10,033</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16,140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4,888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3,681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416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36,403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37" w:right="239" w:bottom="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non-cash portions of interest expense as well as due to/due from balances between Icahn Enterprises and Icahn Enterprises Holdings and are only reflected in the results of operations for the Holding Company. Segment information for Icahn Enterprises Holdings is presented below for significant financial statement line items affected by these differences.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left="177"/>
              <w:spacing w:after="0"/>
              <w:rPr>
                <w:sz w:val="20"/>
                <w:szCs w:val="20"/>
                <w:color w:val="auto"/>
              </w:rPr>
            </w:pPr>
            <w:r>
              <w:rPr>
                <w:rFonts w:ascii="Arial" w:cs="Arial" w:eastAsia="Arial" w:hAnsi="Arial"/>
                <w:sz w:val="13"/>
                <w:szCs w:val="13"/>
                <w:b w:val="1"/>
                <w:bCs w:val="1"/>
                <w:color w:val="auto"/>
                <w:w w:val="88"/>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4"/>
        </w:trPr>
        <w:tc>
          <w:tcPr>
            <w:tcW w:w="2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3"/>
                <w:szCs w:val="13"/>
                <w:b w:val="1"/>
                <w:bCs w:val="1"/>
                <w:color w:val="auto"/>
                <w:w w:val="87"/>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September 30,</w:t>
            </w:r>
          </w:p>
        </w:tc>
        <w:tc>
          <w:tcPr>
            <w:tcW w:w="1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December 31,</w:t>
            </w:r>
          </w:p>
        </w:tc>
      </w:tr>
      <w:tr>
        <w:trPr>
          <w:trHeight w:val="264"/>
        </w:trPr>
        <w:tc>
          <w:tcPr>
            <w:tcW w:w="2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2015</w:t>
            </w:r>
          </w:p>
        </w:tc>
      </w:tr>
      <w:tr>
        <w:trPr>
          <w:trHeight w:val="144"/>
        </w:trPr>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(Loss)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9"/>
              </w:rPr>
              <w:t>Net Income (Loss)</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Icahn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Net (Loss)</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4"/>
        </w:trPr>
        <w:tc>
          <w:tcPr>
            <w:tcW w:w="218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6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Holdings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Total Assets</w:t>
            </w:r>
          </w:p>
        </w:tc>
        <w:tc>
          <w:tcPr>
            <w:tcW w:w="14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1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center"/>
              <w:ind w:left="177"/>
              <w:spacing w:after="0"/>
              <w:rPr>
                <w:sz w:val="20"/>
                <w:szCs w:val="20"/>
                <w:color w:val="auto"/>
              </w:rPr>
            </w:pPr>
            <w:r>
              <w:rPr>
                <w:rFonts w:ascii="Arial" w:cs="Arial" w:eastAsia="Arial" w:hAnsi="Arial"/>
                <w:sz w:val="13"/>
                <w:szCs w:val="13"/>
                <w:color w:val="auto"/>
                <w:w w:val="94"/>
              </w:rPr>
              <w:t>(in millions)</w:t>
            </w: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4"/>
          </w:tcPr>
          <w:p>
            <w:pPr>
              <w:jc w:val="right"/>
              <w:ind w:right="777"/>
              <w:spacing w:after="0"/>
              <w:rPr>
                <w:sz w:val="20"/>
                <w:szCs w:val="20"/>
                <w:color w:val="auto"/>
              </w:rPr>
            </w:pPr>
            <w:r>
              <w:rPr>
                <w:rFonts w:ascii="Arial" w:cs="Arial" w:eastAsia="Arial" w:hAnsi="Arial"/>
                <w:sz w:val="13"/>
                <w:szCs w:val="13"/>
                <w:color w:val="auto"/>
              </w:rPr>
              <w:t>(in millions)</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3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16,140</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2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10,070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7,943</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4,888</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Metals</w:t>
            </w:r>
          </w:p>
        </w:tc>
        <w:tc>
          <w:tcPr>
            <w:tcW w:w="4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215</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3,681</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Gaming</w:t>
            </w:r>
          </w:p>
        </w:tc>
        <w:tc>
          <w:tcPr>
            <w:tcW w:w="42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1,476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1,281</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203</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42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416</w:t>
            </w:r>
          </w:p>
        </w:tc>
      </w:tr>
      <w:tr>
        <w:trPr>
          <w:trHeight w:val="278"/>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4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701</w:t>
            </w:r>
          </w:p>
        </w:tc>
      </w:tr>
      <w:tr>
        <w:trPr>
          <w:trHeight w:val="262"/>
        </w:trPr>
        <w:tc>
          <w:tcPr>
            <w:tcW w:w="218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4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206</w:t>
            </w:r>
          </w:p>
        </w:tc>
      </w:tr>
      <w:tr>
        <w:trPr>
          <w:trHeight w:val="27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4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753</w:t>
            </w:r>
          </w:p>
        </w:tc>
      </w:tr>
      <w:tr>
        <w:trPr>
          <w:trHeight w:val="242"/>
        </w:trPr>
        <w:tc>
          <w:tcPr>
            <w:tcW w:w="218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33,110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36,427</w:t>
            </w:r>
          </w:p>
        </w:tc>
      </w:tr>
      <w:tr>
        <w:trPr>
          <w:trHeight w:val="20"/>
        </w:trPr>
        <w:tc>
          <w:tcPr>
            <w:tcW w:w="2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3"/>
          <w:szCs w:val="13"/>
          <w:b w:val="1"/>
          <w:bCs w:val="1"/>
          <w:color w:val="auto"/>
        </w:rPr>
        <w:t>Nine Months Ended</w:t>
      </w:r>
    </w:p>
    <w:p>
      <w:pPr>
        <w:jc w:val="center"/>
        <w:ind w:right="32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10795</wp:posOffset>
            </wp:positionV>
            <wp:extent cx="4408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4"/>
        </w:trPr>
        <w:tc>
          <w:tcPr>
            <w:tcW w:w="2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6"/>
              </w:rPr>
              <w:t>Net (Loss) Income</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Net (Loss) Income</w:t>
            </w:r>
          </w:p>
        </w:tc>
      </w:tr>
      <w:tr>
        <w:trPr>
          <w:trHeight w:val="135"/>
        </w:trPr>
        <w:tc>
          <w:tcPr>
            <w:tcW w:w="2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Attributable to</w:t>
            </w:r>
          </w:p>
        </w:tc>
      </w:tr>
      <w:tr>
        <w:trPr>
          <w:trHeight w:val="135"/>
        </w:trPr>
        <w:tc>
          <w:tcPr>
            <w:tcW w:w="2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Icahn Enterprises</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Icahn Enterprises</w:t>
            </w:r>
          </w:p>
        </w:tc>
      </w:tr>
      <w:tr>
        <w:trPr>
          <w:trHeight w:val="174"/>
        </w:trPr>
        <w:tc>
          <w:tcPr>
            <w:tcW w:w="2060" w:type="dxa"/>
            <w:vAlign w:val="bottom"/>
          </w:tcPr>
          <w:p>
            <w:pPr>
              <w:spacing w:after="0"/>
              <w:rPr>
                <w:sz w:val="15"/>
                <w:szCs w:val="15"/>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Net (Loss) Income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Holdings</w:t>
            </w:r>
          </w:p>
        </w:tc>
        <w:tc>
          <w:tcPr>
            <w:tcW w:w="11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Net (Loss) Income</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Holdings</w:t>
            </w:r>
          </w:p>
        </w:tc>
      </w:tr>
      <w:tr>
        <w:trPr>
          <w:trHeight w:val="249"/>
        </w:trPr>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3"/>
          </w:tcPr>
          <w:p>
            <w:pPr>
              <w:jc w:val="right"/>
              <w:ind w:right="197"/>
              <w:spacing w:after="0"/>
              <w:rPr>
                <w:sz w:val="20"/>
                <w:szCs w:val="20"/>
                <w:color w:val="auto"/>
              </w:rPr>
            </w:pPr>
            <w:r>
              <w:rPr>
                <w:rFonts w:ascii="Arial" w:cs="Arial" w:eastAsia="Arial" w:hAnsi="Arial"/>
                <w:sz w:val="13"/>
                <w:szCs w:val="13"/>
                <w:color w:val="auto"/>
              </w:rPr>
              <w:t>(in millions)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8"/>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262"/>
        </w:trPr>
        <w:tc>
          <w:tcPr>
            <w:tcW w:w="206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4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78"/>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w:t>
            </w:r>
          </w:p>
        </w:tc>
      </w:tr>
      <w:tr>
        <w:trPr>
          <w:trHeight w:val="262"/>
        </w:trPr>
        <w:tc>
          <w:tcPr>
            <w:tcW w:w="2060" w:type="dxa"/>
            <w:vAlign w:val="bottom"/>
          </w:tcPr>
          <w:p>
            <w:pPr>
              <w:ind w:left="40"/>
              <w:spacing w:after="0"/>
              <w:rPr>
                <w:sz w:val="20"/>
                <w:szCs w:val="20"/>
                <w:color w:val="auto"/>
              </w:rPr>
            </w:pPr>
            <w:r>
              <w:rPr>
                <w:rFonts w:ascii="Arial" w:cs="Arial" w:eastAsia="Arial" w:hAnsi="Arial"/>
                <w:sz w:val="13"/>
                <w:szCs w:val="13"/>
                <w:color w:val="auto"/>
              </w:rPr>
              <w:t>Metals</w:t>
            </w:r>
          </w:p>
        </w:tc>
        <w:tc>
          <w:tcPr>
            <w:tcW w:w="4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78"/>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98</w:t>
            </w:r>
          </w:p>
        </w:tc>
      </w:tr>
      <w:tr>
        <w:trPr>
          <w:trHeight w:val="262"/>
        </w:trPr>
        <w:tc>
          <w:tcPr>
            <w:tcW w:w="2060" w:type="dxa"/>
            <w:vAlign w:val="bottom"/>
          </w:tcPr>
          <w:p>
            <w:pPr>
              <w:ind w:left="40"/>
              <w:spacing w:after="0"/>
              <w:rPr>
                <w:sz w:val="20"/>
                <w:szCs w:val="20"/>
                <w:color w:val="auto"/>
              </w:rPr>
            </w:pPr>
            <w:r>
              <w:rPr>
                <w:rFonts w:ascii="Arial" w:cs="Arial" w:eastAsia="Arial" w:hAnsi="Arial"/>
                <w:sz w:val="13"/>
                <w:szCs w:val="13"/>
                <w:color w:val="auto"/>
              </w:rPr>
              <w:t>Gaming</w:t>
            </w:r>
          </w:p>
        </w:tc>
        <w:tc>
          <w:tcPr>
            <w:tcW w:w="44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23</w:t>
            </w:r>
          </w:p>
        </w:tc>
      </w:tr>
      <w:tr>
        <w:trPr>
          <w:trHeight w:val="278"/>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Mining</w:t>
            </w: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262"/>
        </w:trPr>
        <w:tc>
          <w:tcPr>
            <w:tcW w:w="2060" w:type="dxa"/>
            <w:vAlign w:val="bottom"/>
          </w:tcPr>
          <w:p>
            <w:pPr>
              <w:ind w:left="40"/>
              <w:spacing w:after="0"/>
              <w:rPr>
                <w:sz w:val="20"/>
                <w:szCs w:val="20"/>
                <w:color w:val="auto"/>
              </w:rPr>
            </w:pPr>
            <w:r>
              <w:rPr>
                <w:rFonts w:ascii="Arial" w:cs="Arial" w:eastAsia="Arial" w:hAnsi="Arial"/>
                <w:sz w:val="13"/>
                <w:szCs w:val="13"/>
                <w:color w:val="auto"/>
              </w:rPr>
              <w:t>Food Packaging</w:t>
            </w:r>
          </w:p>
        </w:tc>
        <w:tc>
          <w:tcPr>
            <w:tcW w:w="44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278"/>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w:t>
            </w:r>
          </w:p>
        </w:tc>
      </w:tr>
      <w:tr>
        <w:trPr>
          <w:trHeight w:val="262"/>
        </w:trPr>
        <w:tc>
          <w:tcPr>
            <w:tcW w:w="2060" w:type="dxa"/>
            <w:vAlign w:val="bottom"/>
          </w:tcPr>
          <w:p>
            <w:pPr>
              <w:ind w:left="40"/>
              <w:spacing w:after="0"/>
              <w:rPr>
                <w:sz w:val="20"/>
                <w:szCs w:val="20"/>
                <w:color w:val="auto"/>
              </w:rPr>
            </w:pPr>
            <w:r>
              <w:rPr>
                <w:rFonts w:ascii="Arial" w:cs="Arial" w:eastAsia="Arial" w:hAnsi="Arial"/>
                <w:sz w:val="13"/>
                <w:szCs w:val="13"/>
                <w:color w:val="auto"/>
              </w:rPr>
              <w:t>Home Fashion</w:t>
            </w:r>
          </w:p>
        </w:tc>
        <w:tc>
          <w:tcPr>
            <w:tcW w:w="4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72"/>
        </w:trPr>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Holding Company</w:t>
            </w:r>
          </w:p>
        </w:tc>
        <w:tc>
          <w:tcPr>
            <w:tcW w:w="4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r>
      <w:tr>
        <w:trPr>
          <w:trHeight w:val="242"/>
        </w:trPr>
        <w:tc>
          <w:tcPr>
            <w:tcW w:w="2060" w:type="dxa"/>
            <w:vAlign w:val="bottom"/>
          </w:tcPr>
          <w:p>
            <w:pPr>
              <w:ind w:left="40"/>
              <w:spacing w:after="0"/>
              <w:rPr>
                <w:sz w:val="20"/>
                <w:szCs w:val="20"/>
                <w:color w:val="auto"/>
              </w:rPr>
            </w:pPr>
            <w:r>
              <w:rPr>
                <w:rFonts w:ascii="Arial" w:cs="Arial" w:eastAsia="Arial" w:hAnsi="Arial"/>
                <w:sz w:val="13"/>
                <w:szCs w:val="13"/>
                <w:color w:val="auto"/>
              </w:rPr>
              <w:t>Consolidated</w:t>
            </w: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664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r>
      <w:tr>
        <w:trPr>
          <w:trHeight w:val="20"/>
        </w:trPr>
        <w:tc>
          <w:tcPr>
            <w:tcW w:w="2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Amounts related to the amortization of deferred financing costs and debt discounts and premiums included in interest expense for the consolidated results of Icahn Enterprises Holdings were $6 million and $5 million for the three months ended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37"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and 2015, respectively, and $14 million and $10 million for the nine months ended September 30,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For the three months ended September 30, 2016, each of Icahn Enterprises and Icahn Enterprises Holdings recorded an income tax expense of $15 million on pre-tax income of $253 million compared to an income tax expense of $22 million on pre-tax loss of $918 million for the three months ended September 30, 2015. Our effective income tax rate was 5.9% and (2.4)% for the three months ended September 30, 2016 and 2015, respectively.</w:t>
      </w:r>
    </w:p>
    <w:p>
      <w:pPr>
        <w:spacing w:after="0" w:line="3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months ended September 30, 2016, the effective tax rate was lower than the statutory federal rate of 35%, primarily due to partnership income not subject to taxation, as such income is allocated to the partners.</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months ended September 30, 2015, the effective tax rate was lower than the statutory federal rate of 35%, primarily due to partnership losses for which there was no tax benefit, as such taxes are the responsibility of the partners.</w:t>
      </w:r>
    </w:p>
    <w:p>
      <w:pPr>
        <w:spacing w:after="0" w:line="62"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For the nine months ended September 30, 2016, each of Icahn Enterprises and Icahn Enterprises Holdings recorded an income tax expense of $81 million on pre-tax loss of approximately $1.6 billion compared to an income tax expense of $184 million on pre-tax income of $207 million for the nine months ended September 30, 2015. Our effective income tax rate was (5.1)% and 88.9% for the nine months ended September 30, 2016 and 2015, respectively.</w:t>
      </w:r>
    </w:p>
    <w:p>
      <w:pPr>
        <w:spacing w:after="0" w:line="79"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For the nine months ended September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nine months ended September 30, 2015, the effective tax rate was higher than the statutory federal rate of 35%, primarily due to partnership losses not subject to taxation, as such taxes are the responsibility of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to earnings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16. Other Income (Loss), Net.</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4700" w:type="dxa"/>
            <w:vAlign w:val="bottom"/>
          </w:tcPr>
          <w:p>
            <w:pPr>
              <w:ind w:left="420"/>
              <w:spacing w:after="0"/>
              <w:rPr>
                <w:sz w:val="20"/>
                <w:szCs w:val="20"/>
                <w:color w:val="auto"/>
              </w:rPr>
            </w:pPr>
            <w:r>
              <w:rPr>
                <w:rFonts w:ascii="Arial" w:cs="Arial" w:eastAsia="Arial" w:hAnsi="Arial"/>
                <w:sz w:val="18"/>
                <w:szCs w:val="18"/>
                <w:color w:val="auto"/>
              </w:rPr>
              <w:t>Other income (loss), net consists of the following:</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60"/>
        </w:trPr>
        <w:tc>
          <w:tcPr>
            <w:tcW w:w="4700" w:type="dxa"/>
            <w:vAlign w:val="bottom"/>
          </w:tcPr>
          <w:p>
            <w:pPr>
              <w:spacing w:after="0"/>
              <w:rPr>
                <w:sz w:val="24"/>
                <w:szCs w:val="24"/>
                <w:color w:val="auto"/>
              </w:rPr>
            </w:pPr>
          </w:p>
        </w:tc>
        <w:tc>
          <w:tcPr>
            <w:tcW w:w="28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2"/>
              </w:rPr>
              <w:t>September 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4"/>
              </w:rPr>
              <w:t>September 30,</w:t>
            </w:r>
          </w:p>
        </w:tc>
        <w:tc>
          <w:tcPr>
            <w:tcW w:w="4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Realized and unrealized (loss) gain on derivatives, net (Note 6)</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gain on disposition of assets, net</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(Note 10)</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currency transaction loss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 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Total environmental liabilities, determined on an undiscounted basis, were $12 million and $14 million as of September 30, 2016 and December 31, 2015, respectively, and are included in accrued expenses and other liabilities in our condensed consolidated balance sheets.</w:t>
      </w:r>
    </w:p>
    <w:p>
      <w:pPr>
        <w:spacing w:after="0" w:line="3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September 30, 2016, Federal-Mogul estimates reasonably possible material additional losses, above and beyond its best estimate of required remediation costs as recorded, to approximate $44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$16 million and $16 million as of September 30, 2016 and December 31, 2015,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does not currently believe that the outcome of this litigation will have a material effect on its condensed consolidation financial position, results of operations or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CVR leases various equipment, including railcars, and real properties under long-term operating leases expiring at various dates. For each of the three months ended September 30, 2016 and 2015 lease expense was $2 million and for the nine months ended September 30, 2016 and 2015 lease expense was $6 million and $7 million, respectively.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August 31, 2012, Coffeyville Resources Refining &amp; Marketing, LLC ("CRRM"), a subsidiary of CVR Refining, and Vitol Inc. ("Vitol") entered into an Amended and Restated Crude Oil Supply Agreement (the "Vitol Agreement"). Under the Vitol Agreement, Vitol supplies the petroleum business with crude oil and intermediation logistics, which helps to reduce the Refining Partnership's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 The Vitol Agreement currently extends through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2015. In the opinion of CVR's management, the ultimate resolution of any other 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337"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Rentech Nitrogen Mergers Litigation</w:t>
      </w:r>
    </w:p>
    <w:p>
      <w:pPr>
        <w:spacing w:after="0" w:line="15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As previously disclosed in our 2015 Form 10-K, two class action lawsuits were filed in connection with the East Dubuque Merger, (i) the "Mustard Lawsuit", which was filed in the Court of Chancery of the State of Delaware, and (ii) the "Sloan Lawsuit" (together with Mustard Lawsuit, the "Merger Lawsuits"), which was filed in the United States District Court for the Central District of California. The Merger Lawsuits alleged (among other things) breach of fiduciary duties and inadequate disclosure, in each case, in connection with the East Dubuque Merger. In February 2016, the parties to the Merger Lawsuits entered into a memorandum of understanding providing for the proposed settlement of the Merger Lawsuits. The parties subsequently entered into a stipulation of settlement, which was subject to customary conditions including court approval following notice to the CVR Nitrogen unitholders. In July 2016, the Mustard Lawsuit was dismissed, and in October 2016, the United States District Court for the Central District of California issued an order and judgment approving the settlement of the Sloan Lawsuit. The settlement resolves and releases all claims by unitholders of CVR Nitrogen challenging the East Dubuque Merger. The plaintiff’s counsel in the Sloan Lawsuit has filed a petition for the award of attorneys’ fees, which remains pending with the Court. CVR Partners does not believe the settlement or the award of attorneys’ fees will have a material adverse effect on its business, financial condition or results of operation.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 ("EHS")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CRRM, CRNF, Coffeyville Resources Crude Transportation, LLC ("CRCT"), Wynnewood Refining Company, LLC ("WRC") and Coffeyville Resources Terminal, LLC ("CRT") own and/or operate manufacturing and ancillary operations at 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72"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previously reported in our 2015 Form 10-K,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2015 Form 10-K. CRRM, CRNF, CRCT, WRC and CRT each believe it is in substantial compliance with existing EHS rules and regulations.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62"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August 1, 2016, CRCT received a Notice of Probable Violation, Proposed Civil Penalty and Proposed Compliance Order (the "NOPV") from the U.S. Department of Transportation's Pipeline and Hazardous Materials Safety Administration (the "PHMSA"). The NOPV alleges violations of the Pipeline Safety Regulations, Title 49, Code of Federal Regulations. The alleged violations include alleged failures (during various time periods) to (i) conduct quarterly notification drills, (ii) maintain certain required records, (iii) utilize certain required safety equipment (including line markers), (iv) take certain pipeline integrity management activities, (v) conduct certain cathodic protection testing, and (vi) make certain atmospheric corrosion inspections. The preliminary assessed civil penalty is approximately $0.5 million and the NOPV contained a compliance order outlining remedial compliance steps to be undertaken by CRCT. CRCT paid approximately $160,000 of the preliminary assessed civil penalty, is contesting and requesting mitigation of the remainder, and is also requesting reconsideration of the proposed compliance order. Although CVR Refining cannot predict with certainty the ultimate resolution of the claims asserted, CVR Refining does not believe that the claims in the NOPV will have a material adverse effect on CVR Refining's business, financial condition or results of operations.</w:t>
      </w:r>
    </w:p>
    <w:p>
      <w:pPr>
        <w:spacing w:after="0" w:line="70"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As of September 30, 2016 and December 31, 2015, our Energy segment had environmental accruals of $5 million and $4 million, respectively.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Environmental expenditures are capitalized when such expenditures are expected to result in future economic benefits. Capital expenditures incurred for environmental compliance and efficiency of the operations were $7 million and $9 million for the three months ended September 30, 2016 and 2015, respectively, and $13 million and $27 million for the nine months ended September 30, 2016 and 2015, respectively.</w:t>
      </w:r>
    </w:p>
    <w:p>
      <w:pPr>
        <w:spacing w:after="0" w:line="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cost of RINs was $58 million and $19 million for three months ended September 30, 2016 and 2015, respectively, and $152 million and $93 million for nine months ended September 30, 2016 and 2015, respectively. As of September 30, 2016 and December 31, 2015, the petroleum business' biofuel blending obligation was $127 million and $10 million, respectively, which was recorded in accrued expenses and other liabilities on the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September 19, 2016, Coffeyville Resources Pipeline, LLC ("CRPLLC"), an indirect wholly owned subsidiary of CVR, entered into an agreement with Velocity Central Oklahoma Pipeline LLC ("Velocity") related to their joint ownership of Velocity Pipeline Partners, LLC ("VPP"), which will construct, own and operate a crude oil pipeline. CRPLLC holds a 40% interest in VPP. Velocity holds a 60% interest in VPP and serves as the day-to-day operator of VPP. As of September 30, 2016, CRPLLC has contributed $3 million to VPP and expects to contribute a total of approximately $9 million during the pipeline construction.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$28 million and $29 million at September 30, 2016 and December 31, 2015, respectively. Management believes, based on past experience, that the vast majority of these environmental liabilities and costs will be assessed and paid over an extended period of time. PSC Metals believes that it will be able to fund such costs in the ordinary course of business.</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as of both September 30, 2016 and December 31, 2015.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5" w:lineRule="exact"/>
        <w:rPr>
          <w:sz w:val="20"/>
          <w:szCs w:val="20"/>
          <w:color w:val="auto"/>
        </w:rPr>
      </w:pPr>
    </w:p>
    <w:p>
      <w:pPr>
        <w:ind w:right="260" w:firstLine="405"/>
        <w:spacing w:after="0" w:line="273" w:lineRule="auto"/>
        <w:rPr>
          <w:sz w:val="20"/>
          <w:szCs w:val="20"/>
          <w:color w:val="auto"/>
        </w:rPr>
      </w:pPr>
      <w:r>
        <w:rPr>
          <w:rFonts w:ascii="Arial" w:cs="Arial" w:eastAsia="Arial" w:hAnsi="Arial"/>
          <w:sz w:val="17"/>
          <w:szCs w:val="17"/>
          <w:color w:val="auto"/>
        </w:rPr>
        <w:t>In late February 2016, the PSC Metals shredder in Beaver Falls, Pennsylvania unknowingly processed scrap obtained from a third party containing radioactive material. Processing and transfer of that material resulted in the contamination of equipment there, and two other PSC Metals facilities. PSC Metals notified the appropriate governmental authorities and is working with those agencies and qualified specialist companies to properly remediate the contaminated facilities and dispose of the contaminated material. PSC Metals believes that the cost of the remediation effort and any business interruption costs are covered by insurance and its financial exposure would be immaterial. Remediation efforts are ongoing and PSC Metals expects that the impacted facilities will be operational in the fourth quarter of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On September 12, 2015, the court denied ARI's motion to dismiss the wrongful termination counterclaim. A trial date has been tentatively scheduled for January 17, 2017. However, ARI believes that Gyansys' counterclaims lack merit and will continue to vigorously defend against these counterclaims.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 Directive</w:t>
      </w:r>
    </w:p>
    <w:p>
      <w:pPr>
        <w:spacing w:after="0" w:line="11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On September 30, 2016, the Federal Railroad Administration ("FRA") released Railworthiness Directive Number 2016-01 (the "FRA Directive"). The FRA Directive addressed certain welding practices in one weld area in specified DOT 111 tank railcars manufactured between 2009 and 2015 by ARI and ACF. The FRA became involved as a result of one tank railcar manufactured by ARI having a leak that was identified in 2014. The FRA Directive indicated that approximately 14,800 general purpose tank railcars could be subject to the FRA Directive.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37"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The FRA Directive requires owners of all subject railcars to identify tank railcars in their respective fleets covered by the FRA Directive by October 30, 2016 and to ensure appropriate inspection, testing and repairs, if needed, during a period that ranges from 12 to 24 months from September 30, 2016, depending on the commodity service of the railcar. Owners, including our Railcar segment as a railcar lessor, and lessees of the subject railcars will likely incur future costs associated with compliance with this requirement including but not limited to, freight costs for transporting these railcars to and from repair facilities, inspection, cleaning and repair, if necessary. Lessors of subject railcars, including our Railcar segment in its capacity as a lessor, may also experience loss of revenue during periods of rent abatement, if applicable, as a result of railcars being out of service due to compliance with the FRA Directive. The incurrence of such costs and/or any such loss of revenue may be subject to the terms of any applicable warranty coverage and the terms of any applicable lease. Our Railcar segment's contractual obligations under its operating leases for railcars in its lease fleet may vary from lease to lease.</w:t>
      </w:r>
    </w:p>
    <w:p>
      <w:pPr>
        <w:spacing w:after="0" w:line="58"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Our Railcar segment has evaluated its potential exposure related to the FRA Directive and has established a loss contingency of $32 million to cover its probable and estimable liabilities, as of September 30, 2016, with respect to its remedial response to the FRA Directive, taking into account currently available information and its contractual obligations in its capacity as both a manufacturer and lessor of railcars subject to the FRA Directive. This amount is included in accrued expenses and other liabilities on the condensed consolidated balance sheet and will continue to be evaluated as our Railcar segment and its customers' compliance with the FRA Directive progresses and our Railcar segment's understanding of the impact the FRA Directive may have on its business, including results of operations and cash flows, evolves. Legal fees incurred with respect to this matter will be expensed in the period in which they occur, in accordance with our Railcar segment's accounting policy.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89.7% of Icahn Enterprises' outstanding depositary units as of September 30, 2016.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Internal Revenue Code, as amended, and the Employee Retirement Income Security Act of 1974, as amended by the Pension Protection Act of 2006, for these plans have been met as of September 30, 2016 and December 31, 2015. If the plans were voluntarily terminated, they would be underfunded by approximately $550 million and $589 million as of September 30, 2016 and December 31, 2015,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6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2016 (Unaudited)</w:t>
      </w:r>
    </w:p>
    <w:p>
      <w:pPr>
        <w:spacing w:after="0" w:line="3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 November 1, 2016,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December 19, 2016 to depositary unit holders of record at the close of business on November 14, 2016. Depositary unit holders have until December 7,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December 14,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37"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September 30, 2016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September 30, 2016.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and to the allocation of the general partner interest, which is reflected as an aggregate 1.99% general partner interest in the financial statements of Icahn Enterprises. In addition to the above, Mr. Icahn and his affiliates owned approximately 89.7% of Icahn Enterprises' outstanding depositary units as of September 30, 2016.</w:t>
      </w:r>
    </w:p>
    <w:p>
      <w:pPr>
        <w:spacing w:after="0" w:line="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Mining,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6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tables summarize total revenues, net income (loss) and net income (loss) attributable to Icahn Enterprises for each of our reporting segments and the Holding Company for the three and nine months ended September 30, 2016 and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center"/>
              <w:ind w:left="140"/>
              <w:spacing w:after="0"/>
              <w:rPr>
                <w:sz w:val="20"/>
                <w:szCs w:val="20"/>
                <w:color w:val="auto"/>
              </w:rPr>
            </w:pPr>
            <w:r>
              <w:rPr>
                <w:rFonts w:ascii="Arial" w:cs="Arial" w:eastAsia="Arial" w:hAnsi="Arial"/>
                <w:sz w:val="16"/>
                <w:szCs w:val="16"/>
                <w:b w:val="1"/>
                <w:bCs w:val="1"/>
                <w:color w:val="auto"/>
                <w:w w:val="90"/>
              </w:rPr>
              <w:t>Net Income (Loss)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Net Loss Attributable to Icahn Enterprises</w:t>
            </w:r>
          </w:p>
        </w:tc>
      </w:tr>
      <w:tr>
        <w:trPr>
          <w:trHeight w:val="33"/>
        </w:trPr>
        <w:tc>
          <w:tcPr>
            <w:tcW w:w="196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254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w w:val="93"/>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center"/>
              <w:ind w:left="160"/>
              <w:spacing w:after="0"/>
              <w:rPr>
                <w:sz w:val="20"/>
                <w:szCs w:val="20"/>
                <w:color w:val="auto"/>
              </w:rPr>
            </w:pPr>
            <w:r>
              <w:rPr>
                <w:rFonts w:ascii="Arial" w:cs="Arial" w:eastAsia="Arial" w:hAnsi="Arial"/>
                <w:sz w:val="16"/>
                <w:szCs w:val="16"/>
                <w:b w:val="1"/>
                <w:bCs w:val="1"/>
                <w:color w:val="auto"/>
                <w:w w:val="93"/>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w w:val="93"/>
              </w:rPr>
              <w:t>Three Months Ended</w:t>
            </w:r>
          </w:p>
        </w:tc>
        <w:tc>
          <w:tcPr>
            <w:tcW w:w="48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9"/>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center"/>
              <w:ind w:left="140"/>
              <w:spacing w:after="0"/>
              <w:rPr>
                <w:sz w:val="20"/>
                <w:szCs w:val="20"/>
                <w:color w:val="auto"/>
              </w:rPr>
            </w:pPr>
            <w:r>
              <w:rPr>
                <w:rFonts w:ascii="Arial" w:cs="Arial" w:eastAsia="Arial" w:hAnsi="Arial"/>
                <w:sz w:val="16"/>
                <w:szCs w:val="16"/>
                <w:b w:val="1"/>
                <w:bCs w:val="1"/>
                <w:color w:val="auto"/>
                <w:w w:val="89"/>
              </w:rPr>
              <w:t>September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3"/>
          </w:tcPr>
          <w:p>
            <w:pPr>
              <w:jc w:val="center"/>
              <w:ind w:right="379"/>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gridSpan w:val="3"/>
          </w:tcPr>
          <w:p>
            <w:pPr>
              <w:jc w:val="right"/>
              <w:ind w:right="599"/>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2,476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196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53"/>
        </w:trPr>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7"/>
              </w:rPr>
              <w:t>Revenues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gridSpan w:val="3"/>
          </w:tcPr>
          <w:p>
            <w:pPr>
              <w:jc w:val="center"/>
              <w:ind w:left="140"/>
              <w:spacing w:after="0"/>
              <w:rPr>
                <w:sz w:val="20"/>
                <w:szCs w:val="20"/>
                <w:color w:val="auto"/>
              </w:rPr>
            </w:pPr>
            <w:r>
              <w:rPr>
                <w:rFonts w:ascii="Arial" w:cs="Arial" w:eastAsia="Arial" w:hAnsi="Arial"/>
                <w:sz w:val="16"/>
                <w:szCs w:val="16"/>
                <w:b w:val="1"/>
                <w:bCs w:val="1"/>
                <w:color w:val="auto"/>
                <w:w w:val="90"/>
              </w:rPr>
              <w:t>Net (Loss) Income</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w w:val="92"/>
              </w:rPr>
              <w:t>Net Loss Attributable to Icahn Enterprises</w:t>
            </w:r>
          </w:p>
        </w:tc>
      </w:tr>
      <w:tr>
        <w:trPr>
          <w:trHeight w:val="33"/>
        </w:trPr>
        <w:tc>
          <w:tcPr>
            <w:tcW w:w="196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9"/>
        </w:trPr>
        <w:tc>
          <w:tcPr>
            <w:tcW w:w="1960" w:type="dxa"/>
            <w:vAlign w:val="bottom"/>
          </w:tcPr>
          <w:p>
            <w:pPr>
              <w:spacing w:after="0"/>
              <w:rPr>
                <w:sz w:val="18"/>
                <w:szCs w:val="18"/>
                <w:color w:val="auto"/>
              </w:rPr>
            </w:pPr>
          </w:p>
        </w:tc>
        <w:tc>
          <w:tcPr>
            <w:tcW w:w="254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auto"/>
                <w:w w:val="92"/>
              </w:rPr>
              <w:t>Nine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center"/>
              <w:ind w:left="140"/>
              <w:spacing w:after="0"/>
              <w:rPr>
                <w:sz w:val="20"/>
                <w:szCs w:val="20"/>
                <w:color w:val="auto"/>
              </w:rPr>
            </w:pPr>
            <w:r>
              <w:rPr>
                <w:rFonts w:ascii="Arial" w:cs="Arial" w:eastAsia="Arial" w:hAnsi="Arial"/>
                <w:sz w:val="16"/>
                <w:szCs w:val="16"/>
                <w:b w:val="1"/>
                <w:bCs w:val="1"/>
                <w:color w:val="auto"/>
                <w:w w:val="92"/>
              </w:rPr>
              <w:t>Nine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left="419"/>
              <w:spacing w:after="0"/>
              <w:rPr>
                <w:sz w:val="20"/>
                <w:szCs w:val="20"/>
                <w:color w:val="auto"/>
              </w:rPr>
            </w:pPr>
            <w:r>
              <w:rPr>
                <w:rFonts w:ascii="Arial" w:cs="Arial" w:eastAsia="Arial" w:hAnsi="Arial"/>
                <w:sz w:val="16"/>
                <w:szCs w:val="16"/>
                <w:b w:val="1"/>
                <w:bCs w:val="1"/>
                <w:color w:val="auto"/>
                <w:w w:val="93"/>
              </w:rPr>
              <w:t>Nine Months Ended</w:t>
            </w:r>
          </w:p>
        </w:tc>
        <w:tc>
          <w:tcPr>
            <w:tcW w:w="48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w w:val="89"/>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jc w:val="center"/>
              <w:ind w:left="140"/>
              <w:spacing w:after="0"/>
              <w:rPr>
                <w:sz w:val="20"/>
                <w:szCs w:val="20"/>
                <w:color w:val="auto"/>
              </w:rPr>
            </w:pPr>
            <w:r>
              <w:rPr>
                <w:rFonts w:ascii="Arial" w:cs="Arial" w:eastAsia="Arial" w:hAnsi="Arial"/>
                <w:sz w:val="16"/>
                <w:szCs w:val="16"/>
                <w:b w:val="1"/>
                <w:bCs w:val="1"/>
                <w:color w:val="auto"/>
                <w:w w:val="89"/>
              </w:rPr>
              <w:t>September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3"/>
          </w:tcPr>
          <w:p>
            <w:pPr>
              <w:jc w:val="center"/>
              <w:ind w:right="379"/>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gridSpan w:val="3"/>
          </w:tcPr>
          <w:p>
            <w:pPr>
              <w:jc w:val="right"/>
              <w:ind w:right="599"/>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7,516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5,876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Home Fashion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Holding Company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7"/>
        </w:trPr>
        <w:tc>
          <w:tcPr>
            <w:tcW w:w="196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12,376</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12,707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1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Enterprises Holdings</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with minor differences primarily related to non-cash portions of interest expense that are only reflected in the results of operations for our Holding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September 30, 2016 and December 31, 2015, the total fair market value of investments in the Investment Funds made by Mr. Icahn and his affiliates was approximately $4.1 billion and $4.1 billion, respectively, representing approximately 69% and 55%, respectively, of the Investment Funds' assets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As of September 30, 2016 and December 31, 2015, we had investments with a fair market value of approximately $1.8 billion and $3.4 billion, respectively, in the Investment Funds.</w:t>
      </w:r>
    </w:p>
    <w:p>
      <w:pPr>
        <w:spacing w:after="0" w:line="62" w:lineRule="exact"/>
        <w:rPr>
          <w:sz w:val="20"/>
          <w:szCs w:val="20"/>
          <w:color w:val="auto"/>
        </w:rPr>
      </w:pPr>
    </w:p>
    <w:p>
      <w:pPr>
        <w:jc w:val="both"/>
        <w:ind w:right="260" w:firstLine="405"/>
        <w:spacing w:after="0" w:line="342" w:lineRule="auto"/>
        <w:rPr>
          <w:sz w:val="20"/>
          <w:szCs w:val="20"/>
          <w:color w:val="auto"/>
        </w:rPr>
      </w:pPr>
      <w:r>
        <w:rPr>
          <w:rFonts w:ascii="Arial" w:cs="Arial" w:eastAsia="Arial" w:hAnsi="Arial"/>
          <w:sz w:val="16"/>
          <w:szCs w:val="16"/>
          <w:color w:val="auto"/>
        </w:rPr>
        <w:t>Our share of the Investment Funds' net income (loss) through our interests in the Investment Funds was $111 million and $(479) million for the three months ended September 30, 2016 and 2015, and $(446) million and $(119) million for the nine months ended September 30, 2016 and 2015,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gridSpan w:val="3"/>
          </w:tcPr>
          <w:p>
            <w:pPr>
              <w:ind w:left="400"/>
              <w:spacing w:after="0"/>
              <w:rPr>
                <w:sz w:val="20"/>
                <w:szCs w:val="20"/>
                <w:color w:val="auto"/>
              </w:rPr>
            </w:pPr>
            <w:r>
              <w:rPr>
                <w:rFonts w:ascii="Arial" w:cs="Arial" w:eastAsia="Arial" w:hAnsi="Arial"/>
                <w:sz w:val="18"/>
                <w:szCs w:val="18"/>
                <w:b w:val="1"/>
                <w:bCs w:val="1"/>
                <w:color w:val="auto"/>
              </w:rPr>
              <w:t>Returns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27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6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580" w:type="dxa"/>
            <w:vAlign w:val="bottom"/>
            <w:gridSpan w:val="2"/>
            <w:shd w:val="clear" w:color="auto" w:fill="CCEEFF"/>
          </w:tcPr>
          <w:p>
            <w:pPr>
              <w:jc w:val="right"/>
              <w:ind w:right="4170"/>
              <w:spacing w:after="0"/>
              <w:rPr>
                <w:sz w:val="20"/>
                <w:szCs w:val="20"/>
                <w:color w:val="auto"/>
              </w:rPr>
            </w:pPr>
            <w:r>
              <w:rPr>
                <w:rFonts w:ascii="Arial" w:cs="Arial" w:eastAsia="Arial" w:hAnsi="Arial"/>
                <w:sz w:val="18"/>
                <w:szCs w:val="18"/>
                <w:color w:val="auto"/>
                <w:w w:val="90"/>
              </w:rPr>
              <w:t>Investment Funds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-10.3 %</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Performance Attribution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34290</wp:posOffset>
            </wp:positionV>
            <wp:extent cx="43567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76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-24.5 %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Short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13.6 %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7"/>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44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-10.3 %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The Investment Funds' aggregate return was 6.5% for the three months ended September 30, 2016. During the third quarter of 2016, the Investment Funds' performance was primarily driven by gains in their long equity positions, primarily in a few of their largest core holdings, offset in part by losses in their short exposure, including broad market hedges.</w:t>
      </w:r>
    </w:p>
    <w:p>
      <w:pPr>
        <w:spacing w:after="0" w:line="7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Investment Funds' aggregate return was -10.3% for the three months ended September 30, 2015. During the third quarter of 2015, the Investment Funds' performance was driven by losses in long equity positions, primarily in a few of their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61" w:name="page62"/>
    <w:bookmarkEnd w:id="61"/>
    <w:p>
      <w:pPr>
        <w:ind w:right="340"/>
        <w:spacing w:after="0" w:line="375" w:lineRule="auto"/>
        <w:rPr>
          <w:sz w:val="20"/>
          <w:szCs w:val="20"/>
          <w:color w:val="auto"/>
        </w:rPr>
      </w:pPr>
      <w:r>
        <w:rPr>
          <w:rFonts w:ascii="Arial" w:cs="Arial" w:eastAsia="Arial" w:hAnsi="Arial"/>
          <w:sz w:val="18"/>
          <w:szCs w:val="18"/>
          <w:color w:val="auto"/>
        </w:rPr>
        <w:t xml:space="preserve">largest core holdings. This was offset in part by gains in the Investment Fund's short equity exposure, including broad hedges, as equity markets declined. </w:t>
      </w:r>
      <w:r>
        <w:rPr>
          <w:rFonts w:ascii="Arial" w:cs="Arial" w:eastAsia="Arial" w:hAnsi="Arial"/>
          <w:sz w:val="18"/>
          <w:szCs w:val="18"/>
          <w:i w:val="1"/>
          <w:iCs w:val="1"/>
          <w:u w:val="single" w:color="auto"/>
          <w:color w:val="auto"/>
        </w:rPr>
        <w:t>Nine Months Ended September 30, 2016 and 2015</w:t>
      </w:r>
    </w:p>
    <w:p>
      <w:pPr>
        <w:spacing w:after="0" w:line="1"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The Investment Funds' aggregate return was -12.7% for the nine months ended September 30, 2016. During the first nine months of 2016, the Investment Funds' performance was driven by losses in their short exposure, including broad market hedges, offset in part by gains in their long equity positions, primarily in a few of their largest core holdings. The Investment Funds' gains in their long equity positions occurred in the third quarter of 2016.</w:t>
      </w:r>
    </w:p>
    <w:p>
      <w:pPr>
        <w:spacing w:after="0" w:line="3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Investment Funds' aggregate return was -2.8% for the nine months ended September 30, 2015. During the first nine months of 2015, the Investment Funds' performance was driven by losses in long equity positions, primarily in a few of their largest core holdings. This was offset in part by gains in the Investment Fund's short equity exposure, including broad hedges, as equity markets declined. The losses for the nine months ended September 30,</w:t>
      </w:r>
    </w:p>
    <w:p>
      <w:pPr>
        <w:ind w:right="300"/>
        <w:spacing w:after="0" w:line="261" w:lineRule="auto"/>
        <w:rPr>
          <w:sz w:val="20"/>
          <w:szCs w:val="20"/>
          <w:color w:val="auto"/>
        </w:rPr>
      </w:pPr>
      <w:r>
        <w:rPr>
          <w:rFonts w:ascii="Arial" w:cs="Arial" w:eastAsia="Arial" w:hAnsi="Arial"/>
          <w:sz w:val="18"/>
          <w:szCs w:val="18"/>
          <w:color w:val="auto"/>
        </w:rPr>
        <w:t>2015 were principally the result of the Investment Funds' losses during the third quarter of 2015, partially offset by the Investment Funds' gains during the first half 2015.</w:t>
      </w:r>
    </w:p>
    <w:p>
      <w:pPr>
        <w:spacing w:after="0" w:line="7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From inception in November 2004 through September 30, 2016, the Investment Funds' return was approximately 136.8%, representing an annualized rate of return of approximately 7.5%.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7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4"/>
              </w:rPr>
              <w:t>September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2,346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1,980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1,899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4,950</w:t>
            </w:r>
          </w:p>
        </w:tc>
      </w:tr>
      <w:tr>
        <w:trPr>
          <w:trHeight w:val="27"/>
        </w:trPr>
        <w:tc>
          <w:tcPr>
            <w:tcW w:w="4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r>
      <w:tr>
        <w:trPr>
          <w:trHeight w:val="20"/>
        </w:trPr>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conduct our Automotive segment through our majority ownership in Federal-Mogul Holdings Corporation ("Federal-Mogul"), our wholly owned subsidiary, IEH Auto Parts Holding LLC ("IEH Auto"), which acquired substantially all of the auto parts assets in the United States of Uni-Select, Inc. through an acquisition that was consummated during the second quarter of 2015, and effective February 3, 2016, through our wholly owned subsidiary Pep Boys - Manny, Moe &amp; Jack ("Pep Boys"). See Note 1, "Description of Business and Basis of Presentation - Acquisitions of Businesses," to the condensed consolidated financial statements for further discussion regarding the Pep Boys acquisition. Intercompany transactions among Federal-Mogul, Pep Boys and IEH Auto have been eliminated in consolidation.</w:t>
      </w:r>
    </w:p>
    <w:p>
      <w:pPr>
        <w:spacing w:after="0" w:line="85" w:lineRule="exact"/>
        <w:rPr>
          <w:sz w:val="20"/>
          <w:szCs w:val="20"/>
          <w:color w:val="auto"/>
        </w:rPr>
      </w:pPr>
    </w:p>
    <w:p>
      <w:pPr>
        <w:ind w:firstLine="378"/>
        <w:spacing w:after="0" w:line="259" w:lineRule="auto"/>
        <w:rPr>
          <w:sz w:val="20"/>
          <w:szCs w:val="20"/>
          <w:color w:val="auto"/>
        </w:rPr>
      </w:pPr>
      <w:r>
        <w:rPr>
          <w:rFonts w:ascii="Arial" w:cs="Arial" w:eastAsia="Arial" w:hAnsi="Arial"/>
          <w:sz w:val="18"/>
          <w:szCs w:val="18"/>
          <w:color w:val="auto"/>
        </w:rPr>
        <w:t>On September 6, 2016, we, through our wholly owned subsidiary, IEH FM Holdings LLC commenced a cash tender offer (the "Federal-Mogul Tender Offer) to acquire, subject to the terms and conditions of the Federal-Mogul Merger Agreement, all of the issued and outstanding shares of Federal-Mogul’s common stock not already owned by us. See Part II, Item 5, "Other Information - Federal-Mogul Tender Offer," of this Report for further discussion regarding this transaction.</w:t>
      </w:r>
    </w:p>
    <w:p>
      <w:pPr>
        <w:spacing w:after="0" w:line="79" w:lineRule="exact"/>
        <w:rPr>
          <w:sz w:val="20"/>
          <w:szCs w:val="20"/>
          <w:color w:val="auto"/>
        </w:rPr>
      </w:pPr>
    </w:p>
    <w:p>
      <w:pPr>
        <w:ind w:right="220" w:firstLine="378"/>
        <w:spacing w:after="0" w:line="279" w:lineRule="auto"/>
        <w:rPr>
          <w:sz w:val="20"/>
          <w:szCs w:val="20"/>
          <w:color w:val="auto"/>
        </w:rPr>
      </w:pPr>
      <w:r>
        <w:rPr>
          <w:rFonts w:ascii="Arial" w:cs="Arial" w:eastAsia="Arial" w:hAnsi="Arial"/>
          <w:sz w:val="17"/>
          <w:szCs w:val="17"/>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including Pep Boys and IEH Auto.</w:t>
      </w:r>
    </w:p>
    <w:p>
      <w:pPr>
        <w:spacing w:after="0" w:line="63" w:lineRule="exact"/>
        <w:rPr>
          <w:sz w:val="20"/>
          <w:szCs w:val="20"/>
          <w:color w:val="auto"/>
        </w:rPr>
      </w:pPr>
    </w:p>
    <w:p>
      <w:pPr>
        <w:ind w:firstLine="378"/>
        <w:spacing w:after="0" w:line="286" w:lineRule="auto"/>
        <w:rPr>
          <w:sz w:val="20"/>
          <w:szCs w:val="20"/>
          <w:color w:val="auto"/>
        </w:rPr>
      </w:pPr>
      <w:r>
        <w:rPr>
          <w:rFonts w:ascii="Arial" w:cs="Arial" w:eastAsia="Arial" w:hAnsi="Arial"/>
          <w:sz w:val="17"/>
          <w:szCs w:val="17"/>
          <w:color w:val="auto"/>
        </w:rPr>
        <w:t>Federal-Mogul operates with two end-customer focused businesses.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w:t>
      </w:r>
    </w:p>
    <w:p>
      <w:pPr>
        <w:spacing w:after="0" w:line="5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 xml:space="preserve">Federal-Mogul's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38" w:lineRule="exact"/>
        <w:rPr>
          <w:sz w:val="20"/>
          <w:szCs w:val="20"/>
          <w:color w:val="auto"/>
        </w:rPr>
      </w:pPr>
    </w:p>
    <w:p>
      <w:pPr>
        <w:ind w:right="100" w:firstLine="378"/>
        <w:spacing w:after="0" w:line="259" w:lineRule="auto"/>
        <w:rPr>
          <w:sz w:val="20"/>
          <w:szCs w:val="20"/>
          <w:color w:val="auto"/>
        </w:rPr>
      </w:pPr>
      <w:r>
        <w:rPr>
          <w:rFonts w:ascii="Arial" w:cs="Arial" w:eastAsia="Arial" w:hAnsi="Arial"/>
          <w:sz w:val="18"/>
          <w:szCs w:val="18"/>
          <w:color w:val="auto"/>
        </w:rPr>
        <w:t>Pep Boys has 805 locations in the automotive aftermarket industry located throughout the United States and Puerto Rico. Pep Boys stores are organized into a hub and spoke network consisting of Supercenters and Service &amp; Tire Centers. Supercenters average approximately 20,000 square feet and combine a parts and accessories store with professional service centers that perform a full range of automotive maintenance and repair services. Most of the Pep Boys Supercenters also have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2" w:name="page63"/>
    <w:bookmarkEnd w:id="62"/>
    <w:p>
      <w:pPr>
        <w:jc w:val="both"/>
        <w:ind w:right="120"/>
        <w:spacing w:after="0" w:line="264" w:lineRule="auto"/>
        <w:rPr>
          <w:sz w:val="20"/>
          <w:szCs w:val="20"/>
          <w:color w:val="auto"/>
        </w:rPr>
      </w:pPr>
      <w:r>
        <w:rPr>
          <w:rFonts w:ascii="Arial" w:cs="Arial" w:eastAsia="Arial" w:hAnsi="Arial"/>
          <w:sz w:val="18"/>
          <w:szCs w:val="18"/>
          <w:color w:val="auto"/>
        </w:rPr>
        <w:t>commercial sales program that provides prompt delivery of parts, tires and equipment to automotive repair shops and dealers. Service &amp; Tire Centers, which average approximately 6,000 square feet, provide automotive maintenance and repair services in neighborhood locations that are conveniently located where our customers live or work.</w:t>
      </w:r>
    </w:p>
    <w:p>
      <w:pPr>
        <w:spacing w:after="0" w:line="73" w:lineRule="exact"/>
        <w:rPr>
          <w:sz w:val="20"/>
          <w:szCs w:val="20"/>
          <w:color w:val="auto"/>
        </w:rPr>
      </w:pPr>
    </w:p>
    <w:p>
      <w:pPr>
        <w:ind w:right="100" w:firstLine="378"/>
        <w:spacing w:after="0" w:line="264" w:lineRule="auto"/>
        <w:rPr>
          <w:sz w:val="20"/>
          <w:szCs w:val="20"/>
          <w:color w:val="auto"/>
        </w:rPr>
      </w:pPr>
      <w:r>
        <w:rPr>
          <w:rFonts w:ascii="Arial" w:cs="Arial" w:eastAsia="Arial" w:hAnsi="Arial"/>
          <w:sz w:val="18"/>
          <w:szCs w:val="18"/>
          <w:color w:val="auto"/>
        </w:rPr>
        <w:t>IEH Auto has 21 distribution centers and 284 corporate-owned jobber stores (including 14 satellite locations) in the United States and supports a network of more than 2,000 independent wholesalers. Through its locations, IEH Auto sells predominantly to commercial aftermarket customers in the do-it-for-me ("DIFM") market as well as retail and do-it-yourself ("DIY") customers.</w:t>
      </w:r>
    </w:p>
    <w:p>
      <w:pPr>
        <w:spacing w:after="0" w:line="73"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Pep Boys and IEH Auto are being operated together in order to grow their sales to DIFM distributors and DIFM service professionals, to grow their automotive service business, and to maintain their DIY customer bases by offering the newest and broadest product assortment in the automotive aftermarket.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Federal-Mogul is operated independently from Pep Boys and IEH Auto.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Influences Impacting Results of Operations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is inherent uncertainty in the continuation of certain trends, as discussed below, which, among other factors, may have an effect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Automotive segment. Our Automotive segment is affected by the relative strength of: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vehicle production levels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Global light vehicle production increased by 3.2% in the first nine months of 2016. European light vehicle production rose 3.1% and North American light vehicle production also increased 3.1%, with positive growth in Canada and the United States. Light vehicle production in the Asia-Pacific region increased by 4.8% with positive growth in China and India. Among the major regions, only South America posted a decline the first nine months of 2016, which was down 17.9%.</w:t>
      </w:r>
    </w:p>
    <w:p>
      <w:pPr>
        <w:spacing w:after="0" w:line="79" w:lineRule="exact"/>
        <w:rPr>
          <w:sz w:val="20"/>
          <w:szCs w:val="20"/>
          <w:color w:val="auto"/>
        </w:rPr>
      </w:pPr>
    </w:p>
    <w:p>
      <w:pPr>
        <w:jc w:val="both"/>
        <w:ind w:right="380" w:firstLine="405"/>
        <w:spacing w:after="0" w:line="259" w:lineRule="auto"/>
        <w:rPr>
          <w:sz w:val="20"/>
          <w:szCs w:val="20"/>
          <w:color w:val="auto"/>
        </w:rPr>
      </w:pPr>
      <w:r>
        <w:rPr>
          <w:rFonts w:ascii="Arial" w:cs="Arial" w:eastAsia="Arial" w:hAnsi="Arial"/>
          <w:sz w:val="18"/>
          <w:szCs w:val="18"/>
          <w:color w:val="auto"/>
        </w:rPr>
        <w:t>Global commercial vehicle production increased by 3.5% in the first nine months of 2016. European commercial vehicle production rose 5.4% and production in the Asia-Pacific region rose 11.6%, with positive growth in China and India. South America posted a decline during the nine months ended September 30, 2016, down 22.7%. There was a 13.8% decrease in commercial vehicle production in our Automotive segment's primary market of North America.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vehicle sales levels</w:t>
      </w:r>
    </w:p>
    <w:p>
      <w:pPr>
        <w:spacing w:after="0" w:line="11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Global light vehicle sales increased by 4.6% in the first nine months of 2016. European light vehicle sales rose 4.7% and North American vehicles sales increased 1.9%, with positive growth in Canada, Mexico, and the United States. Light vehicle sales in the Asia-Pacific region increased 8.0%, with positive growth in China and India. Among the major regions, only South America posted a decline during the first nine months of 2016, which was down 14.4%.</w:t>
      </w:r>
    </w:p>
    <w:p>
      <w:pPr>
        <w:spacing w:after="0" w:line="39"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Global commercial vehicle sales were up 6.8% in the first nine months of 2016. European commercial vehicles sales rose 9.3% and production in the Asia-Pacific region was up 13.8%, with positive growth in China and India. South America posted a decline during first nine months of 2016, down 25.4%. There was a 6.1% decrease in our primary market of North America.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replacement trends</w:t>
      </w:r>
    </w:p>
    <w:p>
      <w:pPr>
        <w:spacing w:after="0" w:line="117" w:lineRule="exact"/>
        <w:rPr>
          <w:sz w:val="20"/>
          <w:szCs w:val="20"/>
          <w:color w:val="auto"/>
        </w:rPr>
      </w:pPr>
    </w:p>
    <w:p>
      <w:pPr>
        <w:jc w:val="both"/>
        <w:ind w:right="180" w:firstLine="405"/>
        <w:spacing w:after="0" w:line="276" w:lineRule="auto"/>
        <w:rPr>
          <w:sz w:val="20"/>
          <w:szCs w:val="20"/>
          <w:color w:val="auto"/>
        </w:rPr>
      </w:pPr>
      <w:r>
        <w:rPr>
          <w:rFonts w:ascii="Arial" w:cs="Arial" w:eastAsia="Arial" w:hAnsi="Arial"/>
          <w:sz w:val="17"/>
          <w:szCs w:val="17"/>
          <w:color w:val="auto"/>
        </w:rPr>
        <w:t>The strength of our Automotive segment's aftermarket business is influenced by several key drivers. These include the vehicle population (or "parc"), average vehicle age, fuel prices and vehicle distance traveled. The vehicle parc is estimated to have expanded in most major markets, including the United States, China, and Germany. Average vehicle ages also increased, despite growth in new vehicle sales, in most regions. Vehicle distance traveled varies by region and is sensitive to several factors, including fuel prices and transportation alternatives. Average vehicle distance traveled has declined in China in the recent past, partially offsetting generally favorable trends in the country.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Geopolitical risk</w:t>
      </w:r>
    </w:p>
    <w:p>
      <w:pPr>
        <w:spacing w:after="0" w:line="117"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Our Automotive businesses are global, subjecting them to numerous risks and uncertainties. For example, the recent decision of the referendum in the United Kingdom (the "UK") to leave the European Union has created economic uncertainty effects in both the UK and Europe. In addition, our Automotive segment has an interest in a certain joint venture in Turkey, which may be affected by recent turmoil in that region.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currencies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Automotive segment's operations are subject to fluctuations in foreign exchanges rates given the nature of their global operations and there has been significant volatility in foreign currency rates during the nine months ended September 30,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Net sales for our Automotive segment for the three months ended September 30, 2016 increased by $366 million (18%) as compared to the comparable prior year period. The acquisition of Pep Boys in February 2016 accounted for $349 million of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3" w:name="page64"/>
    <w:bookmarkEnd w:id="63"/>
    <w:p>
      <w:pPr>
        <w:ind w:right="220"/>
        <w:spacing w:after="0" w:line="264" w:lineRule="auto"/>
        <w:rPr>
          <w:sz w:val="20"/>
          <w:szCs w:val="20"/>
          <w:color w:val="auto"/>
        </w:rPr>
      </w:pPr>
      <w:r>
        <w:rPr>
          <w:rFonts w:ascii="Arial" w:cs="Arial" w:eastAsia="Arial" w:hAnsi="Arial"/>
          <w:sz w:val="18"/>
          <w:szCs w:val="18"/>
          <w:color w:val="auto"/>
        </w:rPr>
        <w:t>increase, net of eliminations, and other acquisitions accounted for an additional $7 million increase. The remaining increase of $10 million for the three months ended September 30, 2016 was primarily due to other sales volume increases which were offset in part by an unfavorable effect of foreign currency exchange.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of goods sold for the three months ended September 30, 2016 increased by $239 million (14%) as compared to the comparable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goods sold was primarily due to the inclusion of the results of Pep Boys which was acquired in February 2016.</w:t>
      </w:r>
    </w:p>
    <w:p>
      <w:pPr>
        <w:spacing w:after="0" w:line="103" w:lineRule="exact"/>
        <w:rPr>
          <w:sz w:val="20"/>
          <w:szCs w:val="20"/>
          <w:color w:val="auto"/>
        </w:rPr>
      </w:pPr>
    </w:p>
    <w:p>
      <w:pPr>
        <w:jc w:val="both"/>
        <w:ind w:right="200" w:firstLine="405"/>
        <w:spacing w:after="0" w:line="279" w:lineRule="auto"/>
        <w:rPr>
          <w:sz w:val="20"/>
          <w:szCs w:val="20"/>
          <w:color w:val="auto"/>
        </w:rPr>
      </w:pPr>
      <w:r>
        <w:rPr>
          <w:rFonts w:ascii="Arial" w:cs="Arial" w:eastAsia="Arial" w:hAnsi="Arial"/>
          <w:sz w:val="17"/>
          <w:szCs w:val="17"/>
          <w:color w:val="auto"/>
        </w:rPr>
        <w:t>Gross margin on net sales for the three months ended September 30, 2016 increased by $127 million (40%) as compared to the comparable prior year period. Gross margin as a percentage of net sales was 19% and 16% for the three months ended September 30, 2016 and 2015, respectively. The increase in gross margin as a percentage of net sales over the respective periods was due to the inclusion of the results Pep Boys which was acquired in February 2016. The gross margins on sales of Pep Boys' products are generally higher than those of Federal-Mogul's.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Net sales for our Automotive segment for the nine months ended September 30, 2016 increased by $1,309 million (22%) as compared to the comparable prior year period. The acquisition of Pep Boys in February 2016 accounted for $975 million of the increase, net of eliminations, and other acquisitions accounted for an additional $80 million increase. Additionally, IEH Auto accounted for an increase in net sales of $309 million, net of eliminations, primarily due to its inclusion in our consolidated results for the full nine months ended September 30, 2016 compared to only four months in the comparable prior year period. Other sales volume increases accounted for an additional $38 million increase in net sales for the nine months ended September 30, 2016. These increases were offset in part by an unfavorable effect of foreign currency exchange.</w:t>
      </w:r>
    </w:p>
    <w:p>
      <w:pPr>
        <w:spacing w:after="0" w:line="7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Cost of goods sold for the nine months ended September 30, 2016 increased by $847 million (17%) as compared to the comparable prior year period. The increase in cost of goods sold was primarily due to the inclusion of the results of Pep Boys and IEH Auto, which were acquired in February 2016 and June 2015 respectively.</w:t>
      </w:r>
    </w:p>
    <w:p>
      <w:pPr>
        <w:spacing w:after="0" w:line="73" w:lineRule="exact"/>
        <w:rPr>
          <w:sz w:val="20"/>
          <w:szCs w:val="20"/>
          <w:color w:val="auto"/>
        </w:rPr>
      </w:pPr>
    </w:p>
    <w:p>
      <w:pPr>
        <w:jc w:val="both"/>
        <w:ind w:right="180" w:firstLine="405"/>
        <w:spacing w:after="0" w:line="257" w:lineRule="auto"/>
        <w:rPr>
          <w:sz w:val="20"/>
          <w:szCs w:val="20"/>
          <w:color w:val="auto"/>
        </w:rPr>
      </w:pPr>
      <w:r>
        <w:rPr>
          <w:rFonts w:ascii="Arial" w:cs="Arial" w:eastAsia="Arial" w:hAnsi="Arial"/>
          <w:sz w:val="18"/>
          <w:szCs w:val="18"/>
          <w:color w:val="auto"/>
        </w:rPr>
        <w:t>Gross margin on net sales for the nine months ended September 30, 2016 increased by $462 million (52%) as compared to the comparable prior year period. Gross margin as a percentage of net sales was 19% and 15% for the nine months ended September 30, 2016 and 2015, respectively. The increase in gross margin as a percentage of net sales over the respective periods was due to the inclusion of the results of Pep Boys and IEH Auto, which were acquired in February 2016 and June 2015 respectively. The gross margins on sales of Pep Boys' and IEH Auto's products are generally higher than those of Federal-Mogul's.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4"/>
                <w:szCs w:val="24"/>
                <w:color w:val="auto"/>
              </w:rPr>
            </w:pPr>
          </w:p>
        </w:tc>
        <w:tc>
          <w:tcPr>
            <w:tcW w:w="27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1,240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1,409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Petroleum</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1,126</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1"/>
              <w:spacing w:after="0"/>
              <w:rPr>
                <w:sz w:val="20"/>
                <w:szCs w:val="20"/>
                <w:color w:val="auto"/>
              </w:rPr>
            </w:pPr>
            <w:r>
              <w:rPr>
                <w:rFonts w:ascii="Arial" w:cs="Arial" w:eastAsia="Arial" w:hAnsi="Arial"/>
                <w:sz w:val="18"/>
                <w:szCs w:val="18"/>
                <w:color w:val="auto"/>
                <w:w w:val="93"/>
              </w:rPr>
              <w:t>1,215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1,195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64" w:name="page65"/>
    <w:bookmarkEnd w:id="64"/>
    <w:p>
      <w:pPr>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(in millions, except barrels metrics)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3,686</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 and turnaround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Flood insurance recovery</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Refining margin</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FIFO impacts, unfavorable (favorable)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947</w:t>
            </w:r>
          </w:p>
        </w:tc>
      </w:tr>
      <w:tr>
        <w:trPr>
          <w:trHeight w:val="311"/>
        </w:trPr>
        <w:tc>
          <w:tcPr>
            <w:tcW w:w="4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margin per barrel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9.47</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16.98</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197,955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200,156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194,893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204,177</w:t>
            </w:r>
          </w:p>
        </w:tc>
      </w:tr>
    </w:tbl>
    <w:p>
      <w:pPr>
        <w:spacing w:after="0" w:line="121"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As of September 30, 2016, we owned 82% of the total outstanding common stock of CVR. In addition, as of September 30, 2016, we owned approximately 3.9% of the total outstanding common stock of CVR Refining, LP ("CVR Refining").</w:t>
      </w:r>
    </w:p>
    <w:p>
      <w:pPr>
        <w:spacing w:after="0" w:line="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5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further discussed in Note 1, "Description of Business and Basis of Presentation," on April 1, 2016, CVR Partners completed the acquisition of CVR Nitrogen, 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Influences Impacting Results of Operations</w:t>
      </w:r>
    </w:p>
    <w:p>
      <w:pPr>
        <w:spacing w:after="0" w:line="121"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76" w:right="239" w:bottom="1440" w:gutter="0" w:footer="0" w:header="0"/>
        </w:sectPr>
      </w:pPr>
    </w:p>
    <w:bookmarkStart w:id="65" w:name="page66"/>
    <w:bookmarkEnd w:id="65"/>
    <w:p>
      <w:pPr>
        <w:ind w:firstLine="405"/>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61"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On December 14, 2015, the EPA published in the Federal Register a final rule establishing the renewable fuel volume mandates for 2014, 2015 and 2016, and the biomass-based diesel mandate for 2017. The volumes included in the EPA's final rule increase each year, but are lower, with the exception of the volumes for biomass-based diesel, than the volumes required by the Clean Air Act. The EPA used its waiver authority to lower the volumes, but its decision to do so has been challenged in the U.S. Court of Appeals for the District of Columbia Circuit. In addition, in the final rule establishing the renewable volume obligations for 2014-2016 and biomass based diesel for 2017, the EPA articulated a policy to incentivize additional investments in renewable fuel blending and distribution infrastructure by increasing the price of RINs.</w:t>
      </w:r>
    </w:p>
    <w:p>
      <w:pPr>
        <w:spacing w:after="0" w:line="7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May 31, 2016, the EPA published in the Federal Register a proposed rule establishing the renewable fuel volume mandates for 2017, and the biomass-based diesel mandate for 2018. The volumes included in the proposed rule, with the exception of the volume for biomass-based diesel, are lower than the volumes required by the Clean Air Act. The EPA is required by the Clean Air Act to publish the final rule in the Federal Register by November 30, 2016.</w:t>
      </w:r>
    </w:p>
    <w:p>
      <w:pPr>
        <w:spacing w:after="0" w:line="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cost of RINs was $58 million and $19 million for three months ended September 30, 2016 and 2015, respectively, and $152 million and $93 million for nine months ended September 30, 2016 and 2015, respectively. The price of RINs has been extremely volatile and has increased over the last year. The future cost of RINs for the petroleum business is difficult to estimate. Additionally, the cost of RINs is dependent upon a variety of factors, which include EPA regulations,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Based upon recent market prices of RINs and current estimates related to the other variable factors, the petroleum business currently estimates that the total cost of RINs will be approximately $210 million to $250 million for the year ending December 31, 2016.</w:t>
      </w:r>
    </w:p>
    <w:p>
      <w:pPr>
        <w:spacing w:after="0" w:line="59"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If sufficient RINs are unavailable for purchase at times when the petroleum business seeks to purchase RINs, if the petroleum business has to pay a significantly higher price for RINs or if the petroleum business is otherwise unable to meet the EPA’s RFS mandates, its business, financial condition and results of operations could be materially adversely affected.</w:t>
      </w:r>
    </w:p>
    <w:p>
      <w:pPr>
        <w:spacing w:after="0" w:line="73"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6" w:name="page67"/>
    <w:bookmarkEnd w:id="66"/>
    <w:p>
      <w:pPr>
        <w:ind w:right="80" w:firstLine="405"/>
        <w:spacing w:after="0" w:line="257" w:lineRule="auto"/>
        <w:rPr>
          <w:sz w:val="20"/>
          <w:szCs w:val="20"/>
          <w:color w:val="auto"/>
        </w:rPr>
      </w:pPr>
      <w:r>
        <w:rPr>
          <w:rFonts w:ascii="Arial" w:cs="Arial" w:eastAsia="Arial" w:hAnsi="Arial"/>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Agreement</w:t>
      </w:r>
    </w:p>
    <w:p>
      <w:pPr>
        <w:spacing w:after="0" w:line="12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September 19, 2016, Coffeyville Resources Pipeline, LLC ("CRPLLC"), an indirect wholly owned subsidiary of CVR Refining, entered into an agreement with Velocity Central Oklahoma Pipeline LLC ("Velocity") related to their joint ownership of Velocity Pipeline Partners, LLC ("VPP"). VPP will construct, own and operate a 12-inch crude oil pipeline with design capacity of approximately 65,000 barrel per day and with an estimated length of 25 miles with a connection to the Refining Partnership's Wynnewood refinery and a trucking terminal at Lowrance, Oklahoma. CRPLLC holds a 40% interest in VPP and expects to contribute $9 million to VPP during the pipeline construction, which is expected to be completed in the second half of 2017. Velocity holds a 60% interest in VPP, serves as the day-to-day operator of VPP and expects to contribute $14 million. As of September 30, 2016, CRPLLC has contributed $3 million to VPP. On September 19, 2016, CVR Refining also entered into a transportation agreement with VPP for initial term of 20 years under which VPP will provide CVR Refining with crude oil transportation services for crude oil purchased within a defined geographic area, and CVR Refining entered into a terminalling services agreement with Velocity under which CVR Refining will receive access to Velocity’s terminal in Lowrance, Oklahoma to unload and pump crude oil into VPP's pipeline for an initial term of 20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Net sales for the petroleum business, before eliminations, for the three months ended September 30, 2016 decreased to approximately $1.2 billion from approximately $1.4 billion for the three months ended September 30, 2015. The decrease in net sales for the petroleum business was largely due to lower sales prices for the petroleum business' transportation fuels and by-products, coupled with a slight decrease in sales volumes. For the three months ended September 30, 2016, CVR's petroleum business sold approximately 10.2 million and 8.0 million barrels of gasoline and distillate, respectively, with an average sales price per gallon for gasoline and distillate of $1.45 and $1.45, respectively. For the three months ended September 30, 2015, CVR's petroleum business sold approximately 10.3 million and 8.2 million barrels of gasoline and distillate, respectively, with an average sales price per gallon for gasoline and distillate of $1.72 and $1.60, respectively.</w:t>
      </w:r>
    </w:p>
    <w:p>
      <w:pPr>
        <w:spacing w:after="0" w:line="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Net sales for the fertilizer business, before eliminations, for the three months ended September 30, 2016 increased to $78 million from $49 million for the three months ended September 30, 2015. The increase in net sales for the fertilizer business was primarily due to the inclusion of the acquisition of CVR Nitrogen. For the three months ended September 30, 2016, CVR sold 296,000 and 47,700 tons of UAN and ammonia, respectively, with a sales gate price per ton of $154 and $345, respectively. For the three months ended September 30, 2015, CVR sold 174,500 and 7,800 tons of UAN and ammonia, respectively, with a sales gate price per ton of $227 and $478, respectively.</w:t>
      </w:r>
    </w:p>
    <w:p>
      <w:pPr>
        <w:spacing w:after="0" w:line="8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Cost of goods sold for the petroleum business for the three months ended September 30, 2016 and 2015 was approximately $1.1 billion and approximately $1.2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decrease in cost of sales for the petroleum business was primarily due to a decrease in cost of consumed crude oil, which was partially offset by an increase in purchased products for resale and an increase in RINs costs. The average cost per barrel of crude oil consumed for the three months ended September 30, 2016 was $44.58 compared to $46.64 for the comparable period in 2015, a decrease of approximately 4%.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September 30, 2016, the petroleum business had an unfavorable FIFO inventory impact of $8 million compared to an unfavorable FIFO inventory impact of $46 million for the corresponding prior year period.</w:t>
      </w:r>
    </w:p>
    <w:p>
      <w:pPr>
        <w:spacing w:after="0" w:line="5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Refining margin per barrel of crude oil throughput decreased to $9.66 for the three months ended September 30, 2016 from $16.17 for the three months ended September 30, 2015. Refining margin adjusted for FIFO impact decreased to $10.09 per crude oil throughput barrel for the three months ended September 30, 2016 from $18.65 per crude oil throughput barrel for the three months ended September 30, 2015. Gross margin per barrel was $2.09 for the three months ended September 30, 2016 as compared to a gross margin per barrel of $7.98 for the three months ended September 30, 2015. The decrease in refining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76" w:right="259" w:bottom="1440" w:gutter="0" w:footer="0" w:header="0"/>
        </w:sectPr>
      </w:pPr>
    </w:p>
    <w:bookmarkStart w:id="67" w:name="page68"/>
    <w:bookmarkEnd w:id="67"/>
    <w:p>
      <w:pPr>
        <w:ind w:right="320"/>
        <w:spacing w:after="0" w:line="264" w:lineRule="auto"/>
        <w:rPr>
          <w:sz w:val="20"/>
          <w:szCs w:val="20"/>
          <w:color w:val="auto"/>
        </w:rPr>
      </w:pPr>
      <w:r>
        <w:rPr>
          <w:rFonts w:ascii="Arial" w:cs="Arial" w:eastAsia="Arial" w:hAnsi="Arial"/>
          <w:sz w:val="18"/>
          <w:szCs w:val="18"/>
          <w:color w:val="auto"/>
        </w:rPr>
        <w:t>margin and gross margin per barrel was primarily due to a weaker spread between crude oil and transportation fuels prices, higher RINs costs and an unfavorable change in the gasoline basis over the prior year period, which were partially offset by a favorable change in distillate basis over the prior year period.</w:t>
      </w:r>
    </w:p>
    <w:p>
      <w:pPr>
        <w:spacing w:after="0" w:line="7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fertilizer business' cost of goods sold for the three months ended September 30, 2016 increased to $70 million from $57 million for the three months ended September 30, 2015. The increase was primarily due to the inclusion of the acquisition of CVR Nitrogen. Cost of goods sold for the fertilizer business is primarily comprised of pet coke expense, freight expense, distribution expense, purchased ammonia costs, direct operating expenses and 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sales for the petroleum business, before eliminations, for the nine months ended September 30, 2016 decreased to approximately $3.2 billion from approximately $4.2 billion for the nine months ended September 30, 2015. The decrease in net sales for the petroleum business was largely due to significantly lower sales prices for the petroleum business' transportation fuels and by-products, as well as decrease in sales volumes. For the nine months ended September 30, 2016, CVR's petroleum business sold approximately 31.5 million and 23.8 million barrels of gasoline and distillate, respectively, with an average sales price per gallon for gasoline and distillate of $1.31 and $1.30, respectively. For the nine months ended September 30, 2015, CVR's petroleum business sold approximately 31.4 million and 25.5 million barrels of gasoline and distillate, respectively, with an average sales price per gallon for gasoline and distillate of $1.69 and $1.70, respectively.</w:t>
      </w:r>
    </w:p>
    <w:p>
      <w:pPr>
        <w:spacing w:after="0" w:line="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for the fertilizer business, before eliminations, for the nine months ended September 30, 2016 increased to $271 million from $223 million for the nine months ended September 30, 2015. The increase in net sales for the fertilizer business was primarily due to the inclusion of the acquisition of CVR Nitrogen. For the nine months ended September 30, 2016, CVR sold 902,400 and 145,700 tons of UAN and ammonia, respectively, with a sales gate price per ton of $187 and $385, respectively. For the nine months ended September 30, 2015, CVR sold 698,800 and 26,900 tons of UAN and ammonia, respectively, with a sales gate price per ton of $256 and $529, respectively.</w:t>
      </w:r>
    </w:p>
    <w:p>
      <w:pPr>
        <w:spacing w:after="0" w:line="8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Cost of goods sold for the petroleum business for the nine months ended September 30, 2016 and 2015 was approximately $3.1 billion and approximately $3.7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decrease in cost of sales for the petroleum business was primarily due to a decrease in cost of consumed crude oil. The average cost per barrel of crude oil consumed for the nine months ended September 30, 2016 was $39.81 compared to $49.66 for the comparable period in 2015, a decrease of approximately 20%.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nine months ended September 30, 2016, the petroleum business had a favorable FIFO inventory impact of $30 million compared to a favorable FIFO inventory impact of unfavorable $34 million for the corresponding prior year period.</w:t>
      </w:r>
    </w:p>
    <w:p>
      <w:pPr>
        <w:spacing w:after="0" w:line="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Refining margin per barrel of crude oil throughput decreased to $9.55 for the nine months ended September 30, 2016 from $16.38 for the nine months ended September 30, 2015. Refining margin adjusted for FIFO impact decreased to $8.99 per crude oil throughput barrel for the nine months ended September 30, 2016 from $16.98 per crude oil throughput barrel for the nine months ended September 30, 2015. Gross margin per barrel was $1.70 for the nine months ended September 30, 2016 as compared to a gross margin per barrel of $9.47 for the nine months ended September 30, 2015. The decrease in refining margin and gross margin per barrel was primarily due to a weaker spread between crude oil and transportation fuels pricing, an increase in RINs costs and an unfavorable change in gasoline basis over the prior year period, which was partially offset by a favorable change in distillate basis over the prior year period.</w:t>
      </w:r>
    </w:p>
    <w:p>
      <w:pPr>
        <w:spacing w:after="0" w:line="8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fertilizer business' cost of goods sold for the nine months ended September 30, 2016 increased to $231 million from $168 million for the nine months ended September 30, 2015. The increase was primarily due to the inclusion of the acquisition of CVR Nitrogen. Cost of goods sold for the fertilizer business is primarily comprised of pet coke expense, freight expense, distribution expense, purchased ammonia costs, direct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Metals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2"/>
        </w:trPr>
        <w:tc>
          <w:tcPr>
            <w:tcW w:w="4700" w:type="dxa"/>
            <w:vAlign w:val="bottom"/>
          </w:tcPr>
          <w:p>
            <w:pPr>
              <w:spacing w:after="0"/>
              <w:rPr>
                <w:sz w:val="24"/>
                <w:szCs w:val="24"/>
                <w:color w:val="auto"/>
              </w:rPr>
            </w:pPr>
          </w:p>
        </w:tc>
        <w:tc>
          <w:tcPr>
            <w:tcW w:w="28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nine months ended September 30, 2016 and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0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10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gridSpan w:val="3"/>
          </w:tcPr>
          <w:p>
            <w:pPr>
              <w:ind w:left="360"/>
              <w:spacing w:after="0"/>
              <w:rPr>
                <w:sz w:val="20"/>
                <w:szCs w:val="20"/>
                <w:color w:val="auto"/>
              </w:rPr>
            </w:pPr>
            <w:r>
              <w:rPr>
                <w:rFonts w:ascii="Arial" w:cs="Arial" w:eastAsia="Arial" w:hAnsi="Arial"/>
                <w:sz w:val="14"/>
                <w:szCs w:val="14"/>
                <w:color w:val="auto"/>
              </w:rPr>
              <w:t>(in 000s)</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30,056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27,404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94,085</w:t>
            </w:r>
          </w:p>
        </w:tc>
      </w:tr>
      <w:tr>
        <w:trPr>
          <w:trHeight w:val="20"/>
        </w:trPr>
        <w:tc>
          <w:tcPr>
            <w:tcW w:w="4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conduct our Metals segment through our indirect wholly owned subsidiary, PSC Metals, Inc. ("PSC Metals").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Net sales for the three months ended September 30, 2016 decreased by $20 million (22%) compared to the corresponding prior year period. The decrease was due to lower shipment volumes and selling prices for most product types for the three months ended September 30, 2016 as compared to the corresponding prior year period.</w:t>
      </w:r>
    </w:p>
    <w:p>
      <w:pPr>
        <w:spacing w:after="0" w:line="73" w:lineRule="exact"/>
        <w:rPr>
          <w:sz w:val="20"/>
          <w:szCs w:val="20"/>
          <w:color w:val="auto"/>
        </w:rPr>
      </w:pPr>
    </w:p>
    <w:p>
      <w:pPr>
        <w:jc w:val="both"/>
        <w:ind w:right="340" w:firstLine="405"/>
        <w:spacing w:after="0" w:line="312" w:lineRule="auto"/>
        <w:rPr>
          <w:sz w:val="20"/>
          <w:szCs w:val="20"/>
          <w:color w:val="auto"/>
        </w:rPr>
      </w:pPr>
      <w:r>
        <w:rPr>
          <w:rFonts w:ascii="Arial" w:cs="Arial" w:eastAsia="Arial" w:hAnsi="Arial"/>
          <w:sz w:val="16"/>
          <w:szCs w:val="16"/>
          <w:color w:val="auto"/>
        </w:rPr>
        <w:t>Ferrous shipments decreased by 63,000 gross tons (27%) while the average price decreased by $8 per gross ton (3%) during the three months ended September 30, 2016 as compared to the comparable prior year period. The shipment decrease was attributable to the slower flow of raw materials into the recycling yards due to efforts to reduce net unprofitable accounts from the supply base, and lower mill pricing which reduced peddler supply.</w:t>
      </w:r>
    </w:p>
    <w:p>
      <w:pPr>
        <w:spacing w:after="0" w:line="3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Non-ferrous shipment volumes decreased by 2.7 million pounds (10%) while average selling prices for non-ferrous decreased $0.03 per pound (4%) during the three months ended September 30, 2016 compared to corresponding prior year period, reflecting lower market pricing and its unfavorable impact on raw material availability.</w:t>
      </w:r>
    </w:p>
    <w:p>
      <w:pPr>
        <w:spacing w:after="0" w:line="7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Cost of goods sold for the three months ended September 30, 2016 decreased by $24 million (24%) compared to the corresponding prior year period. The decrease was primarily due to lower shipment volumes, lower material costs and lower processing costs. Gross margin as a percentage of net sales for the three months ended September 30, 2016 was a loss of 8% as compared to a loss of 11% in the corresponding prior year period. The material margin component of gross margin, as a percentage of net sales, improved over the respective periods, reflecting a continued focus on disciplined buying in the face of strong competition for shredder feedstock and lower pricing for non-ferrous auto shredder residue.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Net sales for the nine months ended September 30, 2016 decreased by $95 million (32%) compared to the comparable prior year period. The decrease was due to lower shipment volumes and selling prices for the nine months ended September 30, 2016 as compared to the corresponding prior year period.</w:t>
      </w:r>
    </w:p>
    <w:p>
      <w:pPr>
        <w:spacing w:after="0" w:line="16"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Ferrous shipments decreased by 145,000 gross tons (22%) while the average price decreased by $40 per gross ton (16%) during the nine months ended September 30, 2016 as compared to the comparable prior year period. The shipment decrease was attributable to reduced demand from domestic steel mills and to the slow flow of raw materials into the recycling yards. Low priced iron ore, direct-reduced iron pellets, and reduced demand from steel mills during the current quarter continued to hold down market prices.</w:t>
      </w:r>
    </w:p>
    <w:p>
      <w:pPr>
        <w:spacing w:after="0" w:line="79"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Non-ferrous shipment volumes decreased by 14.0 million pounds (15%) and average selling prices for non-ferrous decreased $0.07 per pound (9%) during the nine months ended September 30, 2016 as compared to the comparable prior year period reflecting lower market pricing and its unfavorable impact on raw material availability.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9" w:name="page70"/>
    <w:bookmarkEnd w:id="69"/>
    <w:p>
      <w:pPr>
        <w:ind w:right="20" w:firstLine="405"/>
        <w:spacing w:after="0" w:line="255" w:lineRule="auto"/>
        <w:rPr>
          <w:sz w:val="20"/>
          <w:szCs w:val="20"/>
          <w:color w:val="auto"/>
        </w:rPr>
      </w:pPr>
      <w:r>
        <w:rPr>
          <w:rFonts w:ascii="Arial" w:cs="Arial" w:eastAsia="Arial" w:hAnsi="Arial"/>
          <w:sz w:val="18"/>
          <w:szCs w:val="18"/>
          <w:color w:val="auto"/>
        </w:rPr>
        <w:t>Cost of goods sold for the nine months ended September 30, 2016 decreased by $111 million (34%) compared to the comparable prior year period. The decrease was primarily due to lower shipment volumes, lower material costs and lower processing costs. Gross margin as a percentage of net sales was a loss of 5% and 9% for the nine months ended September 30, 2016 and 2015, respectively. The material margin component of gross margin, as a percentage of net sales, improved during the first nine months of 2016 as compared to the corresponding prior year period, reflecting a continued focus on disciplined buying in the face of strong competition for shredder feedstock and lower pricing for non-ferrous auto shredder residue. PSC Metals continued to expend considerable effort to bring costs in line with volumes and market pricing. PSC Metals closed nine feeder yards after March 31, 2015 in order to better align its cost structure to the current market environment.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2"/>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4"/>
              </w:rPr>
              <w:t>September 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40" w:type="dxa"/>
            <w:vAlign w:val="bottom"/>
            <w:gridSpan w:val="3"/>
          </w:tcPr>
          <w:p>
            <w:pPr>
              <w:jc w:val="right"/>
              <w:ind w:right="65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Our Railcar segment includes the results of American Railcar Industries, Inc. ("ARI") and American Railcar Leasing, LLC ("ARL"). On February 29, 2016, we entered into a contribution agreement with an affiliate of Mr. Icahn to acquire the remaining 25% economic interest in ARL not already owned by us. See Note 3, "Related Party Transactions - Railcar," for further discussion regarding this transaction.</w:t>
      </w:r>
    </w:p>
    <w:p>
      <w:pPr>
        <w:spacing w:after="0" w:line="73"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580" w:firstLine="378"/>
        <w:spacing w:after="0" w:line="277" w:lineRule="auto"/>
        <w:rPr>
          <w:sz w:val="20"/>
          <w:szCs w:val="20"/>
          <w:color w:val="auto"/>
        </w:rPr>
      </w:pPr>
      <w:r>
        <w:rPr>
          <w:rFonts w:ascii="Arial" w:cs="Arial" w:eastAsia="Arial" w:hAnsi="Arial"/>
          <w:sz w:val="18"/>
          <w:szCs w:val="18"/>
          <w:color w:val="auto"/>
        </w:rPr>
        <w:t>Summarized shipments of railcars to leasing and non-leasing customers for the three and nine months ended September 30, 2016 and 2015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700" w:type="dxa"/>
            <w:vAlign w:val="bottom"/>
          </w:tcPr>
          <w:p>
            <w:pPr>
              <w:spacing w:after="0"/>
              <w:rPr>
                <w:sz w:val="20"/>
                <w:szCs w:val="20"/>
                <w:color w:val="auto"/>
              </w:rPr>
            </w:pPr>
          </w:p>
        </w:tc>
        <w:tc>
          <w:tcPr>
            <w:tcW w:w="22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Shipments to leasing customers</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Shipments to non-leasing customers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2,277</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As of September 30, 2016, our Railcar segment had a backlog of 5,083 railcars, including 1,902 railcars for lease customers and 3,181 for non-lease customers. In response to changes in customer demand, our Railcar segment continues to adjust production rates at its railcar manufacturing facilities.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Total manufacturing revenues for the three months ended September 30, 2016 increased by $2 million (2%) over the comparable prior year period. The increase was primarily due to a higher volume of shipments to non-leasing customers offset in part by an overall decrease in the average selling prices with a higher mix of hopper railcars, which generally sell at lower prices than tank railcars due to less material and labor content, more competitive pricing on both hopper and tank railcars and a decrease in revenue from certain material cost changes that ARI generally passes through to its customers.</w:t>
      </w:r>
    </w:p>
    <w:p>
      <w:pPr>
        <w:spacing w:after="0" w:line="4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Gross margin from manufacturing operations for the three months ended September 30, 2016 decreased to $8 million from $23 million as compared to the comparable prior year period. Gross margin from manufacturing operations as a percentage of manufacturing revenues decreased to 9% for the three months ended September 30, 2016 from 25% as compared to the corresponding prior year period. The decrease in gross margin percentage over the respective period was primarily due to loss contingency related to a certain Federal Railroad Administration ("FRA") directive recorded during the third quarter of 2016, as discussed elsewhere in this Report, and to a higher mix of hopper railcar shipments, which generally sell at lower prices than tank railcars due to less material and labor content, in addition to more competitive pricing of both railcar types. See Note 17, "Commitments and Contingencies - Railcar," for further discussion regarding the FRA directive.</w:t>
      </w:r>
    </w:p>
    <w:p>
      <w:pPr>
        <w:spacing w:after="0" w:line="81"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Railcar leasing revenues increased by $6 million (5%) for the three months ended September 30, 2016 as compared to the corresponding prior year period due to an increase in number of railcars leased to customers and a slight increase in the average lease rate. The lease fleet grew to 45,481 railcars at September 30, 2016 from 44,608 railcars at September 30,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Total manufacturing revenues for the nine months ended September 30, 2016 increased by $34 million (12%) over the comparable prior year period. The increase was primarily due to a higher volume of shipments to non-leasing customers, an overall decrease in the average selling prices with a higher mix of hopper railcars, which generally sell at lower prices than tank railcars due to less material and labor content, more competitive pricing on both hopper and tank railcars and a decrease in revenue from certain material cost changes that ARI generally passes through to its customers.</w:t>
      </w:r>
    </w:p>
    <w:p>
      <w:pPr>
        <w:spacing w:after="0" w:line="46"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Gross margin from manufacturing operations for the nine months ended September 30, 2016 decreased to $45 million from $73 million as compared to the comparable prior year period. Gross margin from manufacturing operations as a percentage of manufacturing revenues decreased to 14% for the nine months ended September 30, 2016 from 26% in the corresponding prior year period. The decrease in gross margin percentage over the respective period was primarily due to a loss contingency related to a certain FRA directive recorded during the third quarter of 2016, as discussed elsewhere in this Report, and to a higher mix of hopper railcar shipments, which generally sell at lower prices than tank railcars due to less material and labor content, in addition to more competitive pricing of both railcar types. See Note 17, "Commitments and Contingencies - Railcar," for further discussion regarding the FRA directive.</w:t>
      </w:r>
    </w:p>
    <w:p>
      <w:pPr>
        <w:spacing w:after="0" w:line="57"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Railcar leasing revenues increased by $29 million (9%) for the nine months ended September 30, 2016 as compared to the corresponding prior year period due to an increase in number of railcars leased to customers and a slight increase in the average lease rate. The lease fleet grew to 45,481 railcars at September 30, 2016 from 44,608 railcars at September 30,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conduct our Gaming segment through our majority ownership in Tropicana and our wholly owned subsidiary, Trump Entertainment Resorts, Inc. (“Trump”) which owns Trump Taj Mahal Casino Resort ("Trump Taj Mahal"). As discussed further in Note 1, "Description of Business and Basis of Presentation - Acquisitions of Businesses," we obtained control and consolidated the results of Trump upon its emergence from bankruptcy on February 26, 2016. Trump Taj Mahal is located in Atlantic City, New Jersey. Trump Taj Mahal added approximately 160,000 square feet of gaming space with 2,500 slot machines, 130 table games and 2,000 hotel rooms to our existing gaming operations. Trump Taj Mahal closed and ceased its casino and hotel operations on October 10, 2016.</w:t>
      </w:r>
    </w:p>
    <w:p>
      <w:pPr>
        <w:spacing w:after="0" w:line="85"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condensed consolidated financial statements.</w:t>
      </w:r>
    </w:p>
    <w:p>
      <w:pPr>
        <w:spacing w:after="0" w:line="62" w:lineRule="exact"/>
        <w:rPr>
          <w:sz w:val="20"/>
          <w:szCs w:val="20"/>
          <w:color w:val="auto"/>
        </w:rPr>
      </w:pPr>
    </w:p>
    <w:p>
      <w:pPr>
        <w:jc w:val="both"/>
        <w:ind w:right="380" w:firstLine="405"/>
        <w:spacing w:after="0" w:line="286" w:lineRule="auto"/>
        <w:rPr>
          <w:sz w:val="20"/>
          <w:szCs w:val="20"/>
          <w:color w:val="auto"/>
        </w:rPr>
      </w:pPr>
      <w:r>
        <w:rPr>
          <w:rFonts w:ascii="Arial" w:cs="Arial" w:eastAsia="Arial" w:hAnsi="Arial"/>
          <w:sz w:val="17"/>
          <w:szCs w:val="17"/>
          <w:color w:val="auto"/>
        </w:rPr>
        <w:t>Casino revenues are one of our gaming segment's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increase in casino revenues for the three months ended September 30, 2016 as compared to the comparable prior year period was primarily due to an increase in consolidated gaming volumes of 22.2%, primarily due to the inclusion of results from Trump upon its emergence from bankruptcy on February 26, 2016, coupled with higher gaming volumes and table hold percentage at Tropicana Casino and Resort, Atlantic City ("Tropicana AC") in the third quarter of 2016 as compared to 2015. Our Gaming segment's consolidated slot hold percentage was 9.6% and 9.7% for the three months ended September 30, 2016 and 2015, respectively. Our Gaming segment's consolidated table game hold percentage was 18.8% and 15.6% for the three months ended September 30, 2016 and 2015, respectively.</w:t>
      </w:r>
    </w:p>
    <w:p>
      <w:pPr>
        <w:spacing w:after="0" w:line="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Revenues from rooms increased for the three months ended September 30, 2016 as compared to the corresponding prior year period, primarily due to the inclusion of results from the Trump casino upon its emergence from bankruptcy on February 26, 2016. The average daily room rate and occupancy across all of our Gaming segment's properties were $95 and 73%, respectively, for the three months ended September 30, 2016 as compared to $94 and 76%, respectively, for the comparable prior year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increase in casino revenues for the nine months ended September 30, 2016 as compared to the comparable prior year period was primarily due to an increase in consolidated gaming volumes of 20.2%, primarily due to the inclusion of results from Trump upon its emergence from bankruptcy on February 26, 2016, coupled with higher gaming volumes and table hold percentage at Tropicana AC and Tropicana Evansville. Our Gaming segment's consolidated slot hold percentage was flat at 9.6% for the nine months ended September 30, 2016 as compared to the corresponding prior year period. Our Gaming segment's consolidated table game hold percentage was 18.4% and 16.5% for the nine months ended September 30, 2016 and 2015, respectively.</w:t>
      </w:r>
    </w:p>
    <w:p>
      <w:pPr>
        <w:spacing w:after="0" w:line="5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Revenues from rooms increased for the nine months ended September 30, 2016 as compared to the corresponding prior year period, primarily due to the inclusion of results from the Trump casino upon its emergence from bankruptcy on February 26, 2016. The average daily room rate and occupancy across all of our Gaming segment's properties were $89 and 70%, respectively, for the nine months ended September 30, 2016 as compared to $86 and 72%, respectively, for the comparable prior year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conduct our Mining segment through Ferrous Resources Limited ("Ferrous Resources"), which we consolidated during the second quarter of 2015.</w:t>
      </w:r>
    </w:p>
    <w:p>
      <w:pPr>
        <w:spacing w:after="0" w:line="14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our Mining segment, the key performance driver has historically been from demand for raw materials from Chinese steelmakers. Since acquiring Ferrous Resources during the second quarter of 2015, our Mining segment has been concentrating on sales in its domestic market, Brazil, where the best margins are being captured. Although international iron ore prices have slightly improved to an average of $59 per metric ton during the third quarter of 2016, our Mining segment expects the remainder of 2016 to be challenging for the steel industry as it contends with slowing growth, overcapacity and increased competition.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Net sales for the three months ended September 30, 2016 and 2015 was $18 million and $12 million, respectively. Cost of goods sold for the three months ended September 30, 2016 and 2015 was $13 million and $14 million, respectively.</w:t>
      </w:r>
    </w:p>
    <w:p>
      <w:pPr>
        <w:spacing w:after="0" w:line="62"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During the three months ended September 30, 2016 and 2015, our Mining segment sold approximately 0.9 million and 0.8 million metric tons, respectively, of iron ore with an average sales price of $21 and $18 per metric ton, respectively.</w:t>
      </w:r>
    </w:p>
    <w:p>
      <w:pPr>
        <w:spacing w:after="0" w:line="62" w:lineRule="exact"/>
        <w:rPr>
          <w:sz w:val="20"/>
          <w:szCs w:val="20"/>
          <w:color w:val="auto"/>
        </w:rPr>
      </w:pPr>
    </w:p>
    <w:p>
      <w:pPr>
        <w:ind w:right="1680" w:firstLine="405"/>
        <w:spacing w:after="0" w:line="375" w:lineRule="auto"/>
        <w:rPr>
          <w:sz w:val="20"/>
          <w:szCs w:val="20"/>
          <w:color w:val="auto"/>
        </w:rPr>
      </w:pPr>
      <w:r>
        <w:rPr>
          <w:rFonts w:ascii="Arial" w:cs="Arial" w:eastAsia="Arial" w:hAnsi="Arial"/>
          <w:sz w:val="18"/>
          <w:szCs w:val="18"/>
          <w:color w:val="auto"/>
        </w:rPr>
        <w:t xml:space="preserve">Our Mining segment continues to evaluate the best alternatives to sell its products in light of the challenging markets for iron ore. </w:t>
      </w:r>
      <w:r>
        <w:rPr>
          <w:rFonts w:ascii="Arial" w:cs="Arial" w:eastAsia="Arial" w:hAnsi="Arial"/>
          <w:sz w:val="18"/>
          <w:szCs w:val="18"/>
          <w:i w:val="1"/>
          <w:iCs w:val="1"/>
          <w:u w:val="single" w:color="auto"/>
          <w:color w:val="auto"/>
        </w:rPr>
        <w:t>Nine Months Ended September 30, 2016 and 2015</w:t>
      </w:r>
    </w:p>
    <w:p>
      <w:pPr>
        <w:spacing w:after="0" w:line="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sales for the nine months ended September 30, 2016 and the period June 1, 2015 through September 30, 2015 was $49 million and $18 million, respectively. Cost of goods sold for the nine months ended September 30, 2016 and the period June 1, 2015 through September 30, 2015 was $43 million and $20 million, respectively. As a result of our acquisition of Ferrous Resources in the second quarter of 2015, the comparable prior year period results only include results in consolidation for the four months ended September 30, 2015.</w:t>
      </w:r>
    </w:p>
    <w:p>
      <w:pPr>
        <w:spacing w:after="0" w:line="79"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During the nine months ended September 30, 2016 and the period June 1, 2015 through September 30, 2015, our Mining segment sold approximately 2.8 million and 1.1 million metric tons, respectively, of iron ore with an average sales price of $17 and $19 per metric ton,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We conduct our Food Packaging segment through our majority ownership in Viskase Companies, Inc. ("Viskase"). Viskase currently operates nine manufacturing facilities and six distribution centers throughout North America, Europe, South America and Asia and derives approximately 70% of its total net sales from customers located outside the United States during the three months ended September 30,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580" w:firstLine="405"/>
        <w:spacing w:after="0" w:line="342" w:lineRule="auto"/>
        <w:rPr>
          <w:sz w:val="20"/>
          <w:szCs w:val="20"/>
          <w:color w:val="auto"/>
        </w:rPr>
      </w:pPr>
      <w:r>
        <w:rPr>
          <w:rFonts w:ascii="Arial" w:cs="Arial" w:eastAsia="Arial" w:hAnsi="Arial"/>
          <w:sz w:val="16"/>
          <w:szCs w:val="16"/>
          <w:color w:val="auto"/>
        </w:rPr>
        <w:t>Net sales for the three months ended September 30, 2016 decreased by $5 million (6%) as compared to the corresponding prior year period. The decrease was primarily due to lower sales volume and unfavorable price and product mix, offset in part by favorable foreign currency translation.</w:t>
      </w:r>
    </w:p>
    <w:p>
      <w:pPr>
        <w:spacing w:after="0" w:line="16"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Cost of goods sold for the three months ended September 30, 2016 decreased by $7 million (10%) as compared to the corresponding prior year period. Gross margin as a percentage of net sales was 25% and 21% for each of the three months ended September 30, 2016 and 2015, respectively. The improvement in gross margin as a percentage of net sales over the comparable period was primarily due to efficiencies from improved plant performance.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540" w:firstLine="405"/>
        <w:spacing w:after="0" w:line="308" w:lineRule="auto"/>
        <w:rPr>
          <w:sz w:val="20"/>
          <w:szCs w:val="20"/>
          <w:color w:val="auto"/>
        </w:rPr>
      </w:pPr>
      <w:r>
        <w:rPr>
          <w:rFonts w:ascii="Arial" w:cs="Arial" w:eastAsia="Arial" w:hAnsi="Arial"/>
          <w:sz w:val="17"/>
          <w:szCs w:val="17"/>
          <w:color w:val="auto"/>
        </w:rPr>
        <w:t>Net sales for the nine months ended September 30, 2016 decreased by $19 million (7%) as compared to the corresponding prior year period. The decrease was primarily due to lower sales volume, unfavorable price and product mix and unfavorable foreign currency translation.</w:t>
      </w:r>
    </w:p>
    <w:p>
      <w:pPr>
        <w:spacing w:after="0" w:line="38"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Cost of goods sold for the nine months ended September 30, 2016 decreased by $16 million (8%) as compared to the corresponding prior year period. Gross margin as a percentage of net sales was 24% and 23% for the nine months ended September 30, 2016 and 2015, respectively. The slight improvement in gross margin as a percentage of net sales over the comparable period was primarily due to efficiencies from plant performance.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Real Estate revenues and expenses include results from club operations, sales of residential units and rental income and expenses, including income from financing leases. Sales of residential units are included in net sales in our condensed consolidated financial statements. Results from club and rental operations, including financing lease income, are included in other revenues from operations in our condensed consolidated financial statements. Revenue from our real estate operations for each of the three and nine months ended September 30, 2016 and 2015 were substantially derived from income from club and rental operations. During 2015, our Real Estate segment sold certain assets, primarily within its rental operations, contributing to a decrease in other revenues from operations during 2016.</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The business of WPH is significantly influenced by the overall economic environment, including consumer spending, at the retail level, for home textile products. Many of the larger retailers are customers of WPH. WPH has a stable manufacturing platform and is focused on continued improvement in its cost structure through the use of certain process improvement initiatives. WPH is actively negotiating acquisitions and will continue to focus on acquiring assets that will expand or supplement the manufacturing capabilities, product and brand offerings that align with WPH’s core home textile expertise.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Net sales for the three months ended September 30, 2016 flat at $48 million as compared to the comparable prior year period. Cost of goods sold for the three months ended September 30, 2016 increased by $1 million (2%) compared to the comparable prior year period. The increase was primarily due to sales mix. Gross margin as a percentage of net sales was 13% for the three months ended September 30, 2016 as compared to 15% for the comparable prior year period. The decrease in gross margin as a percentage of net sales was primarily due to sales mix with programs and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sales for the nine months ended September 30, 2016 increased by $4 million (3%) compared to the comparable prior year period. The increase was primarily due to an increase in sales volume. Cost of goods sold for the nine months ended September 30, 2016 increased by $4 million (3%) compared to the comparable prior year period. The increase was primarily due to higher sales volume and mix. Gross margin as a percentage of net sales was 14% for each of the nine months ended September 30, 2016 and 2015.</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76"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Holding Company had a net gain of $1 million from investment activities for each of the three months ended September 30, 2016 and 2015. The Holding Company had a net gain from investment activities of $10 million for the nine months ended September 30, 2016 compared to a net loss from investment activities of $31 million in the comparable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(Loss),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consolidated other income (loss), net for the three months ended September 30, 2016 and 2015 was $13 million and $37 million, respectively. For the three months ended September 30, 2016 and 2015, our Energy segment recorded net (losses) gains on certain derivative contracts of $(2) million and $12 million, respectively. See Note 6, "Financial Instruments," to the condensed consolidated financial statements for further discussion. During the three months ended September 30, 2016 and 2015, net (losses) gains on disposition of assets were $(1) million and $19 million, respectively, primarily from our Real Estate segment which sold certain assets in 2015 within its club and rental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Our consolidated other income (loss), net for the nine months ended September 30, 2016 and 2015 was $53 million and $29 million, respectively. For the nine months ended September 30, 2016 and 2015, our Energy segment recorded net losses on certain derivative contracts of $5 million and $52 million, respectively. See Note 6, "Financial Instruments," to the condensed consolidated financial statements for further discussion. During the three months ended September 30, 2016 and 2015, net gains on disposition of assets were $10 million and $39 million, respectively, primarily from our Real Estate segment which sold certain assets in 2015 within its club and rental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Our consolidated selling, general and administrative for the three months ended September 30, 2016 increased by $185 million (44%) as compared to the comparable prior year period. The increase was primarily attributable to an increase from our Automotive segment of $113 million primarily due to the inclusion of the acquisitions of Pep Boys in February 2016 and an increase of $34 million from our Gaming segment primarily due to the inclusion of Trump casino upon its emergence from bankruptcy on February 26, 2016, coupled with an increase of $45 million from our Investment segment due to an increase of compensation expense related to a certain fund performance over the respective periods.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consolidated selling, general and administrative for the nine months ended September 30, 2016 increased by $313 million (22%) as compared to the comparable prior year period. The increase was primarily attributable to an increase from our Automotive segment of $409 million primarily due to the inclusion of the acquisitions of Pep Boys in February 2016 and IEH Auto in the second quarter of 2015 and an increase of $76 million from our Gaming segment primarily due to the inclusion of Trump casino upon its emergence from bankruptcy on February 26, 2016, offset in part by a decrease of $178 million from our Investment segment due to a decrease of compensation expense related to a certain fund performance over the respective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consolidated restructuring costs were $8 million and $18 million for three months ended September 30, 2016 and 2015, respectively, which were primarily attributable to our Automotive segment. These restructuring charges, primarily consisting of employee costs and headcount reductions, pertain to all restructuring programs that Federal-Mogul has initiated in order to improve its operating performance.</w:t>
      </w:r>
    </w:p>
    <w:p>
      <w:pPr>
        <w:spacing w:after="0" w:line="73"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Federal-Mogul's restructuring expenses for the nine months ended September 30,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charges of approximately $4 million.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76"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Our consolidated restructuring costs were $29 million and $57 million for nine months ended September 30, 2016 and 2015, respectively, which were primarily attributable to our Automotive segment. These restructuring charges, primarily consisting of employee costs and headcount reductions, pertain to all restructuring programs that Federal-Mogul has initiated in order to improve its operating performance.</w:t>
      </w:r>
    </w:p>
    <w:p>
      <w:pPr>
        <w:spacing w:after="0" w:line="73"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Federal-Mogul's restructuring expenses for the nine months ended September 30, 2016 are aimed at optimizing its cost structure. Federal-Mogul expects to complete these programs in 2017 and incur additional restructuring and other charges of approximately $1 million. For programs previously initiated in prior periods, Federal-Mogul expects to complete these programs in 2018 and incur additional restructuring charges of approximately $4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consolidated impairment charges increased by $87 million for three months ended September 30, 2016 as compared to the comparable prior year period, which were primarily attributable to our Gaming segment. As a result of the Trump Taj Mahal's closing on October 10, 2016, we recorded an aggregate impairment charge of $92 million for the three months ended September 30, 2016 related to property, plant and equipment and intangible assets for our Gaming segment. See Note 5, "Fair Value Measurements,"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consolidated impairment charges increased by $660 million for nine months ended September 30, 2016 as compared to the comparable prior year period, which were primarily attributable to our Energy and Gaming segments. We recorded a goodwill impairment charge of $574 million related to our Energy segment for the nine months ended September 30, 2016. In addition, as a result of the Trump Taj Mahal's closing on October 10, 2016, we recorded an aggregate impairment charge of $92 million for the nine months ended September 30, 2016 related to property, plant and equipment and intangible assets for our Gaming segment. See Note 5, "Fair Value Measurements," and Note 8, "Goodwill and Intangible Assets, Net," for further discussion.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Our consolidated interest expense during the three months ended September 30, 2016 decreased by $74 million (25%) as compared to the corresponding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rates on borrowings under revolving credit facilities over the respective periods and the inclusion of interest from the acquisition of Pep Boys in February 2016, as well as higher interest from our Energy segment due to a certain debt offering during the second quarter of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Our consolidated interest expense during the nine months ended September 30, 2016 decreased by $188 million (22%) as compared the corresponding prior year period. The decrease was primarily due to lower interest expense from our Investment segment attributable to a decrease in due to broker balances over the respective periods, offset in part by higher interest expense from our Automotive segment due to higher interest rates on borrowings under revolving credit facilities over the respective periods and the inclusion of interest from the acquisitions of Pep Boys in February 2016 and IEH Auto in the second quarter of 2015, higher interest from our Energy segment due to a certain debt offering during the second quarter of 2016, as well as higher interest from our Railcar segment due to higher debt balances over the respective periods.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2016 and 2015</w:t>
      </w:r>
    </w:p>
    <w:p>
      <w:pPr>
        <w:spacing w:after="0" w:line="117" w:lineRule="exact"/>
        <w:rPr>
          <w:sz w:val="20"/>
          <w:szCs w:val="20"/>
          <w:color w:val="auto"/>
        </w:rPr>
      </w:pPr>
    </w:p>
    <w:p>
      <w:pPr>
        <w:jc w:val="both"/>
        <w:ind w:right="440" w:firstLine="405"/>
        <w:spacing w:after="0" w:line="312" w:lineRule="auto"/>
        <w:rPr>
          <w:sz w:val="20"/>
          <w:szCs w:val="20"/>
          <w:color w:val="auto"/>
        </w:rPr>
      </w:pPr>
      <w:r>
        <w:rPr>
          <w:rFonts w:ascii="Arial" w:cs="Arial" w:eastAsia="Arial" w:hAnsi="Arial"/>
          <w:sz w:val="16"/>
          <w:szCs w:val="16"/>
          <w:color w:val="auto"/>
        </w:rPr>
        <w:t>For the three months ended September 30, 2016, each of Icahn Enterprises and Icahn Enterprises Holdings recorded an income tax expense of $15 million on pre-tax income of $253 million compared to an income tax expense of $22 million on pre-tax loss of $918 million for the three months ended September 30, 2015. Our effective income tax rate was 5.9% and (2.4)% for the three months ended September 30, 2016 and 2015, respectively.</w:t>
      </w:r>
    </w:p>
    <w:p>
      <w:pPr>
        <w:spacing w:after="0" w:line="3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months ended September 30, 2016, the effective tax rate was lower than the statutory federal rate of 35%, primarily due to partnership income not subject to taxation, as such income is allocated to the partners.</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For the three months ended September 30, 2015, the effective tax rate was lower than the statutory federal rate of 35%, primarily due to partnership losses for which there was no tax benefit, as such taxes are the responsibility of the partners.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auto"/>
        </w:rPr>
        <w:t>Nine Months Ended September 30, 2016 and 2015</w:t>
      </w:r>
    </w:p>
    <w:p>
      <w:pPr>
        <w:spacing w:after="0" w:line="117"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For the nine months ended September 30, 2016, each of Icahn Enterprises and Icahn Enterprises Holdings recorded an income tax expense of $81 million on pre-tax loss of approximately $1.6 billion compared to an income tax expense of $184 million on pre-tax income of $207 million for the nine months ended September 30, 2015. Our effective income tax rate was (5.1)% and 88.9% for the nine months ended September 30, 2016 and 2015, respectively.</w:t>
      </w:r>
    </w:p>
    <w:p>
      <w:pPr>
        <w:spacing w:after="0" w:line="79"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For the nine months ended September 30, 2016, the effective tax rate was lower than the statutory federal rate of 35%, primarily due to partnership losses for which there was no tax benefit, as such losses are allocated to the partners, and goodwill impairment not deductible for tax purposes.</w:t>
      </w:r>
    </w:p>
    <w:p>
      <w:pPr>
        <w:spacing w:after="0" w:line="1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For the nine months ended September 30, 2015, the effective tax rate was higher than the statutory federal rate of 35%, primarily due to partnership losses not subject to taxation, as such taxes are the responsibility of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2016, the Holding Company had investments in the Investment Funds with a total fair market value of approximately $1.8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our Holding Company had cash and cash equivalents of $192 million and total debt of approximately $5.5 billion.</w:t>
      </w:r>
    </w:p>
    <w:p>
      <w:pPr>
        <w:spacing w:after="0" w:line="103"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As of September 30, 2016, based on covenants in the indenture governing our senior notes, we are not permitted to incur additional indebtedness. See Note 10, “Debt,” to the condensed consolidated financial statements for additional information concerning credit facilities for us and our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On February 23, 2016, Icahn Enterprises declared a quarterly distribution in the amount of $1.50 per depositary unit in which each depositary unit holder had the option to make an election to receive either cash or additional depositary units. As a result, on April 12, 2016, Icahn Enterprises distributed an aggregate 2,824,186 depositary units to unit holders electing to receive depositary units in connection with this distribution.</w:t>
      </w:r>
    </w:p>
    <w:p>
      <w:pPr>
        <w:spacing w:after="0" w:line="57"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On April 29, 2016, Icahn Enterprises declared a quarterly distribution in the amount of $1.50 per depositary unit in which each depositary unit holder had the option to make an election to receive either cash or additional depositary units. As a result, on June 16, 2016, Icahn Enterprises distributed an aggregate 3,116,976 depositary units to unit holders electing to receive depositary units in connection with this distribution.</w:t>
      </w:r>
    </w:p>
    <w:p>
      <w:pPr>
        <w:spacing w:after="0" w:line="57"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color w:val="auto"/>
        </w:rPr>
        <w:t>On August 3, 2016, Icahn Enterprises declared a quarterly distribution in the amount of $1.50 per depositary unit in which each depositary unit holder had the option to make an election to receive either cash or additional depositary units. As a result, on September 19, 2016, Icahn Enterprises distributed an aggregate 3,586,029 depositary units to unit holders electing to receive depositary units in connection with this distribution.</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November 1, 2016, the Board of Directors of the general partner of Icahn Enterprises declared a quarterly distribution in the amount of $1.50 per depositary unit, which will be paid on or about December 19, 2016 to depositary unit holders of record at the close of business on November 14, 2016. Depositary unit holders have until December 7, 2016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5 consecutive trading days ending December 14, 2016.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Debt consists of the following:</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5.875% senior unsecured notes due 2022 - Icahn Enterprises/Icahn Enterprises Holdings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6.00% senior unsecured notes due 2020 - Icahn Enterprises/Icahn Enterprises Holdings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unsecured notes due 2019 - Icahn Enterprises/Icahn Enterprises Holdings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3.50% senior unsecured notes due 2017 - Icahn Enterprises/Icahn Enterprises Holdings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Automotive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 - Food Packaging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Refer to our Annual Report on Form 10-K for the year ended December 31, 2015 for information concerning terms, restrictions and covenants pertaining to our debt. See Note 10, “Debt,” to the condensed consolidated financial statements in this Report for information with respect to updates on our debt at September 30, 2016 compared to December 31, 2015. As of September 30, 2016, we are in compliance with all debt covenants.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260" w:firstLine="378"/>
        <w:spacing w:after="0" w:line="342" w:lineRule="auto"/>
        <w:rPr>
          <w:sz w:val="20"/>
          <w:szCs w:val="20"/>
          <w:color w:val="auto"/>
        </w:rPr>
      </w:pPr>
      <w:r>
        <w:rPr>
          <w:rFonts w:ascii="Arial" w:cs="Arial" w:eastAsia="Arial" w:hAnsi="Arial"/>
          <w:sz w:val="16"/>
          <w:szCs w:val="16"/>
          <w:color w:val="auto"/>
        </w:rPr>
        <w:t>Other than certain debt transactions as described below for our Automotive, Energy and Railcar segments, there have been no material changes to our contractual commitments and contingencies as compared to those reported in our Annual Report on Form 10-K for the year ended December 31, 2015</w:t>
      </w:r>
      <w:r>
        <w:rPr>
          <w:rFonts w:ascii="Arial" w:cs="Arial" w:eastAsia="Arial" w:hAnsi="Arial"/>
          <w:sz w:val="16"/>
          <w:szCs w:val="16"/>
          <w:b w:val="1"/>
          <w:bCs w:val="1"/>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cash flow information for the nine months ended September 30, 2016 and cash and cash equivalents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for Icahn Enterprises' operating segments and the Holding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1"/>
              </w:rPr>
              <w:t>Net Cash Provided By (Used In)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Operating</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Investing</w:t>
            </w:r>
          </w:p>
        </w:tc>
        <w:tc>
          <w:tcPr>
            <w:tcW w:w="3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Activities</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Activities</w:t>
            </w: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Activities</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Metals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Gaming</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Packaging</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Home Fashion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 Company</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2,002</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Cash provided by operating activities during the nine months ended September 30, 2016 was primarily attributable to our Investment segment due to net cash provided by investment transactions. Additionally, our Energy and Railcar segments had net cash provided by operating activities primarily due to earnings before non-cash charges. Our Automotive segment also had net cash provided by operating activities due to earnings before non-cash charges offset in part by decreases in working capital. The Holding Company had net cash used in operating activities primarily due to interest payments on our senior unsecured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Cash used in investing activities during the nine months ended September 30, 2016 was primarily due to our acquisition of Pep Boys by the Holding Company as well as our Energy segment's acquisition of CVR Nitrogen. Additionally, our Railcar segment had capital expenditures of $104 million, of which $88 million was for the manufacture or purchase of railcars for its leasing operations, and our Automotive and Energy segments had capital expenditures of $306 million and $106 million, respectively. Additionally, the Holding Company had purchases of investments of $67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Cash provided from financing activities during the nine months ended September 30, 2016 was primarily due to our Investment segment which received net contributions from affiliates of Mr. Icahn of $498 million. This was offset in part by payments of distributions to our LP unitholders and payments of dividends and distributions to non-controlling interests in certain of our subsidiaries.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have been no material changes to our capital expenditures during the nine months ended September 30, 2016 as compared to the estimated capital expenditures for 2016 as reported in our Annual Report on Form 10-K for the year ended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As of September 30, 2016, the Investment Funds' net notional exposure was -138%. The Investment Funds' long exposure was 165% (157% long equity and 8% long credit) and the Investment Funds' short exposure was 303% (286% short equity, 17% short credit and other). The notional exposure represents the ratio of the notional exposure of the Investment Funds' invested capital to the net asset value of the Investment Funds at September 30, 2016.</w:t>
      </w:r>
    </w:p>
    <w:p>
      <w:pPr>
        <w:spacing w:after="0" w:line="39" w:lineRule="exact"/>
        <w:rPr>
          <w:sz w:val="20"/>
          <w:szCs w:val="20"/>
          <w:color w:val="auto"/>
        </w:rPr>
      </w:pPr>
    </w:p>
    <w:p>
      <w:pPr>
        <w:ind w:right="20" w:firstLine="378"/>
        <w:spacing w:after="0" w:line="342" w:lineRule="auto"/>
        <w:rPr>
          <w:sz w:val="20"/>
          <w:szCs w:val="20"/>
          <w:color w:val="auto"/>
        </w:rPr>
      </w:pPr>
      <w:r>
        <w:rPr>
          <w:rFonts w:ascii="Arial" w:cs="Arial" w:eastAsia="Arial" w:hAnsi="Arial"/>
          <w:sz w:val="16"/>
          <w:szCs w:val="16"/>
          <w:color w:val="auto"/>
        </w:rPr>
        <w:t>Of our long exposure of 165%, the fair value of our long positions (with certain adjustments) represented 158% of our long exposure. The notional value of our other long positions, which primarily included single name equity forward contracts and credit contracts, represented 7% of our long exposure.</w:t>
      </w:r>
    </w:p>
    <w:p>
      <w:pPr>
        <w:spacing w:after="0" w:line="16"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Of our short exposure of 303%, the fair value of our short positions represented 21% of our short exposure. The notional value of our other short positions, which primarily included short credit default swap contracts and short broad market index swap derivative contracts, represented 282% of our short exposure.</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(158% long exposure) and our short positions that are not notionalized (21%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(282%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During the first quarter of 2016, Federal-Mogul increased its borrowing capacity under a certain revolving credit facility (the "Federal-Mogul Replacement Revolver Facility") by $50 million to $600 million. As of September 30, 2016, the outstanding balance on the Federal-Mogul Replacement Revolver Facility was $390 million. As of September 30, 2016, the borrowing availability under the Federal-Mogul Replacement Revolver Facility was $173 million. Federal-Mogul had $37 million of letters of credit outstanding as of September 30, 2016 pertaining to the Federal-Mogul Replacement Revolver Facility. As of September 30, 2016, Federal-Mogul had an aggregate availability of $210 million with respect to its consolidated revolving credit facilities.</w:t>
      </w:r>
    </w:p>
    <w:p>
      <w:pPr>
        <w:spacing w:after="0" w:line="50"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 xml:space="preserve">Federal-Mogul's subsidiaries in Brazil, France, Germany, Italy, Canada and the United States are party to accounts receivable factoring and securitization facilities. Gross accounts receivable transferred under these facilities were $519 million and $408 million as of September 30, 2016 and December 31, 2015, respectively. Of those gross amounts, $510 million and $401 million, respectively, qualify as sales as defined in FASB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The remaining transferred receivables were pledged as collateral and accounted for as secured borrowings and recorded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balance sheets within accounts receivable, net and debt. Under the terms of these facilities, Federal-Mogul is not obligated to draw cash immediately upon the transfer of accounts receivable. As of both September 30, 2016 and December 31, 2015, Federal-Mogul had withdrawn cash related to such transferred receivables of $1 million. Proceeds from the transfers of accounts receivable qualifying as sales were approximately $1.2 billion and $1.2 billion for the nine months ended September 30, 2016 and 2015, respectively.</w:t>
      </w:r>
    </w:p>
    <w:p>
      <w:pPr>
        <w:spacing w:after="0" w:line="7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On August 16, 2016, IEP Auto Holdings LLC ("IEP Auto"), a wholly owned subsidiary of ours and parent company of IEH Auto and Pep Boys, executed a new loan and security agreement (the “IEP Auto Credit Facility”) providing for borrowings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9" w:name="page80"/>
    <w:bookmarkEnd w:id="79"/>
    <w:p>
      <w:pPr>
        <w:ind w:right="60"/>
        <w:spacing w:after="0" w:line="259" w:lineRule="auto"/>
        <w:rPr>
          <w:sz w:val="20"/>
          <w:szCs w:val="20"/>
          <w:color w:val="auto"/>
        </w:rPr>
      </w:pPr>
      <w:r>
        <w:rPr>
          <w:rFonts w:ascii="Arial" w:cs="Arial" w:eastAsia="Arial" w:hAnsi="Arial"/>
          <w:sz w:val="18"/>
          <w:szCs w:val="18"/>
          <w:color w:val="auto"/>
        </w:rPr>
        <w:t>of up to $675 million. A portion of the proceeds from the new IEP Auto Credit Facility was used to repay in full both the IEH Auto Revolving Credit Facility and Pep Boys Revolving Credit Facility (each as defined and discussed below). In addition, the IEP Auto Credit Facility replaced the both the IEH Auto Revolving Credit Facility and Pep Boys Revolving Credit Facility. See Note, 10, "Debt - Automotive," for further discussion regarding the new IEP Auto Credit Facility.</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September 30, 2016, IEP Auto had an aggregate $225 million outstanding under the IEP Auto Credit Facility. As of September 30, 2016, there was $43 million in letters of credit outstanding with respect to the IEP Auto Credit Facility. To the extent letters of credit associated with the IEP Auto Credit Facility are issued, there will be a corresponding decrease in borrowings available under this facility. As of September 30, 2016, taking into account the borrowing base requirements (including reduction for amounts outstanding under the trade payable program), there was $129 million of availability under the IEP Auto Credit Facility.</w:t>
      </w:r>
    </w:p>
    <w:p>
      <w:pPr>
        <w:spacing w:after="0" w:line="80"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On November 25, 2015, IEH Auto entered into a senior secured asset based revolving credit facility (the "IEH Auto Revolving Credit Facility") for $125 million. On January 25, 2016, the IEH Auto Credit Facility was amended and restated to increase the revolver commitments to $210 million. As discussed above, the IEH Auto Revolving Credit Facility was paid in full from a portion of the proceeds from the IEP Auto Credit Facility and terminated during the third quarter of 2016.</w:t>
      </w:r>
    </w:p>
    <w:p>
      <w:pPr>
        <w:spacing w:after="0" w:line="79"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Pep Boys had a revolving credit agreement (the "Pep Boys Revolving Credit Facility") providing for borrowings of up to $300 million, with an original maturity date of July 26, 2016. The maturity date of this revolving credit agreement was extended to October 24, 2016. As discussed above, the Pep Boys Revolving Credit Facility was paid in full from a portion of the proceeds from the IEP Auto Credit Facility and terminated during the third quarter of 2016.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As of September 30, 2016, Coffeyville Resources, LLC had availability under the Amended and Restated ABL Credit Facility of $323 million and had letters of credit outstanding of $28 million. There were no borrowings outstanding under the ABL Credit Facility as of September 30, 2016. Availability under the Amended and Restated ABL Credit Facility was limited by borrowing base conditions as of September 30, 2016.</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September 30, 2016, CVR Partners entered into a senior secured asset based revolving credit facility (the "CVR Partners Credit Facility") providing for availability of up to $50 million with an incremental facility, which permits an increase in borrowings of up to $25 million in the aggregate subject to additional lender commitments and certain other conditions. As of September 30, 2016, CVR Partners and its subsidiaries had availability under the CVR Partners Credit Facility of $48 million. There were no borrowings outstanding under the CVR Partners Credit Facility as of September 30, 2016. See Note 10, "Debt - Energy," for further discussion regarding this transaction.</w:t>
      </w:r>
    </w:p>
    <w:p>
      <w:pPr>
        <w:spacing w:after="0" w:line="80"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On June 10, 2016, CVR Partners completed a private offering of $645 million aggregate principal amount of 9.250% senior secured notes due 2023. Additionally, during the second quarter of 2016, CVR Partners repurchased approximately $315 million of its 6.5% notes due 2021 pursuant to a certain tender offer and a change of control offer. See Note 10, "Debt - Energy," for further discussion regarding these transactions.</w:t>
      </w:r>
    </w:p>
    <w:p>
      <w:pPr>
        <w:spacing w:after="0" w:line="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nine months ended September 30, 2016, we received $107 million in dividends from CVR. Subsequent to September 30, 2016, CVR declared a quarterly dividend, which will result in an additional $36 million in dividends paid to us in the fourth quarter of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In December 2015, ARI completed a financing of its railcar lease fleet with availability of up to $200 million under a credit agreement (the "ARI 2015 Credit Agreement"). The ARI 2015 Credit Agreement contains an incremental borrowing provision under which ARI, as debtor and subject to the conditions set forth in the ARI 2015 Credit Agreement, has the right but not the obligation to increase the amount of the facility in an aggregate amount of up to $100 million (the amounts extended under the 2015 Credit Agreement, inclusive of any amounts extended under the incremental facility, the Revolving Loans), to a maximum principal amount of $300 million. In February 2016, ARI repaid amounts outstanding under this revolving loan in full and as of the date of this Report has borrowing availability of $200 million under this credit facility.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80" w:name="page81"/>
    <w:bookmarkEnd w:id="80"/>
    <w:p>
      <w:pPr>
        <w:ind w:right="180" w:firstLine="405"/>
        <w:spacing w:after="0" w:line="273" w:lineRule="auto"/>
        <w:rPr>
          <w:sz w:val="20"/>
          <w:szCs w:val="20"/>
          <w:color w:val="auto"/>
        </w:rPr>
      </w:pPr>
      <w:r>
        <w:rPr>
          <w:rFonts w:ascii="Arial" w:cs="Arial" w:eastAsia="Arial" w:hAnsi="Arial"/>
          <w:sz w:val="17"/>
          <w:szCs w:val="17"/>
          <w:color w:val="auto"/>
        </w:rPr>
        <w:t>On July 28, 2015, ARI's board of directors authorized the repurchase of up to $250 million of its outstanding common stock ("ARI Stock Repurchase Program"). The ARI Stock Repurchase Program will end upon the earlier of the date on which it is terminated by ARI's board of directors or when all authorized repurchases are completed. The timing and amount of stock repurchases, if any, will be determined based upon ARI's evaluation of market conditions and other factors. The ARI Stock Repurchase Program may be suspended, modified or discontinued at any time and ARI has no obligation to repurchase any amount of its common stock under the ARI Stock Repurchase Program. Under the ARI Stock Repurchase Program, ARI repurchased shares of its common stock during the nine months ended September 30, 2016 at a cost of $17 million.</w:t>
      </w:r>
    </w:p>
    <w:p>
      <w:pPr>
        <w:spacing w:after="0" w:line="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September 28, 2016, NCI IV LLC (f/k/a ARI First LLC), a wholly owned subsidiary of ARL, entered into a secured term facility with PNC Equipment Finance in the amount of $150 million with an interest rate based on 30 day LIBOR with a maturity date of September 27, 2017. The net proceeds and cash on hand were used to pay off a certain debt of NCI IV LLC that matured during the third quarter of 2016 in the amount of $208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20" w:firstLine="378"/>
        <w:spacing w:after="0" w:line="255" w:lineRule="auto"/>
        <w:rPr>
          <w:sz w:val="20"/>
          <w:szCs w:val="20"/>
          <w:color w:val="auto"/>
        </w:rPr>
      </w:pPr>
      <w:r>
        <w:rPr>
          <w:rFonts w:ascii="Arial" w:cs="Arial" w:eastAsia="Arial" w:hAnsi="Arial"/>
          <w:sz w:val="18"/>
          <w:szCs w:val="18"/>
          <w:color w:val="auto"/>
        </w:rPr>
        <w:t>On July 31, 2015 Tropicana's board of directors authorized the repurchase of up to $50 million of its outstanding common stock with no set expiration date ("Tropicana Stock Repurchase Program"). The Tropicana Stock Repurchase Program will end upon the earlier of the date on which the plan is terminated by Tropicana's board of directors or when all authorized repurchases are completed. The timing and amount of stock repurchases, if any, will be determined based upon Tropicana's evaluation of market conditions and other factors. The Tropicana Stock Repurchase Program may be suspended, modified or discontinued at any time and Tropicana has no obligation to repurchase any amount of its common stock under the Tropicana Stock Repurchase Program. Under the Tropicana Stock Repurchase Program, Tropicana repurchased shares of its common stock during the nine months ended September 30, 2016 at a cost of $6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Other than the goodwill impairment for our Energy segment as discussed below, there have been no material changes to our critical accounting policies and estimates during the nine months ended September 30, 2016 as compared to those reported in our Annual Report on Form 10-K for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Due to worsening sales trends for our Energy segment's Petroleum reporting unit, we performed an interim goodwill impairment analysis during the first quarter of 2016. Based on this analysis, our Energy segment recognized a goodwill impairment charge of $574 million, which represented the full amount of the remaining goodwill allocated to the Petroleum reporting unit. Due to the complexity in the "Step 2" goodwill impairment test performed during the first quarter of 2016, we finalized the assessment of our Energy segment's goodwill impairment during the third quarter of 2016 and noted that no additional adjustments to goodwill were required during the third quarter of 2016.</w:t>
      </w:r>
    </w:p>
    <w:p>
      <w:pPr>
        <w:spacing w:after="0" w:line="8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Energy segment's reporting unit fair values are based upon consideration of various valuation methodologies, one of which is projecting future cash flows discounted at rates commensurate with the risks involved (“DCF”).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which are intended to reflect the risks inherent in future cash flow projections, used in a DCF are based on estimates of the weighted-average cost of capital of a market participant. Such estimates are derived from our analysis of peer companies and consider the industry weighted average return on debt and equity from a market participant perspective.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right="600" w:firstLine="378"/>
        <w:spacing w:after="0" w:line="277" w:lineRule="auto"/>
        <w:rPr>
          <w:sz w:val="20"/>
          <w:szCs w:val="20"/>
          <w:color w:val="auto"/>
        </w:rPr>
      </w:pPr>
      <w:r>
        <w:rPr>
          <w:rFonts w:ascii="Arial" w:cs="Arial" w:eastAsia="Arial" w:hAnsi="Arial"/>
          <w:sz w:val="18"/>
          <w:szCs w:val="18"/>
          <w:color w:val="auto"/>
        </w:rPr>
        <w:t>Refer to Part I, Note 1, "Description of Business and Basis of Presentation," of this Report for a discussion of recent accounting pronouncements applicable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81" w:name="page82"/>
    <w:bookmarkEnd w:id="81"/>
    <w:p>
      <w:pPr>
        <w:ind w:right="12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2015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Information about our quantitative and qualitative disclosures about market risk for each of our segments discussed below did not differ materially from those disclosed in Part II, Item 7A of our 2015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September 30, 2016, we estimate that in the event of a 10% adverse change in the fair value of these investments, the fair values of securities owned, securities sold, not yet purchased and derivatives would decrease by approximately $932 million, $121 million and $2.0 billion, respectively. However, as of September 30, 2016, we estimate that the impact to our share of the net gain (loss) from investment activities reported in our condensed consolidated statement of operations would be less than the change in fair value since we have an investment of approximately 31% in the Investment Funds, and the non-controlling interests in income would correspondingly offset approximately 69% of the change in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See Note 6, “Financial Instruments - Automotive,” to the condensed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nine months ended September 30, 2016, our Automotive segment derived 37% of its sales in the United States and 63% internationally. Of these international sales, 54% were denominated in the euro, with no other single currency representing more than 10% of international sales. To minimize foreign currency risk, our Automotive segment generally maintains natural hedges within its non-U.S. activities, including the matching of operational revenues and costs. Where natural hedges are not in place, our Automotive segment manages certain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82" w:name="page83"/>
    <w:bookmarkEnd w:id="82"/>
    <w:p>
      <w:pPr>
        <w:ind w:right="2160"/>
        <w:spacing w:after="0" w:line="375" w:lineRule="auto"/>
        <w:rPr>
          <w:sz w:val="20"/>
          <w:szCs w:val="20"/>
          <w:color w:val="auto"/>
        </w:rPr>
      </w:pPr>
      <w:r>
        <w:rPr>
          <w:rFonts w:ascii="Arial" w:cs="Arial" w:eastAsia="Arial" w:hAnsi="Arial"/>
          <w:sz w:val="18"/>
          <w:szCs w:val="18"/>
          <w:color w:val="auto"/>
        </w:rPr>
        <w:t xml:space="preserve">aspects of its foreign currency activities and larger transactions through the use of foreign currency options or forward contracts. </w:t>
      </w:r>
      <w:r>
        <w:rPr>
          <w:rFonts w:ascii="Arial" w:cs="Arial" w:eastAsia="Arial" w:hAnsi="Arial"/>
          <w:sz w:val="18"/>
          <w:szCs w:val="18"/>
          <w:b w:val="1"/>
          <w:bCs w:val="1"/>
          <w:i w:val="1"/>
          <w:iCs w:val="1"/>
          <w:color w:val="auto"/>
        </w:rPr>
        <w:t>Energy</w:t>
      </w:r>
    </w:p>
    <w:p>
      <w:pPr>
        <w:spacing w:after="0" w:line="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RINs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 timing of the relative movement of the prices, however, can impact profit margins, which could significantly affect our Energy segment's earnings and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At September 30, 2016, CVR Refining had open commodity hedging instruments consisting of 2.2 million barrels net of 2-1-1 crack spreads, 0.2 million barrels net of crack spreads and 0.3 million barrels of price and basis swaps. A change of $1.00 per barrel in the fair value of the benchmark crude or product basis would result in an increase or decrease in the related fair value of the commodity hedging instruments of $3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Program Price Risk</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As a producer of transportation fuels from petroleum, CVR Refining is required to blend biofuels into the products it produces or to purchase RINs in the open market in lieu of blending to meet the mandates established by the EPA. CVR Refining is exposed to market risk related to the volatility in the price of RINs needed to comply with the RFS. To mitigate the impact of this risk on the results of operations and cash flows, CVR Refining purchases RINs when prices are deemed favorable. See Note 17, "Commitments and Contingencies," to Part I, Item 1 of this Report and “Energy - Major Influences on Results of Operations” in Part I, Item 2 of this Report for further discussion about compliance with the RFS.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CVR Partners had two floating to fixed interest rate swap agreements for the purpose of hedging the interest rate risk associated with a portion of its $125 million floating rate term debt. The interest rate swaps agreements expired February 12, 2016, and subsequently, CVR Partners had exposure to interest rate risk on 100% of its $125 million floating rate debt under its credit facility. On April 1, 2016, CVR Partners repaid all amounts outstanding under the term loan with respect to this credit facility and the credit facility was terminated.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Railcar segment is exposed to price risks associated with the purchase of raw materials, especially steel and heavy castings. The cost of steel, heavy castings and all other materials used in the production of railcars represents a significant amount of the direct manufacturing costs per railcar. Given the significant volatility in the price of raw materials, this exposure can affect the costs of production. Our Railcar segment believes that the risk to its margins and profitability has been somewhat reduced by its practice to generally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5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Our Railcar segment's financial results could be affected by changes in interest rates due to the impact those changes have on its variable rate debt obligation as of September 30, 2016. A one percentage point increase in the rate of the average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variable rate debt as of September 30, 2016 would have an $11 million impact on our Railcar segment's annualized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September 30, 2016, assuming a 1% increase over the 4% floor specified in its Tropicana New Term Loan Facility, Tropicana's annual interest cost would change by approximately $3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Ferrous Resources’ revenues are based on the sale of iron ore fines. Our Mining segment's financial results can vary significantly as a result of fluctuations in the market prices of iron ore. International prices for this commodity have fluctuated historically and are affected by numerous factors beyond Ferrous Resources' control. The price index that is utilized in our Mining segment's iron ore sales contracts is the Platts 62 percent Fe fines spot rate pricing, which can fluctuate widely due to numerous factors, such as global economic growth or contraction, change in demand for steel or changes in availability of supply. Our Mining segment estimates that a hypothetical 10% adverse movement in the international price of iron ore for the nine months ended September 30, 2016 would have decreased net income attributable to Icahn Enterprises for our Mining segment by $4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Ferrous Resources' principal objective is to produce iron ore which is typically priced in U.S. dollars. The majority of its funding and cash balances are also denominated in U.S. dollars. A proportion of Ferrous Resources' costs are incurred in Brazilian reals while significant capital expenditures are expected to be incurred in U.S. dollars. Accordingly, our Mining segment's financial results may be impacted by exchange rate fluctuations between the U.S. dollar and the Brazilian real. Our Mining segment estimates that a hypothetical 10% adverse movement of the Brazilian real against the U.S. dollar during the nine months ended September 30, 2016 would have decreased net income attributable to Icahn Enterprises for our Mining segment by $3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September 30, 2016, the effects of a 10% adverse change in the fair value of these investments would result in loss of approximately $32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of September 30, 2016,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76"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240" w:top="472" w:right="39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Except for the risk factors related to our Automotive and Railcar segments as discussed below, there were no other material changes to our risk factors during the nine months ended September 30, 2016 as compared to those reported in our Annual Report on Form 10-K for the year ended December 31, 2015.</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Automotive segment's operations in foreign countries exposes it to risks related to economic and political conditions and foreign currency fluctuations:</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global business operating in a time of increasing global economic and political instability, our Automotive segment is exposed to global market risks, the consequences of which cannot always be anticipated or quantified. One example is the recent decision of voters in the United Kingdom to withdraw from the European Union (referred to as “Brexit”). While any ultimate effects of Brexit on our Automotive segment are difficult to predict (particularly given the potentially lengthy negotiation period to accomplish a formal withdrawal), because our Automotive segment currently conducts its business in the United Kingdom and in Europe, the results of the referendum and any eventual withdrawal could cause disruptions and create uncertainty for our Automotive segment's businesses, including affecting its relationships with its customers and suppliers, and could also alter the relationship among currencies, including the value of the British Pound relative to the US Dollar. Such disruptions and uncertainties could adversely affect our Automotive segment's financial condition, operating results and cash flows. Any ultimate effects of Brexit on our Automotive segment will also depend on whether the UK negotiates to retain access to European Union markets either during a transitional period or more permanently. The failed coup attempt in Turkey, a country in which our Automotive segment has various ownership and economic interests, is another example of a recent global political development for which any potential consequences for our Automotive segment are uncertain. These and other developments may increase volatility in the results our Automotive segment's operations and may adversely affect our Automotive segment's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Railcar segment may incur significant costs, loss to reputation and further regulatory action as a result of the issuance of the FRA Directive, any of which could materially adversely affect our Railcar segment's operations.</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September 30, 2016, the Federal Railroad Administration ("FRA") released Railworthiness Directive Number 2016-01 (the "FRA Directive"). The FRA Directive addressed certain welding practices in one weld area in specified DOT 111 tank railcars manufactured between 2009 and 2015 by American Railcar Industries, Inc. and ACF Industries LLC. The FRA became involved as a result of one tank railcar manufactured by ARI having a leak that was identified in 2014. The FRA Directive indicated that approximately 14,800 general purpose tank railcars could be subject to the FRA Directive. The Directive reported that approximately 15% of railcar inspections reviewed by the FRA had weld conditions and the FRA has suggested that, over time, those conditions could develop cracks and lead to leaks. The FRA Directive requires owners of subject railcars to identify tank railcars in their respective fleets covered by the FRA Directive by October 30, 2016 and to ensure appropriate inspection, testing and repairs, if needed, during a period that ranges from 12 to 24 months from September 30, 2016, depending on the commodity service of the railcar.</w:t>
      </w:r>
    </w:p>
    <w:p>
      <w:pPr>
        <w:spacing w:after="0" w:line="7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Owners, including our Railcar segment as a railcar lessor, and lessees of the subject railcars will likely incur costs associated with compliance with the FRA Directive, including but not limited to, freight costs for transporting covered railcars to and from repair facilities, and costs of inspection, cleaning and repair, if necessary. Our Railcar segment, and other lessors of subject railcars, may also experience loss of revenue during periods of rent abatement, if applicable, as a result of railcars being out of service due to compliance with the FRA Directive.</w:t>
      </w:r>
    </w:p>
    <w:p>
      <w:pPr>
        <w:spacing w:after="0" w:line="79"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In accordance with accounting principles generally accepted in the United States of America, as of September 30, 2016, our Railcar segment established a loss contingency of $32 million to cover its probable and estimable liabilities with respect to its remedial response to the FRA Directive, taking into account currently available information and its contractual obligations in its capacity as both a manufacturer and lessor of railcars subject to the FRA Directive.</w:t>
      </w:r>
    </w:p>
    <w:p>
      <w:pPr>
        <w:ind w:right="60"/>
        <w:spacing w:after="0" w:line="261" w:lineRule="auto"/>
        <w:rPr>
          <w:sz w:val="20"/>
          <w:szCs w:val="20"/>
          <w:color w:val="auto"/>
        </w:rPr>
      </w:pPr>
      <w:r>
        <w:rPr>
          <w:rFonts w:ascii="Arial" w:cs="Arial" w:eastAsia="Arial" w:hAnsi="Arial"/>
          <w:sz w:val="18"/>
          <w:szCs w:val="18"/>
          <w:color w:val="auto"/>
        </w:rPr>
        <w:t>Subsequent developments with respect to the FRA Directive may affect our Railcar segment's assessment and estimates of the loss contingency recorded as a reserve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64"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and require it to make payments in excess of its reserves, which could have an adverse effect on our Railcar segment's results of operations.</w:t>
      </w:r>
    </w:p>
    <w:p>
      <w:pPr>
        <w:spacing w:after="0" w:line="11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Railcar segment's overall costs of compliance with the FRA Directive beyond the probable and estimable liabilities discussed above cannot currently be reasonably estimated and our Railcar segment cannot assure you that the amount of the loss contingency accrual is adequate to cover our Railcar segment's actual costs and losses. Such costs may be substantial and may not be adequately covered by insurance, if at all, and could include costs relating to, among others:</w:t>
      </w:r>
    </w:p>
    <w:p>
      <w:pPr>
        <w:spacing w:after="0" w:line="106" w:lineRule="exact"/>
        <w:rPr>
          <w:sz w:val="20"/>
          <w:szCs w:val="20"/>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warranties and leasing arrangements;</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changes to our manufacturing personnel or processes; and</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litigation, settlements and/or regulatory proceedings.</w:t>
      </w:r>
    </w:p>
    <w:p>
      <w:pPr>
        <w:spacing w:after="0" w:line="131"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Complying with the FRA Directive could require additional capital investments, restrict our Railcar segment's ability to expand its operations or lease fleet, or disrupt its operations. Failure to successfully manage compliance with the FRA Directive could cause lost revenue, harm to our Railcar segment's reputation, deterioration of business and customer relationships, including with its affiliates, and result in an adverse impact on our Railcar segment's business, financial condition and results of operations. Any material loss of revenue due to rent abatement, or otherwise, could adversely affect our Railcar segment's ability to comply with covenants in our debt facilities. Our Railcar segment cannot assure that costs incurred to comply with any new regulations, including the FRA Directive, will not be material to our Railcar segment's business, financial condition or results of operations.</w:t>
      </w:r>
    </w:p>
    <w:p>
      <w:pPr>
        <w:spacing w:after="0" w:line="5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Under the Directive, the FRA also reserved the right to seek civil penalties or to take any other appropriate enforcement action for violation of the Federal Hazardous Materials Regulations that have occurred. To the extent our Railcar segment become subject to any such civil penalties and/or enforcement actions, it could result in substantial costs and could harm our Railcar segment's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June and July of 2014, the U.S. Attorney’s office for the Southern District of New York and the Securities and Exchange Commission contacted Icahn Enterprises and Mr. Carl Icahn seeking the production of various documents pertaining to our and Mr. Icahn’s trading activities in various securities. We and Mr. Icahn have cooperated with the requests and provided documents in response to the subpoenas in October 2014. Neither the U.S. Attorney’s office for the Southern District of New York nor the Securities and Exchange Commission has made any claims or allegations against us or Mr. Icahn and we have not heard back from either office. We maintain a strong compliance program and, while no assurances can be made, at this time we do not believe this inquiry or any proceedings will have a material impact on our business, financial condition, results of operations or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Federal-Mogul Tender Offer</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September 6, 2016, we, through our wholly owned subsidiary, IEH FM Holdings LLC, and Federal-Mogul entered into an Agreement and Plan of Merger (the "Federal-Mogul Merger Agreement"). Pursuant to the Federal-Mogul Merger Agreement, and upon the terms and subject to the conditions thereof, we commenced a cash tender offer (the "Federal-Mogul Tender Offer) to acquire, subject to the terms and conditions of the Federal-Mogul Merger Agreement, all of the issued and outstanding shares of Federal-Mogul’s common stock, par value $0.01 per share, not already owned by us, for a purchase price of $9.25 per share, net to the seller in cash, without interest, less any applicable tax withholding. The Federal-Mogul Tender Offer was extended and will currently expire on 12:00 midnight, New York City time, on November 14, 2016 (one minute after 11:59 P.M., New York City time, on November 14, 2016), unless further extended.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CVR Refining Call Right</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August 2, 2016, we sold 250,000 common units of CVR Refining. As a result of this transaction, we and our affiliates collectively own 69.99% of CVR. Pursuant to CVR Refining’s partnership agreement, in certain circumstances, the general partner of CVR Refining has the right to purchase all, but not less than all, of CVR Refining common units held by unaffiliated unit holders at a price not less than their then-current market price, as calculated pursuant to the terms of such partnership agreement (the “Call Right”). Pursuant to the terms of the partnership agreement, because our holdings were reduced to less than 70.0%, the ownership threshold for the application of such Call Right was permanently reduced from 95% to 80%. Accordingly, if at any time the general partner of CVR Refining and its affiliates owns more than 80% of CVR Refining common units, it will have the right, but not the obligation, to exercise such Call Right.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Closure of Trump Taj Mahal</w:t>
      </w:r>
    </w:p>
    <w:p>
      <w:pPr>
        <w:spacing w:after="0" w:line="12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On September 9, 2014, Trump Entertainment Resorts, Inc. (“Trump”) and its subsidiaries filed voluntary Chapter 11 petitions in the United States Bankruptcy Court for the District of Delaware in Wilmington, Delaware. On February 26,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7" w:name="page88"/>
    <w:bookmarkEnd w:id="87"/>
    <w:p>
      <w:pPr>
        <w:spacing w:after="0" w:line="276" w:lineRule="auto"/>
        <w:rPr>
          <w:sz w:val="20"/>
          <w:szCs w:val="20"/>
          <w:color w:val="auto"/>
        </w:rPr>
      </w:pPr>
      <w:r>
        <w:rPr>
          <w:rFonts w:ascii="Arial" w:cs="Arial" w:eastAsia="Arial" w:hAnsi="Arial"/>
          <w:sz w:val="17"/>
          <w:szCs w:val="17"/>
          <w:color w:val="auto"/>
        </w:rPr>
        <w:t>(the "Effective Date"), Trump emerged from bankruptcy. Icahn Enterprises was the sole holder of Trump's senior secured debt. On the Effective Date, among other things, the existing pre-petition senior secured debt with a face amount of $286 million held by Icahn Enterprises was extinguished and converted into 100.0% of Trump’s New Common Stock (as defined in the bankruptcy plan). As a result, we became the 100.0% owner of Trump after reorganization and accordingly, obtained control and began consolidating the results of Trump on February 26, 2016. Trump owns the Trump Taj Mahal Casino Resort ("Trump Taj Mahal"). The Trump Taj Mahal closed and ceased its casino and hotel operations on October 10, 2016.</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LP Unit Distribution</w:t>
      </w:r>
    </w:p>
    <w:p>
      <w:pPr>
        <w:spacing w:after="0" w:line="121"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On August 3, 2016, Icahn Enterprises declared a quarterly distribution in the amount of $1.50 per depositary unit in which each depositary unit holder had the option to make an election to receive either cash or additional depositary units. As a result, on September 19, 2016, Icahn Enterprises distributed an aggregate 3,586,029 depositary units to unit holders electing to receive depositary units in connection with this distribution.</w:t>
      </w:r>
    </w:p>
    <w:p>
      <w:pPr>
        <w:spacing w:after="0" w:line="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Mr. Icahn and his affiliates elected to receive a majority of their proportionate share of these distributions in depositary units. As of November 2, 2016, Mr. Icahn and his affiliates owned 89.7% of Icahn Enterprises outstanding depositary units.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Amended and Restated Partnership Agreement</w:t>
      </w:r>
    </w:p>
    <w:p>
      <w:pPr>
        <w:spacing w:after="0" w:line="121"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On August 2, 2016, our Board of Directors of Icahn Enterprises adopted the Second Amended and Restated Limited Partnership Agreement (the "Agreement"), effective on August 2, 2016. The Agreement incorporates amendments No. 1 through No. 6, previously approved by the Board and filed between 1995 and 2007, and makes certain other non-material changes including changes designed to conform the Agreement with prior amendments and with the current practices of the Computershare Inc., as depositary agent (the "Depositary"), including with respect to transfer of depositary units and the issuance of uncertificated units, among other items. The Board of Directors approved corresponding changes to the Second Amended and Restated Depositary Agreement by and between the Company and the Depositary. The foregoing is a summary and is qualified in its entirety by reference to the Agreement, attached as exhibit 3.1 to our Quarterly Report on 10-Q for the quarter ended June 30, 2016 filed on August 4,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476"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Certification of Chief Executive Officer and Chief Financial Officer pursuant to Section 906 of the Sarbanes-Oxley Act of 2002 (18</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quarterly period ended September 30, 2016, formatted in XBRL (Extensible Business Reporting Language) includes: (i) the Condensed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Consolidated Balance Sheets as of September 30, 2016 and December 31, 2015, (ii) the Condensed Consolidated Statements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Operations for the three and nine months ended September 30, 2016 and 2015, (iii) the Condensed Consolidated Statements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Comprehensive Income for the three and nine months ended September 30, 2016 and 2015, (iv) the Condensed Consolidated Statements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 Changes in Equity for the nine months ended September 30, 2016 and 2015, (v) the Condensed Consolidated Statements of Cash</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Flows for the nine months ended September 30, 2016 and 2015 and (vi) the Notes to the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tbl>
      <w:tblPr>
        <w:tblLayout w:type="fixed"/>
        <w:tblInd w:w="62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/s/SungHwan Cho</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SungHwan Cho,</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 and Director</w:t>
            </w:r>
          </w:p>
        </w:tc>
      </w:tr>
      <w:tr>
        <w:trPr>
          <w:trHeight w:val="60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Icahn Enterprises G.P. Inc., its</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/s/Peter Reck</w:t>
            </w:r>
          </w:p>
        </w:tc>
      </w:tr>
      <w:tr>
        <w:trPr>
          <w:trHeight w:val="27"/>
        </w:trPr>
        <w:tc>
          <w:tcPr>
            <w:tcW w:w="5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Peter Reck,</w:t>
            </w:r>
          </w:p>
        </w:tc>
      </w:tr>
      <w:tr>
        <w:trPr>
          <w:trHeight w:val="230"/>
        </w:trPr>
        <w:tc>
          <w:tcPr>
            <w:tcW w:w="5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2016;</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88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September 30, 2016;</w:t>
      </w:r>
    </w:p>
    <w:p>
      <w:pPr>
        <w:spacing w:after="0" w:line="170"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September 30, 2016, the undersigned certify that, to the best of his knowledge, based upon a review of the Icahn Enterprises L.P. and Icahn Enterprises Holdings L.P. joint quarterly report on Form 10-Q for the period ended September 30, 2016:</w:t>
      </w:r>
    </w:p>
    <w:p>
      <w:pPr>
        <w:spacing w:after="0" w:line="181"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2019-12-29T09:04:29Z</dcterms:created>
  <dcterms:modified xsi:type="dcterms:W3CDTF">2019-12-29T09:04:29Z</dcterms:modified>
</cp:coreProperties>
</file>