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14"/>
                <w:szCs w:val="14"/>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11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60" w:type="dxa"/>
            <w:vAlign w:val="bottom"/>
          </w:tcPr>
          <w:p>
            <w:pPr>
              <w:jc w:val="center"/>
              <w:ind w:left="115"/>
              <w:spacing w:after="0"/>
              <w:rPr>
                <w:sz w:val="20"/>
                <w:szCs w:val="20"/>
                <w:color w:val="auto"/>
              </w:rPr>
            </w:pPr>
            <w:r>
              <w:rPr>
                <w:rFonts w:ascii="Arial" w:cs="Arial" w:eastAsia="Arial" w:hAnsi="Arial"/>
                <w:sz w:val="14"/>
                <w:szCs w:val="14"/>
                <w:color w:val="auto"/>
                <w:w w:val="92"/>
              </w:rPr>
              <w:t>(Telephone Number)</w:t>
            </w:r>
          </w:p>
        </w:tc>
        <w:tc>
          <w:tcPr>
            <w:tcW w:w="1660" w:type="dxa"/>
            <w:vAlign w:val="bottom"/>
          </w:tcPr>
          <w:p>
            <w:pPr>
              <w:jc w:val="center"/>
              <w:ind w:left="18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60" w:type="dxa"/>
            <w:vAlign w:val="bottom"/>
          </w:tcPr>
          <w:p>
            <w:pPr>
              <w:jc w:val="right"/>
              <w:ind w:right="1162"/>
              <w:spacing w:after="0"/>
              <w:rPr>
                <w:sz w:val="20"/>
                <w:szCs w:val="20"/>
                <w:color w:val="auto"/>
              </w:rPr>
            </w:pPr>
            <w:r>
              <w:rPr>
                <w:rFonts w:ascii="Arial" w:cs="Arial" w:eastAsia="Arial" w:hAnsi="Arial"/>
                <w:sz w:val="16"/>
                <w:szCs w:val="16"/>
                <w:b w:val="1"/>
                <w:bCs w:val="1"/>
                <w:color w:val="auto"/>
              </w:rPr>
              <w:t>1-9516</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60" w:type="dxa"/>
            <w:vAlign w:val="bottom"/>
          </w:tcPr>
          <w:p>
            <w:pPr>
              <w:jc w:val="right"/>
              <w:ind w:right="882"/>
              <w:spacing w:after="0"/>
              <w:rPr>
                <w:sz w:val="20"/>
                <w:szCs w:val="20"/>
                <w:color w:val="auto"/>
              </w:rPr>
            </w:pPr>
            <w:r>
              <w:rPr>
                <w:rFonts w:ascii="Arial" w:cs="Arial" w:eastAsia="Arial" w:hAnsi="Arial"/>
                <w:sz w:val="16"/>
                <w:szCs w:val="16"/>
                <w:b w:val="1"/>
                <w:bCs w:val="1"/>
                <w:color w:val="auto"/>
              </w:rPr>
              <w:t>333-118021-01</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Icahn Enterprises L.P.</w:t>
            </w:r>
          </w:p>
        </w:tc>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Icahn Enterprises Holdings L.P.</w:t>
            </w:r>
          </w:p>
        </w:tc>
        <w:tc>
          <w:tcPr>
            <w:tcW w:w="1260" w:type="dxa"/>
            <w:vAlign w:val="bottom"/>
          </w:tcPr>
          <w:p>
            <w:pPr>
              <w:spacing w:after="0"/>
              <w:rPr>
                <w:sz w:val="18"/>
                <w:szCs w:val="18"/>
                <w:color w:val="auto"/>
              </w:rPr>
            </w:pPr>
          </w:p>
        </w:tc>
      </w:tr>
      <w:tr>
        <w:trPr>
          <w:trHeight w:val="291"/>
        </w:trPr>
        <w:tc>
          <w:tcPr>
            <w:tcW w:w="2260" w:type="dxa"/>
            <w:vAlign w:val="bottom"/>
            <w:gridSpan w:val="2"/>
          </w:tcPr>
          <w:p>
            <w:pPr>
              <w:jc w:val="center"/>
              <w:ind w:right="330"/>
              <w:spacing w:after="0"/>
              <w:rPr>
                <w:sz w:val="20"/>
                <w:szCs w:val="20"/>
                <w:color w:val="auto"/>
              </w:rPr>
            </w:pPr>
            <w:r>
              <w:rPr>
                <w:rFonts w:ascii="Arial" w:cs="Arial" w:eastAsia="Arial" w:hAnsi="Arial"/>
                <w:sz w:val="18"/>
                <w:szCs w:val="18"/>
                <w:color w:val="auto"/>
                <w:w w:val="91"/>
              </w:rPr>
              <w:t>Large Accelerated Filer x</w:t>
            </w:r>
          </w:p>
        </w:tc>
        <w:tc>
          <w:tcPr>
            <w:tcW w:w="3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Accelerated Filer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8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Non-accelerated Filer o</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Smaller Reporting Company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8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Smaller Reporting Company o</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August 5, 2015, there were 126,643,279 of Icahn Enterprises' depositary units outstanding.</w:t>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2.</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61</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Item 3.</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85</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Item 4.</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Controls and Procedures.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87</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33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Legal Proceedings.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89</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Item 1A.</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Risk Factors.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89</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Item 6.</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Exhibits.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98</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39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52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0"/>
              </w:rPr>
              <w:t>(In millions, except unit amounts)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37,278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35,780</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0"/>
              <w:spacing w:after="0"/>
              <w:rPr>
                <w:sz w:val="20"/>
                <w:szCs w:val="20"/>
                <w:color w:val="auto"/>
              </w:rPr>
            </w:pPr>
            <w:r>
              <w:rPr>
                <w:rFonts w:ascii="Arial" w:cs="Arial" w:eastAsia="Arial" w:hAnsi="Arial"/>
                <w:sz w:val="18"/>
                <w:szCs w:val="18"/>
                <w:color w:val="auto"/>
                <w:w w:val="93"/>
              </w:rPr>
              <w:t>Limited partners: Depositary units: 126,643,279 and 123,103,414 units issued and outstanding at June 30,</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2015 and December 31, 2014, respectively</w:t>
            </w:r>
          </w:p>
        </w:tc>
        <w:tc>
          <w:tcPr>
            <w:tcW w:w="2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35,780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20" w:type="dxa"/>
            <w:vAlign w:val="bottom"/>
            <w:gridSpan w:val="7"/>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gridSpan w:val="7"/>
          </w:tcPr>
          <w:p>
            <w:pPr>
              <w:jc w:val="center"/>
              <w:ind w:left="3210"/>
              <w:spacing w:after="0"/>
              <w:rPr>
                <w:sz w:val="20"/>
                <w:szCs w:val="20"/>
                <w:color w:val="auto"/>
              </w:rPr>
            </w:pPr>
            <w:r>
              <w:rPr>
                <w:rFonts w:ascii="Arial" w:cs="Arial" w:eastAsia="Arial" w:hAnsi="Arial"/>
                <w:sz w:val="18"/>
                <w:szCs w:val="18"/>
                <w:b w:val="1"/>
                <w:bCs w:val="1"/>
                <w:color w:val="auto"/>
                <w:w w:val="91"/>
              </w:rPr>
              <w:t>(In millions, except per unit amounts) (Unaudited)</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 from investment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(loss), net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allocable to:</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and diluted income per LP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LP units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20" w:type="dxa"/>
            <w:vAlign w:val="bottom"/>
            <w:gridSpan w:val="7"/>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9820" w:type="dxa"/>
            <w:vAlign w:val="bottom"/>
            <w:gridSpan w:val="10"/>
          </w:tcPr>
          <w:p>
            <w:pPr>
              <w:jc w:val="center"/>
              <w:ind w:left="15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216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3"/>
              </w:rPr>
              <w:t>(In millions) (Unaudited)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Less: Comprehensive income attributable to non-controlling</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allocable 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$1,373 million and $1,293 million at June 30, 2015 and December 31,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Distributions to non-controlling</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subsidiary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June 30,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7,755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13,442</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Distributions to non-controlling</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subsidiary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14,727</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(In millions)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gain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(1,849)</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(4,005)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(1,463)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2,299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Equity earnings from non-consolidated affiliates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business,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sale of investments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the sale and disposition of assets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(1,493)</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(1,048)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Capital contribution by non-controlling interests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offering of subsidiary equity</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issuance of senior unsecured notes</w:t>
            </w:r>
          </w:p>
        </w:tc>
        <w:tc>
          <w:tcPr>
            <w:tcW w:w="10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4,991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Repayment of senior unsecured notes</w:t>
            </w:r>
          </w:p>
        </w:tc>
        <w:tc>
          <w:tcPr>
            <w:tcW w:w="10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(3,625)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(3,730)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3,262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Supplemental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(refunds) payments for income taxes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Fair value of investment in Ferrous Resources prior to acquisition of controlling interest</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8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44"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40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37,302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37,302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16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3"/>
              </w:rPr>
              <w:t>(In millions) (Unaudited)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 from investment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(loss), net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8,369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Holdings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income attributable to Icahn Enterprises Holdings allocable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480" w:type="dxa"/>
            <w:vAlign w:val="bottom"/>
            <w:gridSpan w:val="8"/>
          </w:tcPr>
          <w:p>
            <w:pPr>
              <w:jc w:val="center"/>
              <w:ind w:left="28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820" w:type="dxa"/>
            <w:vAlign w:val="bottom"/>
            <w:gridSpan w:val="10"/>
          </w:tcPr>
          <w:p>
            <w:pPr>
              <w:jc w:val="center"/>
              <w:ind w:left="15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16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3"/>
              </w:rPr>
              <w:t>(In millions) (Unaudited)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Less: Comprehensive income attributable to non-controlling</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 allocable 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$1,373 million and $1,293 million at June 30, 2015 and December 31,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12,413</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964</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subsidiary equity</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offerings</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June 30, 2015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5,711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13,466</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1,201</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subsidiary equity</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14,750</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(In millions)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70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37465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380"/>
          </w:cols>
          <w:pgMar w:left="280" w:top="364" w:right="23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49530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gain from securities transactions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Purchases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Proceeds from sales of securities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Purchases to cover securities sold, not yet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Proceeds from securities sold, not yet purchased</w:t>
      </w:r>
    </w:p>
    <w:p>
      <w:pPr>
        <w:spacing w:after="0" w:line="86" w:lineRule="exact"/>
        <w:rPr>
          <w:sz w:val="20"/>
          <w:szCs w:val="20"/>
          <w:color w:val="auto"/>
        </w:rPr>
      </w:pPr>
    </w:p>
    <w:p>
      <w:pPr>
        <w:ind w:left="80" w:right="2740"/>
        <w:spacing w:after="0" w:line="352" w:lineRule="auto"/>
        <w:rPr>
          <w:sz w:val="20"/>
          <w:szCs w:val="20"/>
          <w:color w:val="auto"/>
        </w:rPr>
      </w:pPr>
      <w:r>
        <w:rPr>
          <w:rFonts w:ascii="Arial" w:cs="Arial" w:eastAsia="Arial" w:hAnsi="Arial"/>
          <w:sz w:val="16"/>
          <w:szCs w:val="16"/>
          <w:color w:val="auto"/>
        </w:rPr>
        <w:t>Changes in receivables and payables relating to securities transactions 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-189865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auto"/>
        </w:rPr>
        <w:t>Equity earnings from non-consolidated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 net</w:t>
      </w:r>
    </w:p>
    <w:p>
      <w:pPr>
        <w:spacing w:after="0" w:line="86" w:lineRule="exact"/>
        <w:rPr>
          <w:sz w:val="20"/>
          <w:szCs w:val="20"/>
          <w:color w:val="auto"/>
        </w:rPr>
      </w:pPr>
    </w:p>
    <w:p>
      <w:pPr>
        <w:ind w:left="80" w:right="2200"/>
        <w:spacing w:after="0" w:line="349" w:lineRule="auto"/>
        <w:rPr>
          <w:sz w:val="20"/>
          <w:szCs w:val="20"/>
          <w:color w:val="auto"/>
        </w:rPr>
      </w:pPr>
      <w:r>
        <w:rPr>
          <w:rFonts w:ascii="Arial" w:cs="Arial" w:eastAsia="Arial" w:hAnsi="Arial"/>
          <w:sz w:val="16"/>
          <w:szCs w:val="16"/>
          <w:color w:val="auto"/>
        </w:rPr>
        <w:t>Changes in cash held at consolidated affiliated partnerships and restricted cash Changes in other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-187325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investing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business, net of cash acquired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Proceeds from sale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Net proceeds from the sale and disposition of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Purchases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Other, net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Capital contribution by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Partnership distributions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Proceeds from offering of subsidiary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Distributions to non-controlling interests in subsidiaries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Proceeds from issuance of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Proceeds from other borrowings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Repayment of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Repayments of other borrowings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cash provided by 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(decrease) increase in cash and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01"/>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1,201</w:t>
            </w:r>
          </w:p>
        </w:tc>
      </w:tr>
      <w:tr>
        <w:trPr>
          <w:trHeight w:val="540"/>
        </w:trPr>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(1,849)</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(4,005)</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1,074</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2,299</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394</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(898)</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720</w:t>
            </w:r>
          </w:p>
        </w:tc>
      </w:tr>
      <w:tr>
        <w:trPr>
          <w:trHeight w:val="33"/>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33"/>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01"/>
        </w:trPr>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(587)</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(1,048)</w:t>
            </w:r>
          </w:p>
        </w:tc>
      </w:tr>
      <w:tr>
        <w:trPr>
          <w:trHeight w:val="33"/>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01"/>
        </w:trPr>
        <w:tc>
          <w:tcPr>
            <w:tcW w:w="360" w:type="dxa"/>
            <w:vAlign w:val="bottom"/>
          </w:tcPr>
          <w:p>
            <w:pPr>
              <w:spacing w:after="0"/>
              <w:rPr>
                <w:sz w:val="24"/>
                <w:szCs w:val="24"/>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70"/>
        </w:trPr>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4,991</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4,242</w:t>
            </w:r>
          </w:p>
        </w:tc>
      </w:tr>
      <w:tr>
        <w:trPr>
          <w:trHeight w:val="270"/>
        </w:trPr>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(3,625)</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(3,730)</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1,953</w:t>
            </w:r>
          </w:p>
        </w:tc>
      </w:tr>
      <w:tr>
        <w:trPr>
          <w:trHeight w:val="33"/>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3,262</w:t>
            </w:r>
          </w:p>
        </w:tc>
      </w:tr>
      <w:tr>
        <w:trPr>
          <w:trHeight w:val="33"/>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2,154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3,333</w:t>
            </w:r>
          </w:p>
        </w:tc>
      </w:tr>
      <w:tr>
        <w:trPr>
          <w:trHeight w:val="33"/>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3300"/>
          </w:cols>
          <w:pgMar w:left="280" w:top="364"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80" w:top="364" w:right="239"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Supplemental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(refunds) payments for income taxes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Fair value of investment in Ferrous Resources prior to acquisition of controlling interest</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8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44"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jc w:val="both"/>
        <w:ind w:right="320" w:firstLine="405"/>
        <w:spacing w:after="0" w:line="288"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June 30, 2015. Icahn Enterprises Holdings and its subsidiaries own substantially all of our assets and liabilities and conduct substantially all of our operations.</w:t>
      </w:r>
    </w:p>
    <w:p>
      <w:pPr>
        <w:ind w:right="140"/>
        <w:spacing w:after="0" w:line="254" w:lineRule="auto"/>
        <w:rPr>
          <w:sz w:val="20"/>
          <w:szCs w:val="20"/>
          <w:color w:val="auto"/>
        </w:rPr>
      </w:pPr>
      <w:r>
        <w:rPr>
          <w:rFonts w:ascii="Arial" w:cs="Arial" w:eastAsia="Arial" w:hAnsi="Arial"/>
          <w:sz w:val="18"/>
          <w:szCs w:val="18"/>
          <w:color w:val="auto"/>
        </w:rPr>
        <w:t>Therefore, the financial results of Icahn Enterprises and Icahn Enterprises Holdings are substantially the same, with differences relating primarily to debt, as discussed further in Note 10, "Debt," and to the allocation of the general partner interest, which is reflected as an aggregate 1.99% general partner interest in the financial statements of Icahn Enterprises. In addition to the above, Mr. Icahn and his affiliates owned 112,285,454, or approximately 88.7%, of Icahn Enterprises' outstanding depositary units as of June 30, 2015.</w:t>
      </w:r>
    </w:p>
    <w:p>
      <w:pPr>
        <w:spacing w:after="0" w:line="8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2, “Operating Units,” and Note 13, “Segment Reporting.”</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80"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2014.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New Significant Accounting Policies</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As further described in Note 2, "Operating Units - Mining," we obtained a controlling interest in Ferrous Resources Limited ("Ferrous Resources"), which constitutes our Mining segment, during the second quarter of 2015. As a result, we have the following new accounting policies that are applicable to our Mining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Our Mining segment recognizes revenue when title, ownership, and risk of loss pass to the customer, all of which occurs upon shipment or delivery of the product and is based on the applicable shipping terms. Revenue is measured at the fair value of the consideration received or receivable, with any adjustments as a result of provisional pricing recorded against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Exploration and Evaluation Expenditures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Exploration and evaluation expenditures relate to costs incurred in the exploration and evaluation of potential mineral reserves and include costs such as exploratory drilling, sample testing and the costs of feasibility studies. For our Mining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segment, exploration and evaluation expenditures other than that acquired through the purchase of another mining company, are expensed as incurred.</w:t>
      </w:r>
    </w:p>
    <w:p>
      <w:pPr>
        <w:spacing w:after="0" w:line="12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Purchased exploration and evaluation assets are recognized as assets at their cost of acquisition or at fair value if purchased as part of a business combination.</w:t>
      </w:r>
    </w:p>
    <w:p>
      <w:pPr>
        <w:spacing w:after="0" w:line="6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An impairment review is performed, either individually or at the cash-generating unit level, when there are indicators that the carrying amount of the assets may exceed their recoverable amounts. To the extent the carrying values exceed their recoverable amounts, the excess is recognized as an impairment charge in the statements of operations in the period this is determined. Exploration assets are reassessed on a regular basis and these costs are carried forward provided that certain conditions are met.</w:t>
      </w:r>
    </w:p>
    <w:p>
      <w:pPr>
        <w:spacing w:after="0" w:line="7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Expenditures are transferred to mine development assets once the work completed supports the future development of the property, provided that technical feasibility and commercial viability studies have been successfully completed.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Properties and Mine Development Expenditures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costs of acquiring mineral reserves and resources for our Mining segment are capitalized on the consolidated balance sheets as incurred. Capitalized mineral reserves and mine development expenditures are, upon commencement of commercial production, depreciated using a unit of production method based on the estimated economically recoverable reserves to which they relate, or are written off if abandoned. The net carrying amounts of the mineral reserves and resources and capitalized mine development expenditures at each mine property are reviewed for impairment either individually or at the cash-generating unit level when events and circumstances indicate that the carrying amount may not be recoverable. To the extent the carrying values exceed their recoverable amounts, the excess is recognized as an impairment charge in the statements of operations in the period this is determined.</w:t>
      </w:r>
    </w:p>
    <w:p>
      <w:pPr>
        <w:spacing w:after="0" w:line="57"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In our Mining segment's operations, it is necessary to remove overburden and other waste in order to access the ore body. During the pre-production phase, these costs are capitalized as part of the cost of the mine property and depreciated using a units of production method once the mine enters into a full commercial production phase. The costs of removal of the waste material during a mine's production phase are expensed as incurred.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Mining segment's inventories are valued at the lower of cost or market. Cost includes all costs incurred in the normal course of business in bringing each product to its present location and condition, including direct materials and direct labor costs, and an allocation of production overheads based on normal production capacity. Cost is calculated using weighted average unit cost.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Our condensed consolidated financial statements include the accounts of (i) Icahn Enterprises and Icahn Enterprises Holdings and (ii) the wholly and majority owned subsidiaries of Icahn Enterprises and Icahn Enterprises Holdings, in addition to those entities in which we have a controlling interest as a general partner interest. In evaluating whether we have a controlling financial interest in entities that we consolidate, we consider the following: (1) for voting interest entities, we consolidate these entities in which we own a majority of the voting interests; and (2) for limited partnership entities, we 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70"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Except for our Investment segment, for those investments in which we own 50% or less but greater than 20%, we generally account for such investments using the equity method, while investments in affiliates of 20% or less are accounted for under the cost method.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4, “Investments and Related Matters,” and Note 5, “Fair Value Measurements,” for a detailed discussion of our investments.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fair value of our long-term debt is based on the quoted market prices for the same or similar issues or on the current rates offered to us for debt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same remaining maturities. The carrying value and estimated fair value of our long-term debt as of June 30, 2015 was approximately $12.1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$12.2 billion, respectively. The carrying value and estimated fair value of our long-term debt as of December 31, 2014 was each approximately $11.6 billion.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restricted cash balance was approximately $1.5 billion and $1.3 billion as of June 30, 2015 and December 31, 2014,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 xml:space="preserve">In April 2014, the FASB issued ASU No. 2014-08, which amends FASB ASC Topic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and FASB ASC Topic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This ASU is effective on a prospective basis applicable to activities that occur within annual periods beginning on or after December 15, 2014, and interim periods within those years, and changes the requirements for reporting discontinued operations. We adopted ASU No. 2014-08 during the first quarter of 2015 and believe that this guidance will reduce the number of dispositions that would qualify for discontinued operations at our parent company level, thereby reducing the complexity associated with the reporting and disclosure requirements of discontinued operations that would have been otherwise required previously.</w:t>
      </w:r>
    </w:p>
    <w:p>
      <w:pPr>
        <w:spacing w:after="0" w:line="85"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 xml:space="preserve">In November 2014, the FASB issued ASU No. 2014-17, which amends FASB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This ASU provides an acquired entity with an option to apply pushdown accounting in its separate financial statements upon the occurrence of an event in which an acquirer obtains control of the acquired entity. The ASU became effective on November 18, 2014. The adoption of this guidance during the fourth quarter of 2014 did not have any effect on our consolidated financial position, results of operations, comprehensive income, cash flows and disclosures.</w:t>
      </w:r>
    </w:p>
    <w:p>
      <w:pPr>
        <w:spacing w:after="0" w:line="63" w:lineRule="exact"/>
        <w:rPr>
          <w:sz w:val="20"/>
          <w:szCs w:val="20"/>
          <w:color w:val="auto"/>
        </w:rPr>
      </w:pPr>
    </w:p>
    <w:p>
      <w:pPr>
        <w:ind w:right="80" w:firstLine="378"/>
        <w:spacing w:after="0" w:line="253" w:lineRule="auto"/>
        <w:rPr>
          <w:sz w:val="20"/>
          <w:szCs w:val="20"/>
          <w:color w:val="auto"/>
        </w:rPr>
      </w:pPr>
      <w:r>
        <w:rPr>
          <w:rFonts w:ascii="Arial" w:cs="Arial" w:eastAsia="Arial" w:hAnsi="Arial"/>
          <w:sz w:val="18"/>
          <w:szCs w:val="18"/>
          <w:color w:val="auto"/>
        </w:rPr>
        <w:t xml:space="preserve">In January 2015, the FASB issued ASU No. 2015-01, which amends FASB ASU Topic 220-20, </w:t>
      </w:r>
      <w:r>
        <w:rPr>
          <w:rFonts w:ascii="Arial" w:cs="Arial" w:eastAsia="Arial" w:hAnsi="Arial"/>
          <w:sz w:val="18"/>
          <w:szCs w:val="18"/>
          <w:i w:val="1"/>
          <w:iCs w:val="1"/>
          <w:color w:val="auto"/>
        </w:rPr>
        <w:t>Income Statement - Extraordinary and Unusual Items</w:t>
      </w:r>
      <w:r>
        <w:rPr>
          <w:rFonts w:ascii="Arial" w:cs="Arial" w:eastAsia="Arial" w:hAnsi="Arial"/>
          <w:sz w:val="18"/>
          <w:szCs w:val="18"/>
          <w:color w:val="auto"/>
        </w:rPr>
        <w:t>. This ASU eliminates from GAAP the concept of extraordinary items. Although the ASU will eliminate the requirements in Subtopic 225-20 for reporting entities to consider whether an underlying event or transaction is extraordinary, the presentation and disclosure guidance for items that are unusual in nature or occur infrequently will be retained and will be expanded to include items that are both unusual in nature and infrequently occurring. This ASU is effective for fiscal years, and interim periods within those fiscal years, beginning after December 15, 2015. A reporting entity may apply the amendments prospectively. A reporting entity also may apply the amendments retrospectively to all prior periods presented in the financial statements. Early adoption is permitted provided that the guidance is applied from the beginning of the fiscal year of adoption. We adopted ASU No. 2015-01 during the first quarter of 2015 and believe that the adoption of this guidance will have no impact on our consolidated financial position, results of operations, comprehensive income, cash flows and disclosures.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20" w:firstLine="378"/>
        <w:spacing w:after="0" w:line="290"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is effective for fiscal years, and interim reporting periods within those years, beginning after December 15, 2016, using one of two retrospective application methods. Early adoption is not permitted. On July 9, 2015, the FASB approved a one-year deferral of the effective date of this standard but will permit companies to adopt this standard on the original effective date. The FASB expects to issue its final ASU formally amending the effective date by the end of the third quarter of 2015. We are currently evaluating the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7"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impact of this guidance on our consolidated financial position, results of operations, comprehensive income, cash flows and disclosures.</w:t>
      </w:r>
    </w:p>
    <w:p>
      <w:pPr>
        <w:spacing w:after="0" w:line="117"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 xml:space="preserve">In June 2014, the FASB issued ASU No. 2014-12, which amends FASB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This ASU requires that a performance target that affects vesting and that could be achieved after the requisite service period be treated as a performance condition. A reporting entity should apply existing guidance in FASB ASC Topic 718 as it relates to awards with performance conditions that affect vesting to account for such awards. As such, the performance target should not be reflected in estimating the grant-date fair value of the award. This ASU is effective for fiscal years, and interim reporting periods within those years, beginning after December 15, 2015. We believe that the adoption of this guidance will not have a material impact on our consolidated financial position, results of operations, comprehensive income, cash flows and disclosures.</w:t>
      </w:r>
    </w:p>
    <w:p>
      <w:pPr>
        <w:spacing w:after="0" w:line="70"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 xml:space="preserve">In February 2015, the FASB issued ASU No. 2015-02, which amends FASB ASU Topic 810, </w:t>
      </w:r>
      <w:r>
        <w:rPr>
          <w:rFonts w:ascii="Arial" w:cs="Arial" w:eastAsia="Arial" w:hAnsi="Arial"/>
          <w:sz w:val="17"/>
          <w:szCs w:val="17"/>
          <w:i w:val="1"/>
          <w:iCs w:val="1"/>
          <w:color w:val="auto"/>
        </w:rPr>
        <w:t>Consolidations</w:t>
      </w:r>
      <w:r>
        <w:rPr>
          <w:rFonts w:ascii="Arial" w:cs="Arial" w:eastAsia="Arial" w:hAnsi="Arial"/>
          <w:sz w:val="17"/>
          <w:szCs w:val="17"/>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We believe that the adoption of this guidance will not have a material effect on our consolidated financial position, results of operations, comprehensive income, cash flows and disclosures.</w:t>
      </w:r>
    </w:p>
    <w:p>
      <w:pPr>
        <w:spacing w:after="0" w:line="74"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which amends FASB ASU Subtopic 835-30, </w:t>
      </w:r>
      <w:r>
        <w:rPr>
          <w:rFonts w:ascii="Arial" w:cs="Arial" w:eastAsia="Arial" w:hAnsi="Arial"/>
          <w:sz w:val="18"/>
          <w:szCs w:val="18"/>
          <w:i w:val="1"/>
          <w:iCs w:val="1"/>
          <w:color w:val="auto"/>
        </w:rPr>
        <w:t xml:space="preserve">Interest - Imputation of Interest. </w:t>
      </w:r>
      <w:r>
        <w:rPr>
          <w:rFonts w:ascii="Arial" w:cs="Arial" w:eastAsia="Arial" w:hAnsi="Arial"/>
          <w:sz w:val="18"/>
          <w:szCs w:val="18"/>
          <w:color w:val="auto"/>
        </w:rPr>
        <w:t>The new standard requires that all costs incurred to issue debt be presented in the balance sheet as a direct deduction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the debt. The standard is effective for interim and annual periods beginning after December 31, 2015 and is required to be applied on a retrospective basis. Early adoption is permitted. We expect that the adoption of this new guidance will result in a reclassification of debt issuance costs on our consolidated balance sheets.</w:t>
      </w:r>
    </w:p>
    <w:p>
      <w:pPr>
        <w:spacing w:after="0" w:line="80"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In April 2015, the FASB issued ASU No. 2015-04</w:t>
      </w:r>
      <w:r>
        <w:rPr>
          <w:rFonts w:ascii="Arial" w:cs="Arial" w:eastAsia="Arial" w:hAnsi="Arial"/>
          <w:sz w:val="17"/>
          <w:szCs w:val="17"/>
          <w:i w:val="1"/>
          <w:iCs w:val="1"/>
          <w:color w:val="auto"/>
        </w:rPr>
        <w:t>, Compensation-Retirement Benefits: Practical Expedient for the Measurement Date of an 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Defined Benefit Obligation and Plan Assets, </w:t>
      </w:r>
      <w:r>
        <w:rPr>
          <w:rFonts w:ascii="Arial" w:cs="Arial" w:eastAsia="Arial" w:hAnsi="Arial"/>
          <w:sz w:val="17"/>
          <w:szCs w:val="17"/>
          <w:color w:val="auto"/>
        </w:rPr>
        <w:t>which amends FASB ASU Topic 715</w:t>
      </w:r>
      <w:r>
        <w:rPr>
          <w:rFonts w:ascii="Arial" w:cs="Arial" w:eastAsia="Arial" w:hAnsi="Arial"/>
          <w:sz w:val="17"/>
          <w:szCs w:val="17"/>
          <w:i w:val="1"/>
          <w:iCs w:val="1"/>
          <w:color w:val="auto"/>
        </w:rPr>
        <w:t xml:space="preserve">, Compensation - Retirement Benefits. </w:t>
      </w:r>
      <w:r>
        <w:rPr>
          <w:rFonts w:ascii="Arial" w:cs="Arial" w:eastAsia="Arial" w:hAnsi="Arial"/>
          <w:sz w:val="17"/>
          <w:szCs w:val="17"/>
          <w:color w:val="auto"/>
        </w:rPr>
        <w:t>This ASU provides a practical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expedient that permits the entity to measure defined benefit plan assets and obligations using the month-end that is closest to the entity’s fiscal year-end and apply that practical expedient consistently from year to year. This ASU is effective for annual periods, including interim periods within those annual periods, beginning after December 15, 2015 with early adoption permitted. We anticipate that the adoption of this guidance will have minimal impact on our consolidated financial position, results of operations, comprehensive income, cash flows and disclosures.</w:t>
      </w:r>
    </w:p>
    <w:p>
      <w:pPr>
        <w:spacing w:after="0" w:line="70" w:lineRule="exact"/>
        <w:rPr>
          <w:sz w:val="20"/>
          <w:szCs w:val="20"/>
          <w:color w:val="auto"/>
        </w:rPr>
      </w:pPr>
    </w:p>
    <w:p>
      <w:pPr>
        <w:ind w:right="40" w:firstLine="378"/>
        <w:spacing w:after="0" w:line="291" w:lineRule="auto"/>
        <w:rPr>
          <w:sz w:val="20"/>
          <w:szCs w:val="20"/>
          <w:color w:val="auto"/>
        </w:rPr>
      </w:pPr>
      <w:r>
        <w:rPr>
          <w:rFonts w:ascii="Arial" w:cs="Arial" w:eastAsia="Arial" w:hAnsi="Arial"/>
          <w:sz w:val="16"/>
          <w:szCs w:val="16"/>
          <w:color w:val="auto"/>
        </w:rPr>
        <w:t xml:space="preserve">In April 2015, the FASB issued ASU No. 2015-06, </w:t>
      </w:r>
      <w:r>
        <w:rPr>
          <w:rFonts w:ascii="Arial" w:cs="Arial" w:eastAsia="Arial" w:hAnsi="Arial"/>
          <w:sz w:val="16"/>
          <w:szCs w:val="16"/>
          <w:i w:val="1"/>
          <w:iCs w:val="1"/>
          <w:color w:val="auto"/>
        </w:rPr>
        <w:t>Effects on Historical Earnings per Unit of Master Limited Partnership Dropdown Transactions</w:t>
      </w:r>
      <w:r>
        <w:rPr>
          <w:rFonts w:ascii="Arial" w:cs="Arial" w:eastAsia="Arial" w:hAnsi="Arial"/>
          <w:sz w:val="16"/>
          <w:szCs w:val="16"/>
          <w:color w:val="auto"/>
        </w:rPr>
        <w:t xml:space="preserve">, which amends FASB ASU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This ASU requires that for purposes of calculating earnings per share under the two-class method, the earnings or losses of a transferred business before the date of a dropdown transaction should be allocated entirely to the general partner. In that circumstance, the previously reported earnings per unit of the limited partners would not change as a result of the drop down transaction. The guidance is effective for fiscal years beginning after December 15, 2015, and interim periods within those fiscal years. Earlier application is permitted. The adoption of this guidance will have no impact on our consolidated financial statements and footnote disclosures as we have historically allocated earnings or losses of a transferred business before the date of applicable dropdown transactions to the general partner for purposes of calculating earnings per share.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color w:val="auto"/>
        </w:rPr>
        <w:t xml:space="preserve">Federal-Mogul Holdings Corporation (“Federal-Mogul”), CVR Energy, Inc. ("CVR"), American Railcar Industries, Inc. (“ARI”) and Tropicana Entertainment Inc. (“Tropicana”) are each a public reporting entity under the Securities Exchange Act of 1934, as amended, and file annual, quarterly and current reports and proxy and information statements with the SEC. Each of these reports is publicly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 (Unaudited)</w:t>
      </w:r>
    </w:p>
    <w:p>
      <w:pPr>
        <w:spacing w:after="0" w:line="23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Investment segment is comprised of various private investment funds, including Icahn Partners L.P. ("Icahn Partners") and Icahn Partners Master Fund LP ("Master Fund") (collectively,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8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We had interests in the Investment Funds with a fair value of approximately $4.6 billion and $4.3 billion as of June 30, 2015 and December 31, 2014,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We conduct our Automotive segment through our majority ownership in Federal-Mogul and IEH Auto Holdings, LLC ("IEH Auto"), which acquired certain automotive assets of Uni-Select, Inc. through an acquisition that was consummated during the second quarter of 2015 (see below for further discussion).</w:t>
      </w:r>
    </w:p>
    <w:p>
      <w:pPr>
        <w:spacing w:after="0" w:line="73"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7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Federal-Mogul operates with two end-customer focused businesses. The Powertrain business unit focuses on original equipment products for automotive, heavy duty and industrial applications. The Motorparts business unit sells and distributes a broad portfolio of products in the global aftermarket, while also serving original equipment manufacturers with products including braking, chassis, wipers and other vehicle components. This organizational model allows for a strong product line focus benefitting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and acquisition growth, profit improvement, resource utilization and business model optimization in line with the unique requirements of the two different customer bases.</w:t>
      </w:r>
    </w:p>
    <w:p>
      <w:pPr>
        <w:spacing w:after="0" w:line="7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IEH Auto has 39 distribution centers and satellite locations and 240 corporate-owned jobber stores in the United States and supports a network of more than 2,000 independent wholesalers. IEH Auto operates independently of Federal-Mogul.</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between Federal-Mogul and IEH Auto have been eliminated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On September 3, 2014, Federal-Mogul announced its plan to separate its Powertrain and Motorparts businesses into two independent, publicly-traded companies serving the global original equipment and aftermarket industries. The planned separation will be implemented through a tax-free distribution of Federal-Mogul’s Motorparts business to shareholders of Federal-Mogul Holdings Corporation. Completion of the transaction is subject to customary conditions, including among others, Federal-Mogul’s receipt of an IRS ruling or opinion of counsel to the effect that the distribution will qualify as a transaction that is generally tax-free for U.S. Federal Income tax purposes, as well as effectiveness of a Form 10 Registration Statement to be filed with the SEC.</w:t>
      </w:r>
    </w:p>
    <w:p>
      <w:pPr>
        <w:spacing w:after="0" w:line="85"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On February 24, 2015, Federal-Mogul announced that it would defer the previously announced spin-off of its Motorparts business to allow for the integration of its recently completed brake component, chassis and valvetrain acquisitions and to recognize the benefits of the strategic initiatives in the Motorparts business. As a result of the deferral and the recent closing of the acquisition of TRW's (as defined below) valvetrain business, Federal-Mogul commenced a common stock rights offering to strengthen its balance sheet. See below for further information regarding this rights offering. Federal-Mogul's board of directors intends to revisit the timing of the spin-off prior to the end of December 31, 2015. Meanwhile Federal-Mogul will</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337" w:right="2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continue to operate as two separate, independent businesses. No assurances can be given regarding the ultimate timing of the separation or that it will be consummated.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TRW Acquisition</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February 6, 2015, certain subsidiaries of Federal-Mogul finalized an agreement with TRW Automotive Holdings Corp. ("TRW") to purchase certain business assets of the TRW engine components business. The business was acquired through a combination of asset and stock purchases for a base purchase price of $309 million with $6 million of consideration to be payable upon certain conditions being met. The purchase price was funded primarily from the Federal-Mogul Replacement Revolving Facility (as defined herein) and is subject to certain customary closing and post-closing adjustments. The purchase of TRW’s engine valve business adds a new product line to Federal-Mogul's portfolio, strengthens its position as a leading developer and supplier of core components for engines, and enhances its ability to support its customers to improve fuel economy and reduce emissions.</w:t>
      </w:r>
    </w:p>
    <w:p>
      <w:pPr>
        <w:spacing w:after="0" w:line="5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 preliminary valuation of the net assets of the TRW engine components business acquisition resulted in $140 million allocated to tangible net assets, $85 million to goodwill and $90 million to other identified intangible assets as of the acquisition date. Because Federal-Mogul is in the process of finalizing certain customary post-closing adjustments, the provisional measurements of net assets are subject to change. The valuation of net assets was performed utilizing cost, income and market approaches. The TRW engine components business acquisition is not material, individually or in the aggregate with the IEH Auto and Ferrous Resources acquisitions, to our condensed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IEH Auto Acquisition</w:t>
      </w:r>
    </w:p>
    <w:p>
      <w:pPr>
        <w:spacing w:after="0" w:line="117"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On June 1, 2015, IEH Auto acquired substantially all of the auto parts assets in the United States of Uni-Select, Inc., a leading automotive parts distributor for domestic and imported vehicles, for a purchase price of $330 million, subject to certain customary post-closing adjustment. A preliminary valuation of the net assets of the IEH Auto business acquisition resulted in $339 million allocated to tangible net assets and $2 million allocated to other identified intangible assets as of the acquisition date. In addition, we recorded a bargain purchase gain of $3 million, net of taxes related to this purchase, representing the difference of the fair value of net assets acquired over the consideration transferred as of the acquisition date. The bargain purchase was recorded in other income, net on the condensed consolidated statements of operations. We reassessed whether we had correctly identified all of the assets acquired and all of the liabilities assumed of the IEH Auto business acquisition before recognizing a gain on a bargain purchase. We concluded that we had appropriately reviewed our procedures for measuring and allocating fair values of the IEH Auto business acquisition before recognizing a bargain purchase gain.</w:t>
      </w:r>
    </w:p>
    <w:p>
      <w:pPr>
        <w:spacing w:after="0" w:line="8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Because IEH Auto is in the process of finalizing certain customary post-closing adjustments, the provisional measurements of net assets are subject to change. The valuation of net assets was performed utilizing cost, income and market approaches. The acquisition of IEH Auto was not material, individually or in the aggregate with the TRW engine components business acquisition and the Ferrous Resources acquisition, to our condensed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March 26, 2015, Federal-Mogul received $250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 Federal-Mogul common stock, thereby increasing our ownership of Federal-Mogul, for an aggregate additional investment of $230 million.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2015, we owned approximately 82.0% of the total outstanding common stock of Federal-Mogul.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right="520" w:firstLine="405"/>
        <w:spacing w:after="0" w:line="272" w:lineRule="auto"/>
        <w:rPr>
          <w:sz w:val="20"/>
          <w:szCs w:val="20"/>
          <w:color w:val="auto"/>
        </w:rPr>
      </w:pPr>
      <w:r>
        <w:rPr>
          <w:rFonts w:ascii="Arial" w:cs="Arial" w:eastAsia="Arial" w:hAnsi="Arial"/>
          <w:sz w:val="17"/>
          <w:szCs w:val="17"/>
          <w:color w:val="auto"/>
        </w:rPr>
        <w:t xml:space="preserve">Federal-Mogul's subsidiaries in Brazil, France, Germany, Italy and the United States are party to accounts receivable factoring and securitization facilities. Gross accounts receivable transferred under these facilities were $383 million and $306 million as of June 30, 2015 and December 31, 2014, respectively. Of those gross amounts, $365 million and $293 million, respectively, qualify as sales as defined in FASB ASC Topic 860, </w:t>
      </w:r>
      <w:r>
        <w:rPr>
          <w:rFonts w:ascii="Arial" w:cs="Arial" w:eastAsia="Arial" w:hAnsi="Arial"/>
          <w:sz w:val="17"/>
          <w:szCs w:val="17"/>
          <w:i w:val="1"/>
          <w:iCs w:val="1"/>
          <w:color w:val="auto"/>
        </w:rPr>
        <w:t>Transfers and</w:t>
      </w:r>
      <w:r>
        <w:rPr>
          <w:rFonts w:ascii="Arial" w:cs="Arial" w:eastAsia="Arial" w:hAnsi="Arial"/>
          <w:sz w:val="17"/>
          <w:szCs w:val="17"/>
          <w:color w:val="auto"/>
        </w:rPr>
        <w:t xml:space="preserve"> </w:t>
      </w:r>
      <w:r>
        <w:rPr>
          <w:rFonts w:ascii="Arial" w:cs="Arial" w:eastAsia="Arial" w:hAnsi="Arial"/>
          <w:sz w:val="17"/>
          <w:szCs w:val="17"/>
          <w:i w:val="1"/>
          <w:iCs w:val="1"/>
          <w:color w:val="auto"/>
        </w:rPr>
        <w:t>Servicing</w:t>
      </w:r>
      <w:r>
        <w:rPr>
          <w:rFonts w:ascii="Arial" w:cs="Arial" w:eastAsia="Arial" w:hAnsi="Arial"/>
          <w:sz w:val="17"/>
          <w:szCs w:val="17"/>
          <w:color w:val="auto"/>
        </w:rPr>
        <w:t>. The remaining transferred receivables were pledged as collateral and accounted for as secured borrowings and recorded in the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sheets within accounts receivable, net and debt. Under the terms of these facilities, Federal-Mogul is not obligated to draw cash immediately upon the transfer of accounts receivable. As of June 30, 2015 and December 31, 2014, Federal-Mogul had withdrawn cash related to such transferred receivables of $2 million and $2 million, respectively. Proceeds from the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37"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transfers of accounts receivable qualifying as sales were $410 million and $445 million for the three months ended June 30, 2015 and 2014, respectively, and $800 million and $855 million for the six months ended June 30, 2015 and 2014, respectively.</w:t>
      </w:r>
    </w:p>
    <w:p>
      <w:pPr>
        <w:spacing w:after="0" w:line="6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For the three months ended June 30, 2015 and 2014, expenses associated with transfers of receivables were $2 million and $2 million, respectively. For the six months ended June 30, 2015 and 2014, expenses associated with transfers of receivables were $4 million and $3 million, respectively. Such expenses were recorded in the condensed consolidated statements of operations within other income (loss), net. Where Federal-Mogul receives a fee to service and monitor these transferred receivables, such fees are sufficient to offset the costs and as such, a servicing asset or liability is not incurred as a result of such activities.</w:t>
      </w:r>
    </w:p>
    <w:p>
      <w:pPr>
        <w:spacing w:after="0" w:line="8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Certain of the facilities contain terms that require Federal-Mogul to share in the credit risk of the sold receivables. The maximum exposure to Federal-Mogul associated with certain of these facilities' terms were $15 million and $17 million as of June 30, 2015 and December 31, 2014, respectively. Based on Federal-Mogul's analysis of the creditworthiness of its customers on which such receivables were sold and outstanding as of both June 30, 2015 and December 31, 2014, Federal-Mogul estimated the loss to be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the three months ended June 30, 2015 and 2014, Federal-Mogul recorded $27 million and $30 million, respectively, in restructuring charges. During the six months ended June 30, 2015 and 2014, Federal-Mogul recorded $39 million and $38 million, respectively, in restructuring charges. These restructuring charges, primarily consisting of employee costs and headcount reductions, pertain to all restructuring programs that Federal-Mogul has initiated in order to improve its operating performance.</w:t>
      </w:r>
    </w:p>
    <w:p>
      <w:pPr>
        <w:spacing w:after="0" w:line="7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Restructuring expenses for the three months ended June 30, 2015 primarily relate to the reshaping of Federal-Mogul's aftermarket distribution network in Europe and separation programs in various European countries, primarily Germany, aimed at integrating the recently acquired Honeywell braking component locations. Federal-Mogul expects to complete these programs in 2018 and incur additional restructuring and other charges of approximately $30 million in connection therewith. For programs previously initiated, Federal-Mogul expects to complete these programs in 2016 and incur additional restructuring and other charges of approximately $15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conduct our Energy segment through our majority ownership in CVR.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("UAN") and ammonia. As of June 30, 2015, CVR owned 100% of the general partners of CVR Refining and CVR Partners and approximately 66% of the common units of CVR Refining and approximately 53% of the common units of CVR Partners.</w:t>
      </w:r>
    </w:p>
    <w:p>
      <w:pPr>
        <w:spacing w:after="0" w:line="8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As of June 30, 2015, we owned approximately 82.0% of the total outstanding common stock of CVR. In addition, as of June 30, 2015, we owned approximately 4.0% of the total outstanding common units of CVR Refining directly.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On June 30, 2014, CVR Refining completed an underwritten offering (the “Follow-on Offering”), resulting in gross proceeds of $170 million before giving effect to underwriting discounts and other offering expenses. On July 24, 2014, the underwriters exercised their option to purchase additional common units of CVR Refining, resulting in additional gross proceeds of $15 million. CVR Refining used this $15 million in gross proceeds to redeem an equal amount of common units from CVR Refining Holdings, LLC. Additionally, on July 24, 2014, CVR Refining Holdings, LLC sold common units to the public in connection with the underwriters' exercise of their remaining option to purchase additional common units, resulting in net proceeds of $10 million.</w:t>
      </w:r>
    </w:p>
    <w:p>
      <w:pPr>
        <w:spacing w:after="0" w:line="5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a result of the Follow-on Offering during the six months ended June 30, 2014, our consolidated equity increased by an aggregate of $140 million, of which $131 million was attributable to non-affiliated non-controlling interests and $9 million was attributable to both Icahn Enterprises and Icahn Enterprises Holdings. These offerings are reflected in proceeds from subsidiary equity offerings in our condensed consolidated statements of changes in equity.</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337"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Petroleum Business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CVR Refining's petroleum business includes a 115,000 barrels per calendar day ("bpcd") rated capacity complex full coking medium-sour crude oil refinery in Coffeyville, Kansas and a 70,000 bpcd rated capacity complex crude oil refinery in Wynnewood, Oklahoma.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8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addition to the refineries, CVR's petroleum business owns and operates the following: (1) a crude oil gathering system with a gathering capacity of over 60,000 barrels per day ("bpd") serving Kansas, Oklahoma, Missouri, Colorado, Nebraska and Texas; (2) a 170,000 bpd pipeline system (supported by approximately 336 miles of active owned and leased pipeline) that transports crude oil to its Coffeyville refinery from its Broome Station facility near Caney, Kansas; (3) over 6.0 million barrels of owned and leased crude oil storage; (4) a rack marketing division supplying product through tanker trucks directly to customers located in close geographic proximity to Coffeyville, Kansas and Wynnewood, Oklahoma and at throughput terminals on Magellan and NuStar Energy, LP's ("NuStar") refined products distribution systems; and (5) approximately 4.5 million barrels of combined refinery related storage capacity.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Nitrogen Fertilizer Business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CVR Partners' nitrogen fertilizer business consists of a nitrogen fertilizer manufacturing facility that utilizes a petroleum coke, or pet coke, gasification process to produce nitrogen fertilizer. The facility includes a 1,225 ton-per-day ammonia unit, a 3,000 ton-per-day UAN unit and a gasifier complex having a capacity of 84 million standard cubic feet per day of hydrogen. The gasifier is a dual-train facility, with each gasifier able to function independently of the other, thereby providing redundancy and improving reliability.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We conduct our Railcar segment through our majority ownership interests in ARI and American Railcar Leasing, LLC ("ARL"). Pursuant to a contribution agreement dated September 20, 2013 (the "ARL Contribution Agreement"), we acquired a 75% economic interest in ARL in October 2013. Pursuant to the ARL Contribution Agreement, on January 1, 2014, we contributed AEP Leasing, LLC, a wholly owned indirect subsidiary of ours, to ARL.</w:t>
      </w:r>
    </w:p>
    <w:p>
      <w:pPr>
        <w:spacing w:after="0" w:line="3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ARI manufactures railcars that are offered for sale or lease, custom and standard railcar components and other industrial products, primarily aluminum and special alloy steel castings. These products are sold to various types of companies including leasing companies, industrial companies, shippers and Class I railroads. ARI leases railcars that it manufactures to certain markets that include the energy, food and agriculture, chemical, minerals and petrochemical industries. ARI provides railcar services consisting of railcar repair services, ranging from full to light repair, engineering and on-site repairs and maintenance through its various repair facilities, including mini repair shops and mobile repair units.</w:t>
      </w:r>
    </w:p>
    <w:p>
      <w:pPr>
        <w:spacing w:after="0" w:line="6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between ARI and ARL have been eliminated in consolidation.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580" w:firstLine="405"/>
        <w:spacing w:after="0" w:line="375" w:lineRule="auto"/>
        <w:rPr>
          <w:sz w:val="20"/>
          <w:szCs w:val="20"/>
          <w:color w:val="auto"/>
        </w:rPr>
      </w:pPr>
      <w:r>
        <w:rPr>
          <w:rFonts w:ascii="Arial" w:cs="Arial" w:eastAsia="Arial" w:hAnsi="Arial"/>
          <w:sz w:val="18"/>
          <w:szCs w:val="18"/>
          <w:color w:val="auto"/>
        </w:rPr>
        <w:t xml:space="preserve">As of June 30, 2015, we owned approximately 55.6% of the total outstanding common stock of ARI and had a 75.0% economic interest in ARL. </w:t>
      </w:r>
      <w:r>
        <w:rPr>
          <w:rFonts w:ascii="Arial" w:cs="Arial" w:eastAsia="Arial" w:hAnsi="Arial"/>
          <w:sz w:val="18"/>
          <w:szCs w:val="18"/>
          <w:b w:val="1"/>
          <w:bCs w:val="1"/>
          <w:i w:val="1"/>
          <w:iCs w:val="1"/>
          <w:color w:val="auto"/>
        </w:rPr>
        <w:t>Gaming</w:t>
      </w:r>
    </w:p>
    <w:p>
      <w:pPr>
        <w:spacing w:after="0" w:line="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Gaming segment through our majority ownership in Tropicana. Tropicana currently owns and operates a diversified, multi-jurisdictional collection of casino gaming properties. The eight casino facilities it operates feature approximately 391,000 square feet of gaming space with 8,000 slot machines, 300 table games and 5,500 hotel rooms with two casino facilities located in Nevada and one in each of Mississippi, Missouri, Indiana, Louisiana, New Jersey and Aruba.</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2015,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conduct our Mining segment through our majority ownership in Ferrous Resources. As discussed below, we obtained control of and consolidated the results of Ferrous Resources during the second quarter of 2015.</w:t>
      </w:r>
    </w:p>
    <w:p>
      <w:pPr>
        <w:spacing w:after="0" w:line="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Ferrous Resources acquired certain rights to iron ore mineral resources in Brazil and develops mining operations and related infrastructure to produce and sell iron ore products to the global steel industry. Ferrous Resources has acquired significant iron ore assets in the State of Minas Gerais, Brazil, known as Viga, Viga Norte, Esperança, Serrinha and Santanense. In addition, Ferrous Resources has acquired certain mineral rights near Jacuípe in the State of Bahia, Brazil. Of the assets acquired, Viga, Esperança and Santanense are already extracting and producing iron ore, while the other assets are at an early stage of exploration.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On April 25, 2015, IEP Ferrous Brazil LLC ("IEP Ferrous"), a wholly owned subsidiary of ours, entered into an agreement which provided that IEP Ferrous would launch a tender offer to purchase any and all of the outstanding shares of Ferrous Resources for $0.36 per share and backstop a certain rights offering of up to $40 million.</w:t>
      </w:r>
    </w:p>
    <w:p>
      <w:pPr>
        <w:spacing w:after="0" w:line="7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Prior to the tender offer, IEP Ferrous owned approximately 14.1% of the total outstanding shares of Ferrous Resources. As a result of the tender offer, IEP Ferrous obtained control of Ferrous Resources through the purchase of additional shares of Ferrous Resources on June 8, 2015 (the acquisition date), and additional shares of Ferrous Resources on June 26, 2015 for a combined aggregate tender consideration of $180 million. In addition, on June 26, 2015, pursuant to a certain rights offering, we purchased additional shares of Ferrous Resources for an aggregate consideration of $29 million. As a result, as of June 30, 2015, we owned approximately 77.2% of the total outstanding common stock of Ferrous Resources.</w:t>
      </w:r>
    </w:p>
    <w:p>
      <w:pPr>
        <w:spacing w:after="0" w:line="64"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Prior to obtaining a controlling interest, we remeasured our equity interest in Ferrous Resources to its acquisition-date fair value of $36 million, resulting in a $4 million loss on investment activities.</w:t>
      </w:r>
    </w:p>
    <w:p>
      <w:pPr>
        <w:spacing w:after="0" w:line="6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 preliminary valuation of the net assets of the Ferrous Resources business acquisition resulted in $362 million allocated to tangible net assets as of the acquisition date. Because IEP Ferrous is in the process of finalizing certain customary post-closing adjustments, the provisional measurements of net assets are subject to change. The valuation of net assets was performed utilizing cost, income and market approaches. The acquisition of Ferrous Resources was not material, individually or in the aggregate with the TRW engine components business acquisition and the IEH Auto acquisition, to our condensed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nine manufacturing facilities and six distribution centers throughout North America, Europe, South America and Asia and derives approximately 69% of its total net sales from customers located outside the United States.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2015, we owned approximately 73.3% of the total outstanding common stock of Viskase.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Real Estate segment consists of rental real estate, property development and resort activities.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As of June 30, 2015, we owned 27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development property in Vero Beach, Florida include land for future residential development of approximately 244 and 1,128 units of residential housing, respectively. Both developments operate golf and resort operations as well. During the six months ended June 30, 2015, we sold the Oak Harbor development and operations, which historically operated as part of Grand Harbor. In addition, our Real Estate segment owns an unfinished development property which is located on approximately 23 acres in Las Vegas, Nevada.</w:t>
      </w:r>
    </w:p>
    <w:p>
      <w:pPr>
        <w:spacing w:after="0" w:line="59"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As of June 30, 2015 and December 31, 2014, $28 million and $31 million, respectively, of the net investment in financing leases and net real estate leased to others which is included in property, plant and equipment, net, were pledged to collateralize the payment of nonrecourse mortgages payable.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 quilts, comforters and duvet covers, bath and 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1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During the first quarter of 2015, affiliates of Mr. Icahn made investments aggregating $245 million in the Investment Funds. As of June 30, 2015 and December 31, 2014, the total fair market value of investments in the Investment Funds made by Mr. Icahn and his affiliates (excluding Icahn Enterprises and Icahn Enterprises Holdings) was approximately $5.4 billion and $4.8 billion, respectively, representing approximately 54% and 53%, respectively, of the Investment Funds' assets under management.</w:t>
      </w:r>
    </w:p>
    <w:p>
      <w:pPr>
        <w:spacing w:after="0" w:line="8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Icahn Capital LP ("Icahn Capital") pays for expenses pertaining to the operation, administration and investment activities of our Investment segment for the benefit of the Investment Funds (including salaries, benefits and rent); such expenses are allocated to Icahn Capital in accordance with each investor's capital accounts in the Investment Funds. Effective April 1, 2011, based on an expense-sharing arrangement, certain expenses borne by Icahn Capital are reimbursed by the Investment Funds, generally when such expenses are paid. For the three months ended June 30, 2015 and 2014, $130 million and $86 million, respectively, was allocated to the Investment Funds based on this expense-sharing arrangement. For the six months ended June 30, 2015 and 2014, $228 million and $102 million, respectively, was allocated to the Investment Funds based on this expense-sharing arrangement.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ACF Industries LLC</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ARI has from time to time purchased components from ACF under a long-term agreement, as well as on a purchase order basis. Under the manufacturing services agreement entered into in 1994 and amended in 2005, ACF agreed to manufacture and distribute, at ARI’s instruction, various railcar components. In consideration for these services, ARI agreed to pay ACF based on agreed upon rates. The agreement automatically renews unless written notice is provided by ARI.</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Also in April 2015, ARI entered into a parts purchasing and sale agreement with ACF. The agreement was unanimously approved by the independent directors of ARI’s and Icahn Enterprises' audit committee. Under this agreement, ARI and ACF may, from time to time, purchase and sell to each other certain parts for railcars ("Railcar Parts"). ARI also provides a non-exclusive and non-assignable license of certain intellectual property related to the manufacture and sale of Railcar Parts to ARI. The buyer under the agreement must pay the market price of the parts as determined in the agreement or as stated on a public website for all ARI buyers. ARI may provide designs, engineering and purchasing support, including all materials and components to ACF. Subject to certain early termination events, the agreement terminates on December 31, 2020.</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ARI purchased $7 million and $1 million of components from ACF during the three months ended June 30, 2015 and 2014, respectively, and $9 million and $1 million for the six months ended June 30, 2015 and 2014, respectively.</w:t>
      </w:r>
    </w:p>
    <w:p>
      <w:pPr>
        <w:spacing w:after="0" w:line="62"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In January 2013, ARI entered into a purchasing and engineering services agreement and license with ACF Industries LLC ("ACF"), an affiliate of Mr. Icahn. ACF is a leader in the manufacture and fabrication of specialty railcar parts and miscellaneous steel products.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tank railcars at its facility in Milton, Pennsylvania. Additionally, ARI has granted ACF a nonexclusive, non-assignable license to certain of ARI’s intellectual property, including certain designs, specifications, processes and manufacturing know-how required to manufacture and sell tank railcars during the term of the agreement. In August 2014, ARI and ACF amended this agreement to, among other provisions, extend the termination date to December 31, 2015 from December 31, 2014, subject to certain early termination events.</w:t>
      </w:r>
    </w:p>
    <w:p>
      <w:pPr>
        <w:spacing w:after="0" w:line="8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are provided at fair market value.</w:t>
      </w:r>
    </w:p>
    <w:p>
      <w:pPr>
        <w:spacing w:after="0" w:line="8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Under the agreement, ACF had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termination of the agreement.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ARI's revenues under this agreement were $4 million and $6 million for the three months ended June 30, 2015 and 2014, respectively, and $6 million and $12 million for the six months ended June 30, 2015 and 2014, respectively, for sales of railcar components to ACF and for royalties and profits on railcars sold by ACF.</w:t>
      </w:r>
    </w:p>
    <w:p>
      <w:pPr>
        <w:spacing w:after="0" w:line="46"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In April 2015, ARI entered into a repair services and support agreement with ACF. The agreement was unanimously approved by the independent directors of ARI’s and Icahn Enterprises' audit committee. Under this agreement, ARI provides certain sales and administrative and technical services, materials and purchasing support and engineering services to ACF to provide repair and retrofit services ("Repair Services"). Additionally, ARI provides a non-exclusive and non-assignable license of certain intellectual property related to the Repair Services for railcars. ARI receives 30% of the net profits (as defined in the agreement) for Repair Services related to all railcars not owned by ARL or its subsidiaries and 20% of the net profits for Repair Services related to all railcars owned by ARL or its subsidiaries, if any, but does not absorb any losses incurred by ACF.</w:t>
      </w:r>
    </w:p>
    <w:p>
      <w:pPr>
        <w:spacing w:after="0" w:line="12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Under the agreement, ARI has the exclusive right to sales opportunities related to Repair Services, except for any sales opportunity related to Repair Services presented to ACF by ARL with respect to ARL-owned railcars. ARI also has the right to assign any sales opportunities related to Repair Services to ACF, and ACF has the right, but not the obligation, to accept such sales opportunity. Subject to certain early termination events, the agreement terminates on December 31, 2020.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revenues have been recorded under this agreement in 2015.</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In April 2013, AEP Leasing entered into an agreement (the "ACF Agreement") with ACF whereby AEP Leasing would purchase a total of 1,050 railcars from ACF in 2013 and 2014 for an aggregate purchase price of approximately $150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Additionally, AEP Leasing had an option to purchase an additional 500 railcars for an aggregate purchase price of approximately $70 million. During the second quarter of 2014, AEP Leasing exercised its option to purchase an additional 296 railcars for an aggregate purchase price of $42 million.</w:t>
      </w:r>
    </w:p>
    <w:p>
      <w:pPr>
        <w:spacing w:after="0" w:line="16"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The ACF Agreement was assumed by ARL in connection with our purchase of a 75.0%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from ACF were zero and $36 million for the three months ended June 30, 2015 and 2014, respectively, and $9 million and $63 million for the six months ended June 30, 2015 and 2014, respectively.</w:t>
      </w:r>
    </w:p>
    <w:p>
      <w:pPr>
        <w:spacing w:after="0" w:line="6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 addition to the above purchases, on a contract-by-contract basis, ARL purchased $21 million and $27 million of railcars from ACF for the three and six months ended June 30, 2015,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Icahn Sourcing, LLC ("Icahn Sourcing")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was a member of the buying group in 2012. Prior to December 31, 2012 Icahn Enterprises did not pay Icahn Sourcing any fees or other amounts with respect to the buying group arrangement.</w:t>
      </w:r>
    </w:p>
    <w:p>
      <w:pPr>
        <w:spacing w:after="0" w:line="7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December 2012, Icahn Sourcing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operating expenses. In addition to the minority equity interest held by Icahn Enterprises Holdings, certain subsidiaries of Icahn Enterprises Holdings, including Federal-Mogul, CVR, Tropicana, ARI, ARL, Viskase, PSC Metals and WPH also acquired minority equity interests in Insight Portfolio Group and agreed to pay a portion of Insight Portfolio Group's operating expenses. A number of other entities with which Mr. Icahn has a relationship also acquired equity interests in Insight Portfolio Group and also agreed to pay certain of Insight Portfolio Group's operating expenses. For each of three and six months ended June 30, 2015 and 2014, immaterial amounts were paid in respect to certain of the Insight Portfolio Group's operating expenses.</w:t>
      </w:r>
    </w:p>
    <w:p>
      <w:pPr>
        <w:spacing w:after="0" w:line="17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and derivatives, all of which are reported at fair value in our condensed consolidated balance sheets. See Note 5, "Fair Value Measurements - Investment," for details of the investments for our Investment segment.</w:t>
      </w:r>
    </w:p>
    <w:p>
      <w:pPr>
        <w:spacing w:after="0" w:line="7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their investments based on a combination of qualitative and quantitative factors, including overall stock ownership of the Investment Funds combined with those of our affiliates along with board of directors representation.</w:t>
      </w:r>
    </w:p>
    <w:p>
      <w:pPr>
        <w:spacing w:after="0" w:line="73"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Our Investment segment applied the fair value option to certain of its investments that would have otherwise been subject to the equity method of accounting. As of both June 30, 2015 and December 31, 2014, the fair value of these investments was less than $1 million. During the three months ended June 30, 2015 and 2014, our Investment segment recorded gains (losses) of $1 million and $(1) million, respectively, associated with these investments. During the six months ended June 30, 2015 and 2014, our Investment segment recorded (losses) gains of $(1) million and $1 million, respectively, associated with these investments. Such amounts are included in net gain from investment activities in our condensed consolidated statements of operations.</w:t>
      </w:r>
    </w:p>
    <w:p>
      <w:pPr>
        <w:spacing w:after="0" w:line="50"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We believe that these investments to which we applied the fair value option are not material, individually or in the aggregate, to our condensed consolidated financial statements.</w:t>
      </w:r>
    </w:p>
    <w:p>
      <w:pPr>
        <w:spacing w:after="0" w:line="62"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The portion of trading gains that relates to trading securities still held by our Investment segment for the three months ended June 30, 2015 and 2014 was $229 million and approximately $1.6 billion, respectively, and for the six months ended June 30, 2015 and 2014 was $624 million and approximately $1.7 billion, respectively.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carrying value of investments held by our Automotive, Energy, Railcar, Gaming and Home Fashion segments and our Holding Company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 2015</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1"/>
              </w:rPr>
              <w:t>December 31, 2014</w:t>
            </w:r>
          </w:p>
        </w:tc>
      </w:tr>
      <w:tr>
        <w:trPr>
          <w:trHeight w:val="27"/>
        </w:trPr>
        <w:tc>
          <w:tcPr>
            <w:tcW w:w="67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7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1800" w:type="dxa"/>
            <w:vAlign w:val="bottom"/>
            <w:tcBorders>
              <w:bottom w:val="single" w:sz="8" w:color="CCEEFF"/>
            </w:tcBorders>
            <w:shd w:val="clear" w:color="auto" w:fill="CCEEFF"/>
          </w:tcPr>
          <w:p>
            <w:pPr>
              <w:jc w:val="right"/>
              <w:ind w:right="15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800" w:type="dxa"/>
            <w:vAlign w:val="bottom"/>
          </w:tcPr>
          <w:p>
            <w:pPr>
              <w:spacing w:after="0"/>
              <w:rPr>
                <w:sz w:val="21"/>
                <w:szCs w:val="21"/>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67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5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Our Holding Company applies the fair value option to its investments that would otherwise be subject to the equity method of accounting. We record unrealized gains and losses for the change in fair value of such investments as a component of net gain from investment activities in the condensed consolidated statements of operations.</w:t>
      </w:r>
    </w:p>
    <w:p>
      <w:pPr>
        <w:spacing w:after="0" w:line="73"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During the six months ended June 30, 2015, our Energy segment received proceeds of $68 million for the sale of a portion of its investment in available-for-sale securities. The aggregate cost basis for the available-for-sale securities sold was $48 million. Upon the sale of the available-for-sale securities, our Energy segment reclassified an unrealized gain of $20 million from accumulated other comprehensive loss and recognized a realized gain in net gain from investment activities in the condensed consolidated statements of operations for the six months ended June 30, 2015. At the end of the first quarter of 2015, our Energy segment's remaining available-for-sale securities, with an aggregate cost basis of $26 million, were reclassified to trading securities based on our Energy segment's ability and intent with respect to the securities. In connection with the transfer to trading securities, an unrealized gain of $12 million previously recorded in accumulated other comprehensive loss was reclassified to net gain from investment activities in the condensed consolidated statements of operations for the six months ended June 30, 2015. During the three months ended June 30, 2015, the trading securities were sold, and our Energy segment received proceeds of $38 million and recognized an additional realized gain of less than $1 million in net gain from investment activities in the condensed consolidated statements of operations for the three and six months ended June 30, 2015.</w:t>
      </w:r>
    </w:p>
    <w:p>
      <w:pPr>
        <w:spacing w:after="0" w:line="17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4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4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valuation of the Investment Funds' investments and derivative contracts by the above fair value hierarchy levels as of June 30, 2015 and December 31,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420"/>
              <w:spacing w:after="0"/>
              <w:rPr>
                <w:sz w:val="20"/>
                <w:szCs w:val="20"/>
                <w:color w:val="auto"/>
              </w:rPr>
            </w:pPr>
            <w:r>
              <w:rPr>
                <w:rFonts w:ascii="Arial" w:cs="Arial" w:eastAsia="Arial" w:hAnsi="Arial"/>
                <w:sz w:val="16"/>
                <w:szCs w:val="16"/>
                <w:b w:val="1"/>
                <w:bCs w:val="1"/>
                <w:color w:val="auto"/>
              </w:rPr>
              <w:t>June 30, 2015</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Arial" w:cs="Arial" w:eastAsia="Arial" w:hAnsi="Arial"/>
                <w:sz w:val="16"/>
                <w:szCs w:val="16"/>
                <w:b w:val="1"/>
                <w:bCs w:val="1"/>
                <w:color w:val="auto"/>
              </w:rPr>
              <w:t>December 31, 2014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Diversified</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Industrial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5,635</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13,552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13,659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Corporate debt: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13,961</w:t>
            </w: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(1)</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5"/>
        </w:trPr>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Securities sold, not yet purchased,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at fair value:</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320"/>
              <w:spacing w:after="0"/>
              <w:rPr>
                <w:sz w:val="20"/>
                <w:szCs w:val="20"/>
                <w:color w:val="auto"/>
              </w:rPr>
            </w:pPr>
            <w:r>
              <w:rPr>
                <w:rFonts w:ascii="Arial" w:cs="Arial" w:eastAsia="Arial" w:hAnsi="Arial"/>
                <w:sz w:val="16"/>
                <w:szCs w:val="16"/>
                <w:color w:val="auto"/>
              </w:rPr>
              <w:t>Funds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tcBorders>
              <w:bottom w:val="single" w:sz="8" w:color="CCEEFF"/>
            </w:tcBorders>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other assets in our condensed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accrued expenses and other liabilities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-208915</wp:posOffset>
            </wp:positionV>
            <wp:extent cx="5788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ectPr>
          <w:pgSz w:w="11900" w:h="16838" w:orient="portrait"/>
          <w:cols w:equalWidth="0" w:num="1">
            <w:col w:w="11420"/>
          </w:cols>
          <w:pgMar w:left="240" w:top="337" w:right="239" w:bottom="744"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37" w:right="239" w:bottom="744"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our Investment segment has used Level 3 input to determine fair value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1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jc w:val="right"/>
              <w:ind w:right="830"/>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realized and unrealized losses included in earnings</w:t>
            </w: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Distribution-in-kind</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proceeds</w:t>
            </w:r>
          </w:p>
        </w:tc>
        <w:tc>
          <w:tcPr>
            <w:tcW w:w="12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0" w:firstLine="405"/>
        <w:spacing w:after="0" w:line="264" w:lineRule="auto"/>
        <w:rPr>
          <w:sz w:val="20"/>
          <w:szCs w:val="20"/>
          <w:color w:val="auto"/>
        </w:rPr>
      </w:pPr>
      <w:r>
        <w:rPr>
          <w:rFonts w:ascii="Arial" w:cs="Arial" w:eastAsia="Arial" w:hAnsi="Arial"/>
          <w:sz w:val="18"/>
          <w:szCs w:val="18"/>
          <w:color w:val="auto"/>
        </w:rPr>
        <w:t>Unrealized losses of $13 million and $33 million were included in earnings related to Level 3 investments still held at June 30, 2015 and 2014, respectively, by our Investment segment. Total realized and unrealized gains and losses recorded for Level 3 investments are reported in net gain from investment activities in our condensed consolidated statements of operations.</w:t>
      </w:r>
    </w:p>
    <w:p>
      <w:pPr>
        <w:spacing w:after="0" w:line="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Investment Funds held one Level 3 corporate debt investment at June 30, 2015. In prior periods, in determining the fair value of this investment, we performed a yield analysis of comparable loans to which we applied a risk premium. As a result of the underlying company’s performance and bankruptcy filing in the third quarter of 2014, however, we determined that it was more appropriate to measure the fair value of our debt investment through an enterprise value analysis.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summarizes the valuation of our Automotive, Energy and Gaming segments and our Holding Company investments, derivative contracts and other liabilities by the above fair value hierarchy levels as of June 30, 2015 and December 31,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8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and debt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21"/>
                <w:szCs w:val="21"/>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condensed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our Gaming segment and Holding Company have used Level 3 inputs to determine fair value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20" w:type="dxa"/>
            <w:vAlign w:val="bottom"/>
            <w:gridSpan w:val="3"/>
          </w:tcPr>
          <w:p>
            <w:pPr>
              <w:jc w:val="right"/>
              <w:ind w:right="85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Transfer out</w:t>
            </w: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Distribution-in-kind</w:t>
            </w:r>
          </w:p>
        </w:tc>
        <w:tc>
          <w:tcPr>
            <w:tcW w:w="12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additions and settlements, net</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June 30</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Unrealized losses of $13 million and $16 million were included in earnings related to Level 3 investments still held at as of June 30, 2015 and 2014, respectively, by our Gaming segment and Holding Company. Total realized and unrealized gains and losses recorded for Level 3 investments are reported in net gain from investment activities in our condensed consolidated statements of operations.</w:t>
      </w:r>
    </w:p>
    <w:p>
      <w:pPr>
        <w:spacing w:after="0" w:line="7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Gaming segment has certain debt securities that are classified as held-to-maturity since our Gaming segment has the ability and intent to hold these bonds to maturity. These debt securities are initially recorded at a discount to approximate fair value. After the initial determination of fair value, our Gaming segment analyzes recoverability of these bonds on a quarterly basis and record changes in fair value based on its historical collection experience and certain other information.</w:t>
      </w:r>
    </w:p>
    <w:p>
      <w:pPr>
        <w:spacing w:after="0" w:line="79"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During the second quarter of 2015, the Holding Company made a certain available-for-sale investment of $100 million, which is considered a Level 3 investment due to unobservable market data. As of June 30, 2015, the fair value of this investment was $100 million and was based on the initial purchase price as there was little activity that could have potentially impacted its fair value after our initial investment. In future periods, we will determine the fair value of this investment using internally developed models and other valuation techniques.</w:t>
      </w:r>
    </w:p>
    <w:p>
      <w:pPr>
        <w:spacing w:after="0" w:line="63"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During the second quarter of 2015, the Holding Company obtained control of, and consolidated, Ferrous Resources, which was previously considered a Level 3 investment due to unobservable market data. The fair value of our investment in Ferrous Resources immediately prior to obtaining control was $36 million, which was transferred out of Level 3 investment during the second quarter of 2015. See Note 2, "Operating Units - Mining," for further discussion.</w:t>
      </w:r>
    </w:p>
    <w:p>
      <w:pPr>
        <w:spacing w:after="0" w:line="39"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On June 30, 2014, the Investment Funds made a distribution-in-kind of a certain Level 3 corporate debt investment in the amount of $110 million to the Holding Company. In prior periods, in determining the fair value of this investment, we performed a yield analysis of comparable loans to which we applied a risk premium. As a result of the underlying company’s performance and bankruptcy filing in the third quarter of 2014, however, we determined that it was more appropriate to measure the fair value of our debt investment through an enterprise value analysis.</w:t>
      </w:r>
    </w:p>
    <w:p>
      <w:pPr>
        <w:spacing w:after="0" w:line="16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Certain derivative contracts with a single counterparty executed by the Investment Funds, by our Automotive segment with a single counterparty or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and Holding Company</w:t>
      </w:r>
    </w:p>
    <w:p>
      <w:pPr>
        <w:spacing w:after="0" w:line="11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condensed consolidated balance sheets. Our investments in securities and amounts due from brokers are partially restricted until we satisfy the obligation to deliver the securities sold, not yet purchased.</w:t>
      </w:r>
    </w:p>
    <w:p>
      <w:pPr>
        <w:spacing w:after="0" w:line="79"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63"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 At June 30, 2015, the maximum payout amounts relating to certain put options written by the Investment Funds were approximately $6.8 billion, of which approximately $6.6 billion related to covered put options on existing short positions on certain stock and credit indices. At December 31, 2014, the maximum payout amounts relating to certain put options written by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Investment Funds were approximately $2.5 billion, of which approximately $2.4 billion related to covered put options on existing short positions on certain stock and credit indices. As of June 30, 2015 and December 31, 2014, there were unrealized gains (losses) of $15 million and less than $(1) million, respectively, with respect to these put options.</w:t>
      </w:r>
    </w:p>
    <w:p>
      <w:pPr>
        <w:spacing w:after="0" w:line="73"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June 30, 2015 and December 31, 2014 was $641 million and $614 million, respectively.</w:t>
      </w:r>
    </w:p>
    <w:p>
      <w:pPr>
        <w:spacing w:after="0" w:line="8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At June 30, 2015 and December 31, 2014, the Investment Funds had approximately $1.4 billion and $1.2 billion, respectively, posted as collateral for derivative positions, including those derivative instruments with credit-risk-related contingent features; these amounts are included in cash held at consolidated affiliated partnerships and restricted cash in our condensed consolidated balance sheets.</w:t>
      </w:r>
    </w:p>
    <w:p>
      <w:pPr>
        <w:spacing w:after="0" w:line="73"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7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Each Investment Fund's assets may be held in one or more accounts maintained for the Investment Fund by its prime brokers or at other brokers or custodian banks, which may be located in various jurisdictions. The prime brokers, brokers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brokers, custodian banks or clearing corporations may result in the loss of all or a substantial portion of the Investment Funds' assets or in a significant delay in the Investment Funds' having access to those assets.</w:t>
      </w:r>
    </w:p>
    <w:p>
      <w:pPr>
        <w:spacing w:after="0" w:line="8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natural gas, copper, nickel, tin, zinc, high-grade aluminum and aluminum alloy. Forward contracts are used to mitigate commodity price risk associated with raw materials, generally related to purchases forecast for up to 15 months in the future.</w:t>
      </w:r>
    </w:p>
    <w:p>
      <w:pPr>
        <w:spacing w:after="0" w:line="6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had commodity price hedge contracts outstanding with combined notional values of $31 million and $36 million at June 30, 2015 and December 31, 2014, respectively, substantially all of which mature within one year in each of the respective periods and all of which were designated as hedging instruments for accounting purposes. Unrealized net losses of $2 million and $1 million were recorded in accumulated other comprehensive loss as of June 30, 2015 and December 31, 2014,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could be significantly affected by factors such as changes in foreign currency exchange rates or weak economic conditions in foreign markets in which it manufactures and sells its products. Federal-Mogul's operating results are primarily exposed to changes in exchange rates between the U.S. dollar and various global currencies.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Foreign currency forwards are also used in conjunction with Federal-Mogul's commodity hedging program. As part of its hedging program, Federal-Mogul attempts to limit hedge ineffectiveness by matching terms of the commodity purchases with the hedging instrument. Federal-Mogul does not hold any foreign currency price hedge contracts as of June 30, 2015 or December 31, 2014.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No individual customer accounted for more than 6% of Federal-Mogul's direct sales during the six months ended June 30, 2015. Federal-Mogul had one Motorparts customers that accounted for 11% of its net accounts receivable balance as of June 30, 2015. Federal-Mogul requires placement of cash in financial institutions evaluated as highly creditworthy.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7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income (loss), net in the condensed consolidated statements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Swaps</w:t>
      </w:r>
    </w:p>
    <w:p>
      <w:pPr>
        <w:spacing w:after="0" w:line="11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CVR Refining enters into commodity swap contracts in order to fix the margin on a portion of future production. The physical volumes are not exchanged and these contracts are net settled with cash. The contract fair value of the commodity swaps is reflected on the condensed consolidated balance sheets with changes in fair value currently recognized in the condensed consolidated statement of operations. Quoted prices for similar assets or liabilities in active markets (Level 2) are considered to determine the fair values for the purpose of marking to market the hedging instruments at each period end. As of June 30, 2015 and December 31, 2014, CVR had open commodity hedging instruments consisting of 8.1 million and 9.1 million barrels of crack spreads, respectively, primarily to fix the margin on a portion of its future gasoline and distillate production. The fair value of the outstanding contracts at June 30, 2015 and December 31, 2014 was a net asset of $20 million and $47 million, respectively. For the three months ended June 30, 2015 and 2014, CVR recognized a net loss of $12 million and a net gain of $36 million, respectively. For the six months ended June 30, 2015 and 2014, CVR recognized a net loss of $63 million and a net gain of $146 million, respectively, which is included in other income (loss), net in the condensed consolidated statements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Coffeyville Resources Nitrogen Fertilizers, LLC ("CRNF") has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agreements) and commenced on August 12, 2011 and expires on February 12, 2016. Under the terms of the interest rate swap agreement entered into on June 30, 2011, CRNF receives a floating rate based on three-month LIBOR and pays a fixed rate of 1.940%. Under the terms of the interest rate swap agreement entered into on July 1, 2011, CRNF receives a floating rate based on three-month LIBOR and pays a fixed rate of 1.975%. Both swap agreements are settled every 90 days. The effect of these swap agreements is to lock in a fixed rate of interest of approximately 1.960% plus the applicable margin paid to lenders over three-month LIBOR as governed by the CRNF credit facility. As of both June 30, 2015 and December 31, 2014, the effective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337" w:right="2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rate of the term loan facility, net of impact of the interest rate swap agreements, was approximately 4.6%.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interest expense in the condensed consolidated statements of operations. The realized losses on the interest rate swaps reclassified from accumulated other comprehensive loss into interest expense was less than $1 million for each of the three and six months ended June 30, 2015 and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At June 30, 2015 and December 31, 2014, the volume of our derivative activities based on their notional exposure, categorized by primary underlying risk,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 2015</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3"/>
          </w:tcPr>
          <w:p>
            <w:pPr>
              <w:jc w:val="right"/>
              <w:ind w:right="893"/>
              <w:spacing w:after="0"/>
              <w:rPr>
                <w:sz w:val="20"/>
                <w:szCs w:val="20"/>
                <w:color w:val="auto"/>
              </w:rPr>
            </w:pPr>
            <w:r>
              <w:rPr>
                <w:rFonts w:ascii="Arial" w:cs="Arial" w:eastAsia="Arial" w:hAnsi="Arial"/>
                <w:sz w:val="16"/>
                <w:szCs w:val="16"/>
                <w:b w:val="1"/>
                <w:bCs w:val="1"/>
                <w:color w:val="auto"/>
              </w:rPr>
              <w:t>December 31, 2014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3"/>
              <w:spacing w:after="0"/>
              <w:rPr>
                <w:sz w:val="20"/>
                <w:szCs w:val="20"/>
                <w:color w:val="auto"/>
              </w:rPr>
            </w:pPr>
            <w:r>
              <w:rPr>
                <w:rFonts w:ascii="Arial" w:cs="Arial" w:eastAsia="Arial" w:hAnsi="Arial"/>
                <w:sz w:val="16"/>
                <w:szCs w:val="16"/>
                <w:b w:val="1"/>
                <w:bCs w:val="1"/>
                <w:color w:val="auto"/>
              </w:rPr>
              <w:t>Long Notional</w:t>
            </w:r>
          </w:p>
        </w:tc>
        <w:tc>
          <w:tcPr>
            <w:tcW w:w="18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Short Notional</w:t>
            </w:r>
          </w:p>
        </w:tc>
        <w:tc>
          <w:tcPr>
            <w:tcW w:w="220" w:type="dxa"/>
            <w:vAlign w:val="bottom"/>
          </w:tcPr>
          <w:p>
            <w:pPr>
              <w:spacing w:after="0"/>
              <w:rPr>
                <w:sz w:val="18"/>
                <w:szCs w:val="18"/>
                <w:color w:val="auto"/>
              </w:rPr>
            </w:pPr>
          </w:p>
        </w:tc>
        <w:tc>
          <w:tcPr>
            <w:tcW w:w="1400" w:type="dxa"/>
            <w:vAlign w:val="bottom"/>
          </w:tcPr>
          <w:p>
            <w:pPr>
              <w:jc w:val="right"/>
              <w:ind w:right="233"/>
              <w:spacing w:after="0"/>
              <w:rPr>
                <w:sz w:val="20"/>
                <w:szCs w:val="20"/>
                <w:color w:val="auto"/>
              </w:rPr>
            </w:pPr>
            <w:r>
              <w:rPr>
                <w:rFonts w:ascii="Arial" w:cs="Arial" w:eastAsia="Arial" w:hAnsi="Arial"/>
                <w:sz w:val="16"/>
                <w:szCs w:val="16"/>
                <w:b w:val="1"/>
                <w:bCs w:val="1"/>
                <w:color w:val="auto"/>
                <w:w w:val="98"/>
              </w:rPr>
              <w:t>Long Notional</w:t>
            </w:r>
          </w:p>
        </w:tc>
        <w:tc>
          <w:tcPr>
            <w:tcW w:w="280" w:type="dxa"/>
            <w:vAlign w:val="bottom"/>
          </w:tcPr>
          <w:p>
            <w:pPr>
              <w:spacing w:after="0"/>
              <w:rPr>
                <w:sz w:val="18"/>
                <w:szCs w:val="18"/>
                <w:color w:val="auto"/>
              </w:rPr>
            </w:pPr>
          </w:p>
        </w:tc>
        <w:tc>
          <w:tcPr>
            <w:tcW w:w="1400" w:type="dxa"/>
            <w:vAlign w:val="bottom"/>
          </w:tcPr>
          <w:p>
            <w:pPr>
              <w:jc w:val="right"/>
              <w:ind w:right="193"/>
              <w:spacing w:after="0"/>
              <w:rPr>
                <w:sz w:val="20"/>
                <w:szCs w:val="20"/>
                <w:color w:val="auto"/>
              </w:rPr>
            </w:pPr>
            <w:r>
              <w:rPr>
                <w:rFonts w:ascii="Arial" w:cs="Arial" w:eastAsia="Arial" w:hAnsi="Arial"/>
                <w:sz w:val="16"/>
                <w:szCs w:val="16"/>
                <w:b w:val="1"/>
                <w:bCs w:val="1"/>
                <w:color w:val="auto"/>
                <w:w w:val="99"/>
              </w:rPr>
              <w:t>Short Notional</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3"/>
              <w:spacing w:after="0"/>
              <w:rPr>
                <w:sz w:val="20"/>
                <w:szCs w:val="20"/>
                <w:color w:val="auto"/>
              </w:rPr>
            </w:pPr>
            <w:r>
              <w:rPr>
                <w:rFonts w:ascii="Arial" w:cs="Arial" w:eastAsia="Arial" w:hAnsi="Arial"/>
                <w:sz w:val="16"/>
                <w:szCs w:val="16"/>
                <w:b w:val="1"/>
                <w:bCs w:val="1"/>
                <w:color w:val="auto"/>
              </w:rPr>
              <w:t>Exposure</w:t>
            </w:r>
          </w:p>
        </w:tc>
        <w:tc>
          <w:tcPr>
            <w:tcW w:w="540" w:type="dxa"/>
            <w:vAlign w:val="bottom"/>
          </w:tcPr>
          <w:p>
            <w:pPr>
              <w:spacing w:after="0"/>
              <w:rPr>
                <w:sz w:val="18"/>
                <w:szCs w:val="18"/>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7"/>
              </w:rPr>
              <w:t>Exposure</w:t>
            </w:r>
          </w:p>
        </w:tc>
        <w:tc>
          <w:tcPr>
            <w:tcW w:w="220" w:type="dxa"/>
            <w:vAlign w:val="bottom"/>
          </w:tcPr>
          <w:p>
            <w:pPr>
              <w:spacing w:after="0"/>
              <w:rPr>
                <w:sz w:val="18"/>
                <w:szCs w:val="18"/>
                <w:color w:val="auto"/>
              </w:rPr>
            </w:pPr>
          </w:p>
        </w:tc>
        <w:tc>
          <w:tcPr>
            <w:tcW w:w="1400" w:type="dxa"/>
            <w:vAlign w:val="bottom"/>
          </w:tcPr>
          <w:p>
            <w:pPr>
              <w:jc w:val="right"/>
              <w:ind w:right="413"/>
              <w:spacing w:after="0"/>
              <w:rPr>
                <w:sz w:val="20"/>
                <w:szCs w:val="20"/>
                <w:color w:val="auto"/>
              </w:rPr>
            </w:pPr>
            <w:r>
              <w:rPr>
                <w:rFonts w:ascii="Arial" w:cs="Arial" w:eastAsia="Arial" w:hAnsi="Arial"/>
                <w:sz w:val="16"/>
                <w:szCs w:val="16"/>
                <w:b w:val="1"/>
                <w:bCs w:val="1"/>
                <w:color w:val="auto"/>
              </w:rPr>
              <w:t>Exposure</w:t>
            </w:r>
          </w:p>
        </w:tc>
        <w:tc>
          <w:tcPr>
            <w:tcW w:w="280" w:type="dxa"/>
            <w:vAlign w:val="bottom"/>
          </w:tcPr>
          <w:p>
            <w:pPr>
              <w:spacing w:after="0"/>
              <w:rPr>
                <w:sz w:val="18"/>
                <w:szCs w:val="18"/>
                <w:color w:val="auto"/>
              </w:rPr>
            </w:pPr>
          </w:p>
        </w:tc>
        <w:tc>
          <w:tcPr>
            <w:tcW w:w="1400" w:type="dxa"/>
            <w:vAlign w:val="bottom"/>
          </w:tcPr>
          <w:p>
            <w:pPr>
              <w:jc w:val="right"/>
              <w:ind w:right="373"/>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80" w:type="dxa"/>
            <w:vAlign w:val="bottom"/>
            <w:gridSpan w:val="4"/>
          </w:tcPr>
          <w:p>
            <w:pPr>
              <w:jc w:val="right"/>
              <w:ind w:right="1233"/>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80"/>
              <w:spacing w:after="0" w:line="276" w:lineRule="exact"/>
              <w:rPr>
                <w:sz w:val="20"/>
                <w:szCs w:val="20"/>
                <w:color w:val="auto"/>
              </w:rPr>
            </w:pPr>
            <w:r>
              <w:rPr>
                <w:rFonts w:ascii="Arial" w:cs="Arial" w:eastAsia="Arial" w:hAnsi="Arial"/>
                <w:sz w:val="18"/>
                <w:szCs w:val="18"/>
                <w:color w:val="auto"/>
              </w:rPr>
              <w:t>Credit swaps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5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Equity swaps</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11,312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forwards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line="283" w:lineRule="exact"/>
              <w:rPr>
                <w:sz w:val="20"/>
                <w:szCs w:val="20"/>
                <w:color w:val="auto"/>
              </w:rPr>
            </w:pPr>
            <w:r>
              <w:rPr>
                <w:rFonts w:ascii="Arial" w:cs="Arial" w:eastAsia="Arial" w:hAnsi="Arial"/>
                <w:sz w:val="18"/>
                <w:szCs w:val="18"/>
                <w:color w:val="auto"/>
              </w:rPr>
              <w:t>Interest rate swap contracts</w:t>
            </w:r>
            <w:r>
              <w:rPr>
                <w:rFonts w:ascii="Arial" w:cs="Arial" w:eastAsia="Arial" w:hAnsi="Arial"/>
                <w:sz w:val="25"/>
                <w:szCs w:val="25"/>
                <w:color w:val="auto"/>
                <w:vertAlign w:val="superscript"/>
              </w:rPr>
              <w:t>(2)</w:t>
            </w:r>
          </w:p>
        </w:tc>
        <w:tc>
          <w:tcPr>
            <w:tcW w:w="200" w:type="dxa"/>
            <w:vAlign w:val="bottom"/>
          </w:tcPr>
          <w:p>
            <w:pPr>
              <w:spacing w:after="0"/>
              <w:rPr>
                <w:sz w:val="24"/>
                <w:szCs w:val="24"/>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right="80" w:hanging="172"/>
        <w:spacing w:after="0" w:line="269" w:lineRule="auto"/>
        <w:tabs>
          <w:tab w:leader="none" w:pos="180" w:val="left"/>
        </w:tabs>
        <w:numPr>
          <w:ilvl w:val="0"/>
          <w:numId w:val="9"/>
        </w:numPr>
        <w:rPr>
          <w:rFonts w:ascii="Arial" w:cs="Arial" w:eastAsia="Arial" w:hAnsi="Arial"/>
          <w:sz w:val="8"/>
          <w:szCs w:val="8"/>
          <w:color w:val="auto"/>
        </w:rPr>
      </w:pPr>
      <w:r>
        <w:rPr>
          <w:rFonts w:ascii="Arial" w:cs="Arial" w:eastAsia="Arial" w:hAnsi="Arial"/>
          <w:sz w:val="13"/>
          <w:szCs w:val="13"/>
          <w:color w:val="auto"/>
        </w:rPr>
        <w:t>The short notional amount on our credit swap positions is approximately $10.7 billion and $9.3 billion as of June 30, 2015 and December 31, 2014, respectively. However, because credit spreads cannot compress below zero, our downside short notional exposure to loss is approximately $1.9 billion and $1.5 billion as of June 30, 2015 and December 31, 2014, respectively.</w:t>
      </w:r>
    </w:p>
    <w:p>
      <w:pPr>
        <w:spacing w:after="0" w:line="1" w:lineRule="exact"/>
        <w:rPr>
          <w:rFonts w:ascii="Arial" w:cs="Arial" w:eastAsia="Arial" w:hAnsi="Arial"/>
          <w:sz w:val="8"/>
          <w:szCs w:val="8"/>
          <w:color w:val="auto"/>
        </w:rPr>
      </w:pPr>
    </w:p>
    <w:p>
      <w:pPr>
        <w:ind w:left="180" w:right="60" w:hanging="172"/>
        <w:spacing w:after="0" w:line="248" w:lineRule="auto"/>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short notional amount on certain of our interest rate contracts with a three month duration is approximately $16.0 billion as of both June 30, 2015 and December 31, 2014. We assume that interest rates will not fall below zero and therefore our downside short notional exposure to loss on these contracts is $74 million (of the total $137 million disclosed in the above table) as of both June 30, 2015 and December 31, 2014.</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2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r>
      <w:tr>
        <w:trPr>
          <w:trHeight w:val="237"/>
        </w:trPr>
        <w:tc>
          <w:tcPr>
            <w:tcW w:w="3340" w:type="dxa"/>
            <w:vAlign w:val="bottom"/>
            <w:gridSpan w:val="2"/>
          </w:tcPr>
          <w:p>
            <w:pPr>
              <w:ind w:left="200"/>
              <w:spacing w:after="0"/>
              <w:rPr>
                <w:sz w:val="20"/>
                <w:szCs w:val="20"/>
                <w:color w:val="auto"/>
              </w:rPr>
            </w:pPr>
            <w:r>
              <w:rPr>
                <w:rFonts w:ascii="Arial" w:cs="Arial" w:eastAsia="Arial" w:hAnsi="Arial"/>
                <w:sz w:val="18"/>
                <w:szCs w:val="18"/>
                <w:b w:val="1"/>
                <w:bCs w:val="1"/>
                <w:color w:val="auto"/>
              </w:rPr>
              <w:t>Instruments</w:t>
            </w:r>
          </w:p>
        </w:tc>
        <w:tc>
          <w:tcPr>
            <w:tcW w:w="28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2015</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2014</w:t>
            </w:r>
          </w:p>
        </w:tc>
        <w:tc>
          <w:tcPr>
            <w:tcW w:w="38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8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Sub-total</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34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3340" w:type="dxa"/>
            <w:vAlign w:val="bottom"/>
            <w:gridSpan w:val="2"/>
          </w:tcPr>
          <w:p>
            <w:pPr>
              <w:ind w:left="4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condensed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condensed consolidated balance sheets.</w:t>
      </w:r>
    </w:p>
    <w:p>
      <w:pPr>
        <w:spacing w:after="0" w:line="1" w:lineRule="exact"/>
        <w:rPr>
          <w:rFonts w:ascii="Arial" w:cs="Arial" w:eastAsia="Arial" w:hAnsi="Arial"/>
          <w:sz w:val="9"/>
          <w:szCs w:val="9"/>
          <w:color w:val="auto"/>
        </w:rPr>
      </w:pPr>
    </w:p>
    <w:p>
      <w:pPr>
        <w:ind w:left="180" w:right="140" w:hanging="172"/>
        <w:spacing w:after="0" w:line="255" w:lineRule="auto"/>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June 30, 2015 and December 31, 2014 was approximately $1.4 billion and $1.2 billion, respectively, across all counterparties.</w:t>
      </w:r>
    </w:p>
    <w:p>
      <w:pPr>
        <w:spacing w:after="0" w:line="8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presents the effects of our derivative instruments not designated as hedging instruments on the statements of operations for the three and six months ended June 30, 2015 and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9"/>
              </w:rPr>
              <w:t>Gain (Loss) Recognized in Income</w:t>
            </w:r>
            <w:r>
              <w:rPr>
                <w:rFonts w:ascii="Arial" w:cs="Arial" w:eastAsia="Arial" w:hAnsi="Arial"/>
                <w:sz w:val="25"/>
                <w:szCs w:val="25"/>
                <w:b w:val="1"/>
                <w:bCs w:val="1"/>
                <w:color w:val="auto"/>
                <w:w w:val="99"/>
                <w:vertAlign w:val="superscript"/>
              </w:rPr>
              <w:t>(1)</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120" w:hanging="172"/>
        <w:spacing w:after="0" w:line="273" w:lineRule="auto"/>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from investment activities in our condensed consolidated statements of operations for our Investment segment and are included in other income (loss), net for all other segments.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consolidated fair values of our derivative instruments that are designated as cash flow hedging instruments: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Cash Flow</w:t>
            </w:r>
          </w:p>
        </w:tc>
        <w:tc>
          <w:tcPr>
            <w:tcW w:w="30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gridSpan w:val="4"/>
          </w:tcPr>
          <w:p>
            <w:pPr>
              <w:ind w:left="1060"/>
              <w:spacing w:after="0"/>
              <w:rPr>
                <w:sz w:val="20"/>
                <w:szCs w:val="20"/>
                <w:color w:val="auto"/>
              </w:rPr>
            </w:pPr>
            <w:r>
              <w:rPr>
                <w:rFonts w:ascii="Arial" w:cs="Arial" w:eastAsia="Arial" w:hAnsi="Arial"/>
                <w:sz w:val="16"/>
                <w:szCs w:val="16"/>
                <w:b w:val="1"/>
                <w:bCs w:val="1"/>
                <w:color w:val="auto"/>
              </w:rPr>
              <w:t>Asset Derivatives</w:t>
            </w:r>
            <w:r>
              <w:rPr>
                <w:rFonts w:ascii="Arial" w:cs="Arial" w:eastAsia="Arial" w:hAnsi="Arial"/>
                <w:sz w:val="21"/>
                <w:szCs w:val="21"/>
                <w:b w:val="1"/>
                <w:bCs w:val="1"/>
                <w:color w:val="auto"/>
                <w:vertAlign w:val="superscript"/>
              </w:rPr>
              <w:t>(1)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6"/>
                <w:szCs w:val="16"/>
                <w:b w:val="1"/>
                <w:bCs w:val="1"/>
                <w:color w:val="auto"/>
              </w:rPr>
              <w:t>Liability Derivatives</w:t>
            </w:r>
            <w:r>
              <w:rPr>
                <w:rFonts w:ascii="Arial" w:cs="Arial" w:eastAsia="Arial" w:hAnsi="Arial"/>
                <w:sz w:val="21"/>
                <w:szCs w:val="21"/>
                <w:b w:val="1"/>
                <w:bCs w:val="1"/>
                <w:color w:val="auto"/>
                <w:vertAlign w:val="superscript"/>
              </w:rPr>
              <w:t>(2)</w:t>
            </w:r>
          </w:p>
        </w:tc>
      </w:tr>
      <w:tr>
        <w:trPr>
          <w:trHeight w:val="217"/>
        </w:trPr>
        <w:tc>
          <w:tcPr>
            <w:tcW w:w="3340" w:type="dxa"/>
            <w:vAlign w:val="bottom"/>
            <w:gridSpan w:val="2"/>
          </w:tcPr>
          <w:p>
            <w:pPr>
              <w:ind w:left="200"/>
              <w:spacing w:after="0"/>
              <w:rPr>
                <w:sz w:val="20"/>
                <w:szCs w:val="20"/>
                <w:color w:val="auto"/>
              </w:rPr>
            </w:pPr>
            <w:r>
              <w:rPr>
                <w:rFonts w:ascii="Arial" w:cs="Arial" w:eastAsia="Arial" w:hAnsi="Arial"/>
                <w:sz w:val="16"/>
                <w:szCs w:val="16"/>
                <w:b w:val="1"/>
                <w:bCs w:val="1"/>
                <w:color w:val="auto"/>
              </w:rPr>
              <w:t>Hedging Instruments</w:t>
            </w:r>
          </w:p>
        </w:tc>
        <w:tc>
          <w:tcPr>
            <w:tcW w:w="30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2015</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2014</w:t>
            </w:r>
          </w:p>
        </w:tc>
        <w:tc>
          <w:tcPr>
            <w:tcW w:w="40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2015</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2014</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2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300" w:type="dxa"/>
            <w:vAlign w:val="bottom"/>
          </w:tcPr>
          <w:p>
            <w:pPr>
              <w:spacing w:after="0"/>
              <w:rPr>
                <w:sz w:val="21"/>
                <w:szCs w:val="21"/>
                <w:color w:val="auto"/>
              </w:rPr>
            </w:pPr>
          </w:p>
        </w:tc>
        <w:tc>
          <w:tcPr>
            <w:tcW w:w="17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Netting across contract types</w:t>
            </w:r>
          </w:p>
        </w:tc>
        <w:tc>
          <w:tcPr>
            <w:tcW w:w="300" w:type="dxa"/>
            <w:vAlign w:val="bottom"/>
          </w:tcPr>
          <w:p>
            <w:pPr>
              <w:spacing w:after="0"/>
              <w:rPr>
                <w:sz w:val="21"/>
                <w:szCs w:val="21"/>
                <w:color w:val="auto"/>
              </w:rPr>
            </w:pPr>
          </w:p>
        </w:tc>
        <w:tc>
          <w:tcPr>
            <w:tcW w:w="17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other assets in our condensed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accrued expenses and other liabilities in our condensed consolidated balance sheets.</w:t>
      </w:r>
    </w:p>
    <w:p>
      <w:pPr>
        <w:spacing w:after="0" w:line="101" w:lineRule="exact"/>
        <w:rPr>
          <w:sz w:val="20"/>
          <w:szCs w:val="20"/>
          <w:color w:val="auto"/>
        </w:rPr>
      </w:pPr>
    </w:p>
    <w:p>
      <w:pPr>
        <w:ind w:right="960" w:firstLine="405"/>
        <w:spacing w:after="0" w:line="277" w:lineRule="auto"/>
        <w:rPr>
          <w:sz w:val="20"/>
          <w:szCs w:val="20"/>
          <w:color w:val="auto"/>
        </w:rPr>
      </w:pPr>
      <w:r>
        <w:rPr>
          <w:rFonts w:ascii="Arial" w:cs="Arial" w:eastAsia="Arial" w:hAnsi="Arial"/>
          <w:sz w:val="18"/>
          <w:szCs w:val="18"/>
          <w:color w:val="auto"/>
        </w:rPr>
        <w:t>The following tables present the effect of our derivative instruments that are designated as cash flow hedging instruments on our condensed consolidated financial statements for the three and six months ended June 30, 2015 and 2014: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7"/>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7"/>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7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8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75"/>
        </w:trPr>
        <w:tc>
          <w:tcPr>
            <w:tcW w:w="3840" w:type="dxa"/>
            <w:vAlign w:val="bottom"/>
          </w:tcPr>
          <w:p>
            <w:pPr>
              <w:spacing w:after="0"/>
              <w:rPr>
                <w:sz w:val="24"/>
                <w:szCs w:val="24"/>
                <w:color w:val="auto"/>
              </w:rPr>
            </w:pPr>
          </w:p>
        </w:tc>
        <w:tc>
          <w:tcPr>
            <w:tcW w:w="3360" w:type="dxa"/>
            <w:vAlign w:val="bottom"/>
            <w:gridSpan w:val="5"/>
          </w:tcPr>
          <w:p>
            <w:pPr>
              <w:ind w:left="520"/>
              <w:spacing w:after="0"/>
              <w:rPr>
                <w:sz w:val="20"/>
                <w:szCs w:val="20"/>
                <w:color w:val="auto"/>
              </w:rPr>
            </w:pPr>
            <w:r>
              <w:rPr>
                <w:rFonts w:ascii="Arial" w:cs="Arial" w:eastAsia="Arial" w:hAnsi="Arial"/>
                <w:sz w:val="18"/>
                <w:szCs w:val="18"/>
                <w:b w:val="1"/>
                <w:bCs w:val="1"/>
                <w:color w:val="auto"/>
                <w:w w:val="93"/>
              </w:rPr>
              <w:t>Three Months Ended June 30, 2014</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7"/>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7"/>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7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8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656"/>
        </w:trPr>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right"/>
              <w:ind w:right="121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Location of (Loss) Gain</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0" w:type="dxa"/>
            <w:vAlign w:val="bottom"/>
          </w:tcPr>
          <w:p>
            <w:pPr>
              <w:spacing w:after="0"/>
              <w:rPr>
                <w:sz w:val="1"/>
                <w:szCs w:val="1"/>
                <w:color w:val="auto"/>
              </w:rPr>
            </w:pPr>
          </w:p>
        </w:tc>
      </w:tr>
      <w:tr>
        <w:trPr>
          <w:trHeight w:val="210"/>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0" w:type="dxa"/>
            <w:vAlign w:val="bottom"/>
          </w:tcPr>
          <w:p>
            <w:pPr>
              <w:spacing w:after="0"/>
              <w:rPr>
                <w:sz w:val="1"/>
                <w:szCs w:val="1"/>
                <w:color w:val="auto"/>
              </w:rPr>
            </w:pPr>
          </w:p>
        </w:tc>
      </w:tr>
      <w:tr>
        <w:trPr>
          <w:trHeight w:val="33"/>
        </w:trPr>
        <w:tc>
          <w:tcPr>
            <w:tcW w:w="3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center"/>
              <w:ind w:right="92"/>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940" w:type="dxa"/>
            <w:vAlign w:val="bottom"/>
          </w:tcPr>
          <w:p>
            <w:pPr>
              <w:spacing w:after="0"/>
              <w:rPr>
                <w:sz w:val="24"/>
                <w:szCs w:val="24"/>
                <w:color w:val="auto"/>
              </w:rPr>
            </w:pPr>
          </w:p>
        </w:tc>
        <w:tc>
          <w:tcPr>
            <w:tcW w:w="3260" w:type="dxa"/>
            <w:vAlign w:val="bottom"/>
            <w:gridSpan w:val="5"/>
          </w:tcPr>
          <w:p>
            <w:pPr>
              <w:ind w:left="520"/>
              <w:spacing w:after="0"/>
              <w:rPr>
                <w:sz w:val="20"/>
                <w:szCs w:val="20"/>
                <w:color w:val="auto"/>
              </w:rPr>
            </w:pPr>
            <w:r>
              <w:rPr>
                <w:rFonts w:ascii="Arial" w:cs="Arial" w:eastAsia="Arial" w:hAnsi="Arial"/>
                <w:sz w:val="18"/>
                <w:szCs w:val="18"/>
                <w:b w:val="1"/>
                <w:bCs w:val="1"/>
                <w:color w:val="auto"/>
                <w:w w:val="97"/>
              </w:rPr>
              <w:t>Six Months Ended June 30, 2014</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Location of (Loss) Gain</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0" w:type="dxa"/>
            <w:vAlign w:val="bottom"/>
          </w:tcPr>
          <w:p>
            <w:pPr>
              <w:spacing w:after="0"/>
              <w:rPr>
                <w:sz w:val="1"/>
                <w:szCs w:val="1"/>
                <w:color w:val="auto"/>
              </w:rPr>
            </w:pPr>
          </w:p>
        </w:tc>
      </w:tr>
      <w:tr>
        <w:trPr>
          <w:trHeight w:val="210"/>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0" w:type="dxa"/>
            <w:vAlign w:val="bottom"/>
          </w:tcPr>
          <w:p>
            <w:pPr>
              <w:spacing w:after="0"/>
              <w:rPr>
                <w:sz w:val="1"/>
                <w:szCs w:val="1"/>
                <w:color w:val="auto"/>
              </w:rPr>
            </w:pPr>
          </w:p>
        </w:tc>
      </w:tr>
      <w:tr>
        <w:trPr>
          <w:trHeight w:val="33"/>
        </w:trPr>
        <w:tc>
          <w:tcPr>
            <w:tcW w:w="3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center"/>
              <w:ind w:right="92"/>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40" w:type="dxa"/>
            <w:vAlign w:val="bottom"/>
          </w:tcPr>
          <w:p>
            <w:pPr>
              <w:ind w:left="420"/>
              <w:spacing w:after="0"/>
              <w:rPr>
                <w:sz w:val="20"/>
                <w:szCs w:val="20"/>
                <w:color w:val="auto"/>
              </w:rPr>
            </w:pPr>
            <w:r>
              <w:rPr>
                <w:rFonts w:ascii="Arial" w:cs="Arial" w:eastAsia="Arial" w:hAnsi="Arial"/>
                <w:sz w:val="18"/>
                <w:szCs w:val="18"/>
                <w:color w:val="auto"/>
              </w:rPr>
              <w:t>Inventories, net consists of the following:</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74"/>
              <w:spacing w:after="0"/>
              <w:rPr>
                <w:sz w:val="20"/>
                <w:szCs w:val="20"/>
                <w:color w:val="auto"/>
              </w:rPr>
            </w:pPr>
            <w:r>
              <w:rPr>
                <w:rFonts w:ascii="Arial" w:cs="Arial" w:eastAsia="Arial" w:hAnsi="Arial"/>
                <w:sz w:val="18"/>
                <w:szCs w:val="18"/>
                <w:b w:val="1"/>
                <w:bCs w:val="1"/>
                <w:color w:val="auto"/>
                <w:w w:val="88"/>
              </w:rPr>
              <w:t>June 30, 2015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December 31, 2014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40" w:type="dxa"/>
            <w:vAlign w:val="bottom"/>
            <w:gridSpan w:val="4"/>
          </w:tcPr>
          <w:p>
            <w:pPr>
              <w:jc w:val="right"/>
              <w:ind w:right="165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right="8280" w:hanging="412"/>
        <w:spacing w:after="0" w:line="469" w:lineRule="auto"/>
        <w:tabs>
          <w:tab w:leader="none" w:pos="33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Energy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4"/>
              </w:rPr>
              <w:t>June 30, 2015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7"/>
              </w:rPr>
              <w:t>Accumulated</w:t>
            </w:r>
          </w:p>
        </w:tc>
        <w:tc>
          <w:tcPr>
            <w:tcW w:w="200" w:type="dxa"/>
            <w:vAlign w:val="bottom"/>
          </w:tcPr>
          <w:p>
            <w:pPr>
              <w:spacing w:after="0"/>
              <w:rPr>
                <w:sz w:val="17"/>
                <w:szCs w:val="17"/>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654</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17"/>
        </w:trPr>
        <w:tc>
          <w:tcPr>
            <w:tcW w:w="3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793</w:t>
            </w:r>
          </w:p>
        </w:tc>
      </w:tr>
      <w:tr>
        <w:trPr>
          <w:trHeight w:val="73"/>
        </w:trPr>
        <w:tc>
          <w:tcPr>
            <w:tcW w:w="3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1,088</w:t>
            </w: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Amortization expense associated with definite-lived intangible assets for the three months ended June 30, 2015 and 2014 was $23 million and $20 million, respectively, and for the six months ended June 30, 2015 and 2014 was $45 million and $40 million, respectively. We utilize the straight-line method of amortization, recognized over the estimated useful lives of the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further discussed in Note 2, "Operating Units - Automotive," during the first quarter of 2015, Federal-Mogul consummated the acquisition of its TRW engine components business. As of June 30, 2015, Federal-Mogul recorded $85 million of goodwill, $72 million of customer relationships and $18 million of developed technology; these intangible asset balances reflect measurement period adjustments which Federal-Mogul recorded during the second quarter of 2015. Because Federal-Mogul is in the process of finalizing certain customary post-closing adjustments, the provisional measurements of net assets are subject to further changes. The valuation of net assets was performed utilizing cost, income and market approaches. The TRW engine components business acquisition is not material, individually or in the aggregate with the IEH Auto and Ferrous Resources acquisitions, to our condensed consolidated financial statements.</w:t>
      </w:r>
    </w:p>
    <w:p>
      <w:pPr>
        <w:spacing w:after="0" w:line="8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As further discussed in Note 2, "Operating Units - Automotive," during the second quarter of 2015, IEH Auto acquired substantially all of the auto parts assets in the United States of Uni-Select, Inc., a leading automotive parts distributor for domestic and imported vehicles. As of June 30, 2015, IEH Auto recorded an aggregate of $2 million of trade name and favorable leases as of the acquisition date. Because IEH Auto is in the process of finalizing certain customary post-closing adjustments, the provisional measurements of net assets are subject to change. The valuation of net assets was performed utilizing cost, income and market approaches. The acquisition of IEH Auto is not material, individually or in the aggregate with the TRW engine components business acquisition and the Ferrous Resources acquisition, to our condensed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We perform our annual goodwill impairment analysis as of April 30 of each year for our Energy segment, or more frequently if impairment indicators exist. The first step of the impairment analysis involves comparing the fair values of these assets to the respective carrying values to determine the potential for goodwill impairment. The second step of the impairment test, if necessary, involves quantifying the level of goodwill impairment.</w:t>
      </w:r>
    </w:p>
    <w:p>
      <w:pPr>
        <w:spacing w:after="0" w:line="39" w:lineRule="exact"/>
        <w:rPr>
          <w:sz w:val="20"/>
          <w:szCs w:val="20"/>
          <w:color w:val="auto"/>
        </w:rPr>
      </w:pPr>
    </w:p>
    <w:p>
      <w:pPr>
        <w:jc w:val="both"/>
        <w:ind w:right="220" w:firstLine="378"/>
        <w:spacing w:after="0" w:line="264" w:lineRule="auto"/>
        <w:rPr>
          <w:sz w:val="20"/>
          <w:szCs w:val="20"/>
          <w:color w:val="auto"/>
        </w:rPr>
      </w:pPr>
      <w:r>
        <w:rPr>
          <w:rFonts w:ascii="Arial" w:cs="Arial" w:eastAsia="Arial" w:hAnsi="Arial"/>
          <w:sz w:val="18"/>
          <w:szCs w:val="18"/>
          <w:color w:val="auto"/>
        </w:rPr>
        <w:t>The fair values of our Energy segment's reporting units are based upon consideration of various valuation methodologies, including a discounted cash flow analysis ("DCF") and pricing multiples of current and future earnings observed for comparable public companies. Assumptions used in a DCF require the exercise of significant judgment, including judgment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used in a DCF, which are intended to reflect the risks inherent in future cash flow projections,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50"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We are currently performing the annual goodwill impairment test for our Energy segment which will be finalized during the third quarter of 2015. Based on the preliminary results of our annual goodwill impairment test for our Energy segment, while the fair market value of our Energy segment's Petroleum reporting unit was substantially in excess of its carrying value, the fair market value of our Energy segment's Fertilizer reporting unit was approximately 1% in excess of its carrying value and was therefore considered at risk for failing "Step 1" of the goodwill impairment analysis. As of June 30, 2015, our Energy segment's Fertilizer reporting unit had $253 million of goodwill allocated to it. The most significant key assumption to determining the fair value of our Energy segment's Fertilizer reporting unit was its forecasted sales growth rate. If our Energy segment's Fertilizer reporting unit fails to achieve its forecasted sales growth rate, a goodwill impairment may result in future periods.</w:t>
      </w:r>
    </w:p>
    <w:p>
      <w:pPr>
        <w:spacing w:after="0" w:line="7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During the fourth quarter of 2014, based on certain negative trends occurring in the energy markets, particularly with respect to the significant volatility in the oil markets as a result of a drop in forecasted worldwide demand for crude oil supply and inventories, we determined that goodwill impairment indicators existed in both of our Energy segment's Petroleum and Fertilizer reporting units. Accordingly, we performed a "Step 1" goodwill impairment analysis for our Energy segment's reporting units as of December 1, 2014. Our Energy segment’s petroleum reporting unit passed “Step 1” of the goodwill impairment analysis, and therefore, we did not perform “Step 2” of the goodwill impairment analysis for this reporting unit. Because our Energy segment's Fertilizer reporting unit failed "Step 1" of the goodwill impairment analysis, we therefore, performed "Step 2" of the goodwill impairment analysis. Based on "Step 2" results of the goodwill impairment analysis, we recognized a preliminary impairment charge of $103 million for our Energy segment's Fertilizer reporting unit for the year ended December 31, 2014. Due to the complexity inherent in the "Step 2" goodwill impairment test, we finalized the assessment of our Energy segment's goodwill impairment during the first quarter of 2015 and noted that no additional adjustments to goodwill were required for the first quarter of 2015.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perform the annual goodwill impairment test as of March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our railcar manufacturing reporting unit was greater than its carrying amount, and therefore no further testing was necessary.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5820" w:type="dxa"/>
            <w:vAlign w:val="bottom"/>
          </w:tcPr>
          <w:p>
            <w:pPr>
              <w:ind w:left="420"/>
              <w:spacing w:after="0"/>
              <w:rPr>
                <w:sz w:val="20"/>
                <w:szCs w:val="20"/>
                <w:color w:val="auto"/>
              </w:rPr>
            </w:pPr>
            <w:r>
              <w:rPr>
                <w:rFonts w:ascii="Arial" w:cs="Arial" w:eastAsia="Arial" w:hAnsi="Arial"/>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58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2014</w:t>
            </w:r>
          </w:p>
        </w:tc>
      </w:tr>
      <w:tr>
        <w:trPr>
          <w:trHeight w:val="27"/>
        </w:trPr>
        <w:tc>
          <w:tcPr>
            <w:tcW w:w="58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4"/>
          </w:tcPr>
          <w:p>
            <w:pPr>
              <w:spacing w:after="0"/>
              <w:rPr>
                <w:sz w:val="2"/>
                <w:szCs w:val="2"/>
                <w:color w:val="auto"/>
              </w:rPr>
            </w:pPr>
          </w:p>
        </w:tc>
      </w:tr>
      <w:tr>
        <w:trPr>
          <w:trHeight w:val="244"/>
        </w:trPr>
        <w:tc>
          <w:tcPr>
            <w:tcW w:w="58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320" w:type="dxa"/>
            <w:vAlign w:val="bottom"/>
          </w:tcPr>
          <w:p>
            <w:pPr>
              <w:spacing w:after="0"/>
              <w:rPr>
                <w:sz w:val="21"/>
                <w:szCs w:val="21"/>
                <w:color w:val="auto"/>
              </w:rPr>
            </w:pPr>
          </w:p>
        </w:tc>
        <w:tc>
          <w:tcPr>
            <w:tcW w:w="390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2,353</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15 - 39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3,546</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r>
      <w:tr>
        <w:trPr>
          <w:trHeight w:val="237"/>
        </w:trPr>
        <w:tc>
          <w:tcPr>
            <w:tcW w:w="5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12,566</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9,666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8,955</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378"/>
        <w:spacing w:after="0" w:line="257" w:lineRule="auto"/>
        <w:rPr>
          <w:sz w:val="20"/>
          <w:szCs w:val="20"/>
          <w:color w:val="auto"/>
        </w:rPr>
      </w:pPr>
      <w:r>
        <w:rPr>
          <w:rFonts w:ascii="Arial" w:cs="Arial" w:eastAsia="Arial" w:hAnsi="Arial"/>
          <w:sz w:val="18"/>
          <w:szCs w:val="18"/>
          <w:color w:val="auto"/>
        </w:rPr>
        <w:t>Assets leased to others are related to our Railcar and Real Estate segments. Included in assets leased to others in the table above are our Railcar segment's railcars for lease in the amount of approximately $3.4 billion and $3.1 billion as of June 30, 2015 and December 31, 2014, respectively. Additionally, included in assets leased to others in the table above are our Real Estate segment's properties on lease in the amount of $437 million and $450 million as of June 30, 2015 and December 31, 2014, respectively. Aggregate accumulated depreciation pertaining to assets leased to others is $1,004 million and $957 million as of June 30, 2015 and December 31, 2014, respectively.</w:t>
      </w:r>
    </w:p>
    <w:p>
      <w:pPr>
        <w:spacing w:after="0" w:line="80"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Depreciation and amortization expense related to property, plant and equipment for the three months ended June 30, 2015 and 2014 was $186 million and $175 million, respectively, and for the six months ended June 30, 2015 and 2014 was $368 million and $342 million,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200" w:type="dxa"/>
            <w:vAlign w:val="bottom"/>
          </w:tcPr>
          <w:p>
            <w:pPr>
              <w:ind w:left="420"/>
              <w:spacing w:after="0"/>
              <w:rPr>
                <w:sz w:val="20"/>
                <w:szCs w:val="20"/>
                <w:color w:val="auto"/>
              </w:rPr>
            </w:pPr>
            <w:r>
              <w:rPr>
                <w:rFonts w:ascii="Arial" w:cs="Arial" w:eastAsia="Arial" w:hAnsi="Arial"/>
                <w:sz w:val="18"/>
                <w:szCs w:val="18"/>
                <w:color w:val="auto"/>
              </w:rPr>
              <w:t>Debt consists of the following:</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90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5.875% senior unsecured notes due 2022 - Icahn Enterprises/Icahn Enterprises Holdings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6.00% senior unsecured notes due 2020 - Icahn Enterprises/Icahn Enterprises Holdings</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4.875% senior unsecured notes due 2019 - Icahn Enterprises/Icahn Enterprises Holdings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3.50% senior unsecured notes due 2017 - Icahn Enterprises/Icahn Enterprises Holdings</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Railcar</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and revolving credit facility - Food Packaging</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37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 (Unaudited)</w:t>
      </w:r>
    </w:p>
    <w:p>
      <w:pPr>
        <w:spacing w:after="0" w:line="200" w:lineRule="exact"/>
        <w:rPr>
          <w:sz w:val="20"/>
          <w:szCs w:val="20"/>
          <w:color w:val="auto"/>
        </w:rPr>
      </w:pPr>
    </w:p>
    <w:p>
      <w:pPr>
        <w:spacing w:after="0" w:line="254" w:lineRule="exact"/>
        <w:rPr>
          <w:sz w:val="20"/>
          <w:szCs w:val="20"/>
          <w:color w:val="auto"/>
        </w:rPr>
      </w:pPr>
    </w:p>
    <w:p>
      <w:pPr>
        <w:ind w:right="5680"/>
        <w:spacing w:after="0" w:line="407" w:lineRule="auto"/>
        <w:rPr>
          <w:sz w:val="20"/>
          <w:szCs w:val="20"/>
          <w:color w:val="auto"/>
        </w:rPr>
      </w:pPr>
      <w:r>
        <w:rPr>
          <w:rFonts w:ascii="Arial" w:cs="Arial" w:eastAsia="Arial" w:hAnsi="Arial"/>
          <w:sz w:val="18"/>
          <w:szCs w:val="18"/>
          <w:b w:val="1"/>
          <w:bCs w:val="1"/>
          <w:i w:val="1"/>
          <w:iCs w:val="1"/>
          <w:color w:val="auto"/>
        </w:rPr>
        <w:t xml:space="preserve">Senior Unsecured Notes - Icahn Enterprises and Icahn Enterprises Holdings </w:t>
      </w:r>
      <w:r>
        <w:rPr>
          <w:rFonts w:ascii="Arial" w:cs="Arial" w:eastAsia="Arial" w:hAnsi="Arial"/>
          <w:sz w:val="18"/>
          <w:szCs w:val="18"/>
          <w:i w:val="1"/>
          <w:iCs w:val="1"/>
          <w:color w:val="auto"/>
        </w:rPr>
        <w:t>5.875% Senior Unsecured Notes Due 2022</w:t>
      </w:r>
    </w:p>
    <w:p>
      <w:pPr>
        <w:ind w:right="60" w:firstLine="405"/>
        <w:spacing w:after="0" w:line="254" w:lineRule="auto"/>
        <w:rPr>
          <w:sz w:val="20"/>
          <w:szCs w:val="20"/>
          <w:color w:val="auto"/>
        </w:rPr>
      </w:pPr>
      <w:r>
        <w:rPr>
          <w:rFonts w:ascii="Arial" w:cs="Arial" w:eastAsia="Arial" w:hAnsi="Arial"/>
          <w:sz w:val="18"/>
          <w:szCs w:val="18"/>
          <w:color w:val="auto"/>
        </w:rPr>
        <w:t>On January 29, 2014, we and Icahn Enterprises Finance Corp. (“Icahn Enterprises Finance”) (collectively, the “Issuers”) issued $1.350 billion in aggregate principal amount of 5.875% Senior Notes due 2022 (the “2022 Notes”) pursuant to the purchase agreement, dated January 22, 2014 (the “2022 Notes Purchase Agreement”), by and among the Issuers, Icahn Enterprises Holdings, as guarantor, and Jefferies LLC, as initial purchaser (the “2022 Notes Purchaser”). The net proceeds from the sale of the 2022 Notes were approximately $1.340 billion after deducting the initial purchaser’s discount and commission and estimated fees and expenses related to the offering. Interest on the 2022 Notes are payable on February 1 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8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Issuers issued the 2022 Notes under the indenture dated as of January 29, 2014 (the “2022 Indenture”), among the Issuers, Icahn Enterprises Holdings, as guarantor (the “Guarantor”), and Wilmington Trust Company, as trustee. The 2022 Indenture contains customary events of defaults and covenants relating to, among other things, the incurrence of debt, affiliate transactions, liens and restricted payments. Prior to the maturity of the 2022 Notes, the Issuers may redeem some or all of the 2022 Notes at certain times by paying a premium as specified in the 2022 Indenture, plus accrued and unpaid interest.</w:t>
      </w:r>
    </w:p>
    <w:p>
      <w:pPr>
        <w:spacing w:after="0" w:line="80" w:lineRule="exact"/>
        <w:rPr>
          <w:sz w:val="20"/>
          <w:szCs w:val="20"/>
          <w:color w:val="auto"/>
        </w:rPr>
      </w:pPr>
    </w:p>
    <w:p>
      <w:pPr>
        <w:ind w:right="420" w:firstLine="405"/>
        <w:spacing w:after="0" w:line="276" w:lineRule="auto"/>
        <w:rPr>
          <w:sz w:val="20"/>
          <w:szCs w:val="20"/>
          <w:color w:val="auto"/>
        </w:rPr>
      </w:pPr>
      <w:r>
        <w:rPr>
          <w:rFonts w:ascii="Arial" w:cs="Arial" w:eastAsia="Arial" w:hAnsi="Arial"/>
          <w:sz w:val="17"/>
          <w:szCs w:val="17"/>
          <w:color w:val="auto"/>
        </w:rPr>
        <w:t>The 2022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2022 Notes and the related guarantee are effectively subordinated to the Issuers’ and the Guarantor’s existing and future secured indebtedness to the extent of the collateral securing such indebtedness. The 2022 Notes and the related guarantee are also effectively subordinated to all indebtedness and other liabilities of the Issuers’ subsidiaries other than the Guarantor.</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sale of the 2022 Notes, the Issuers and the Guarantor entered into a certain registration rights agreement dated January 29,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below for further discussion of this registration rights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6.00% Senior Unsecured Notes Due 2020</w:t>
      </w:r>
    </w:p>
    <w:p>
      <w:pPr>
        <w:spacing w:after="0" w:line="117"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On August 1, 2013, the Issuers issued $500 million aggregate principal amount of 6% Senior Notes due 2020 (the “Initial 2020 Notes”) pursuant to the purchase agreement, dated July 29, 2013, by and among the Issuers, the Guarantor, and Jefferies &amp; Company, Inc., as initial purchaser. In addition, as described below, on January 21, 2014, the Issuers issued $1.200 billion in aggregate principal amount of 6% Senior Notes due 2020 (the "Additional 2020 Notes" and together with the Initial 2020 Notes, the "2020 Notes") pursuant to the purchase agreement, dated January 8, 2014, by and among the Issuers, the Guarantor, and Citigroup Global Markets Inc., Credit Suisse Securities (USA) LLC, Morgan Stanley &amp; Co. LLC, Jefferies LLC and UBS Securities LLC, as initial purchasers. The net proceeds from the sale of the Initial 2020 Notes and the Additional 2020 Notes were $493 million and approximately $1.217 billion, respectively, after deducting the initial purchasers' discount and commission and estimated fees and expenses related to the offerings. The Additional 2020 Notes constitute the same series of securities of the 2020 Notes for purposes of the indenture governing the notes and vote together on all matters with such series. The Additional 2020 Notes have substantially identical terms as the Initial 2020 Notes. Interest on the 2020 Notes is payable on February 1 and August 1 of each year, commencing February 1, 2014.</w:t>
      </w:r>
    </w:p>
    <w:p>
      <w:pPr>
        <w:spacing w:after="0" w:line="70"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The 2020 Notes were issued under and are governed by an indenture, dated August 1, 2013 (the “2020 Indenture”), among the Issuers, the Guarantor and Wilmington Trust Company, as trustee. The 2020 Indenture contains customary events of defaults and covenants relating to, among other things, the incurrence of debt, affiliate transactions, liens and restricted payments. Prior to the maturity of the 2020 Notes, the Issuers may redeem some or all of the 2020 Notes at certain times by paying certain premiums as specified in the 2020 Indenture, plus accrued and unpaid interest.</w:t>
      </w:r>
    </w:p>
    <w:p>
      <w:pPr>
        <w:spacing w:after="0" w:line="46"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2020 Notes and the related guarantee are the senior unsecured obligations of the Issuers and the Guarantor and rank equally with all of the Issuers' and the Guarantor's existing and future senior unsecured indebtedness and rank senior to all of the Issuers' and the Guarantor's existing and future subordinated indebtedness. The series of notes constituting the 2020 Notes and the related guarantee are effectively subordinated to the Issuers' and the Guarantor's existing and future secured indebtedness to the extent of the collateral securing such indebtedness. The series of notes constituting the 2020 Notes and the related guarantee are also effectively subordinated to all indebtedness and other liabilities of the Issuers' subsidiaries other than the Guarantor.</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37" w:right="2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connection with the issuance of the Initial 2020 Notes on August 1, 2013, the Issuers and the Guarantor entered into a registration rights agreement dated August 1, 2013. On September 26, 2013, we filed an initial registration statement on Form S-4 with respect to the Initial 2020 Notes for the sole purpose of exchanging the unregistered Initial 2020 Notes for notes that are registered with the SEC ("Exchange Notes"). The exchange offer registration statement on Form S-4 with respect to the Initial 2020 Notes was declared effective on December 9, 2013. Pursuant to the registration rights agreement dated August 1, 2013, we subsequently commenced the exchange offer to exchange the Initial 2020 Notes for Exchange Notes, which exchange offer expired on January 15, 2014. All of the Initial 2020 Notes were properly tendered in the exchange offer and accepted by us in exchange for the Exchange Notes.</w:t>
      </w:r>
    </w:p>
    <w:p>
      <w:pPr>
        <w:spacing w:after="0" w:line="5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connection with the sale of the Additional 2020 Notes, the Issuers and the Guarantor entered into a certain registration rights agreement dated January 29, 2014. See below for further discussion of this registration rights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4.875% Senior Unsecured Notes Due 2019 and 3.50% Senior Notes due 2017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21, 2014, the Issuers issued $1.275 billion in aggregate principal amount of our 4.875% Senior Notes due 2019 (the “2019 Notes”)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$1.175 billion in aggregate principal amount of our 3.500% Senior Notes due 2017 (the “2017 Notes”) pursuant to the purchase agreement, dated January 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2014, by and among the Issuers, the Guarantor, and Citigroup Global Markets Inc., Credit Suisse Securities (USA) LLC, Morgan Stanley &amp; Co.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Jefferies LLC and UBS Securities LLC, as initial purchasers (the “New Notes Purchasers”). The net proceeds from the sale of the 2019 Notes and the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were approximately $1.269 billion and $1.169 billion, respectively, after deducting the initial purchasers' discount and commission and estimated fees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expenses related to the offering.</w:t>
      </w:r>
    </w:p>
    <w:p>
      <w:pPr>
        <w:spacing w:after="0" w:line="103"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7"/>
          <w:szCs w:val="17"/>
          <w:color w:val="auto"/>
        </w:rPr>
        <w:t>We used the proceeds from the issuance of the Additional 2020 Notes, the 2019 Notes, and the 2017 Notes to refinance our prior notes ("2010-2012 Notes"). As a result of this refinancing, we purchased $3,500 million aggregate principal of the 2010-2012 Notes and recognized a loss of $108 million on extinguishment of debt during the first quarter of 2014. The 2010-2012 Notes were discharged in full on February 6, 2014.</w:t>
      </w:r>
    </w:p>
    <w:p>
      <w:pPr>
        <w:spacing w:after="0" w:line="5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Issuers issued the 2019 Notes and the 2017 Notes under an indenture dated as of January 21, 2014 (the “2017 and 2019 Indenture”), among the Issuers, Icahn Enterprises Holdings, as guarantor, and Wilmington Trust Company, as trustee. The 2017 and 2019 Indenture contains customary events of defaults and covenants relating to, among other things, the incurrence of debt, affiliate transactions, liens and restricted payments. Prior to the maturity of the 2017 or 2019 Notes, the Issuers may redeem either the 2017 or 2019 Notes by paying certain premiums as specified in the applicable 2017 or 2022 Indenture, plus accrued and unpaid interest as applicable.</w:t>
      </w:r>
    </w:p>
    <w:p>
      <w:pPr>
        <w:spacing w:after="0" w:line="8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connection with the sale of the Additional 2020 Notes, the 2019 Notes and the 2017 Notes (collectively, the "New Notes") and the 2022 Notes, the Issuers and the Guarantor entered into two registration rights agreements, one dated January 21, 2014 and the other January 29, 2014 (the “Registration Rights Agreements”), with the New Notes Purchasers and the 2022 Notes Purchaser, respectively. Pursuant to the Registration Rights Agreements, on March 28, 2014, we filed an initial Form S-4 with respect to the New Notes and 2022 Notes for the sole purpose of exchanging the unregistered New Notes and the 2022 Notes for Exchange Notes. The exchange offer registration statement on Form S-4 with respect to the New Notes and the 2022 Notes was declared effective on April 24, 2014. Pursuant to the Registration Rights Agreements, we subsequently commenced the exchange offer to exchange the New Notes and the 2022 Notes for Exchange Notes which exchange offer expired on May 23, 2014. Substantially all of the New Notes and 2022 Notes were properly tendered in the exchange offer and accepted by us in exchange for registered Exchange Notes.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 Restrictions and Covenants</w:t>
      </w:r>
    </w:p>
    <w:p>
      <w:pPr>
        <w:spacing w:after="0" w:line="117"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The indentures governing both the New Notes and the 2022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5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As of June 30, 2015 and December 31, 2014, we were in compliance with all covenants, including maintaining certain minimum financial ratios, as defined in the indentures. Additionally, as of June 30, 2015, based on covenants in the indentures governing our senior unsecured notes, we are permitted to incur approximately $1.2 billion in additional indebtedness.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37" w:right="25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Facilities - Automotive</w:t>
      </w:r>
    </w:p>
    <w:p>
      <w:pPr>
        <w:spacing w:after="0" w:line="11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On December 6, 2013, Federal-Mogul entered into an amendment (the “Federal-Mogul Revolver Amendment”) of its Term Loan and Revolving Credit Agreement dated as of December 27, 2007 (as amended, the “Federal-Mogul Credit Agreement”), among Federal-Mogul, the lenders party thereto, Citicorp USA, Inc., as Administrative Agent, JPMorgan Chase Bank, N.A., as Syndication Agent, and Wachovia Capital Finance Corporation and Wells Fargo Foothill, LLC, as Co-Documentation Agents, to amend its existing revolving credit facility to provide for a replacement revolving credit facility (the “Federal-Mogul Replacement Revolving Facility”). The Federal-Mogul Revolver Amendment, among other things, (i) increased the aggregate commitments available under the Federal-Mogul Replacement Revolving Facility from $540 million to $550 million, (ii) extended the maturity date of the Federal-Mogul Replacement Revolving Facility to December 6, 2018, subject to certain limited exceptions described below, and (iii) amended Federal-Mogul’s borrowing base to provide it with additional liquidity.</w:t>
      </w:r>
    </w:p>
    <w:p>
      <w:pPr>
        <w:spacing w:after="0" w:line="71"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Advances under the Federal-Mogul Replacement Revolving Facility generally bear interest at a variable rate per annum equal to (i) the Alternate Base Rate (as defined in the Federal-Mogul Credit Agreement) plus an adjustable margin of 0.50% to 1.00% based on the average monthly availability under the Federal-Mogul Replacement Revolving Facility or (ii) Adjusted LIBOR Rate (as defined in the Federal-Mogul Credit Agreement) plus a margin of 1.50% to 2.00%based on the average monthly availability under the Federal-Mogul Replacement Revolving Facility. An unused commitment fee of 0.375% also is payable under the terms of the Federal-Mogul Replacement Revolving Facility.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Agreement</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On April 15, 2014, Federal-Mogul Holdings Corporation entered into a new tranche B term loan facility (the “New Tranche B Facility”) and a new tranche C term loan facility (the “New Tranche C Facility,” and together with the New Tranche B Facility, the “New Federal-Mogul Term Facilities”), which were arranged by Citigroup Global Markets Inc. and Credit Suisse Securities (USA) LLC (the "Term Arrangers"), and assumed all of the obligations of Federal-Mogul Corporation with respect to the Federal-Mogul Replacement Revolving Facility. The New Federal-Mogul Term Facilities were entered into, and the Federal-Mogul Replacement Revolving Facility was assumed, by Federal-Mogul Holdings Corporation, pursuant to an amendment dated as of April 15, 2014 to the previously existing Term Loan and Federal-Mogul Credit Agreement dated December 27, 2007 among Federal-Mogul Corporation, the lenders party thereto (listed below), Citibank, N.A., as Revolving Administrative Agent, Citibank, N.A., as Tranche B Term Administrative Agent, Credit Suisse AG, as Tranche C Term Administrative Agent, Citigroup Global Markets Inc., Credit Suisse Securities (USA) LLC and Wells Fargo Bank, N.A., as Joint Lead Arrangers and Joint Bookrunners with respect to the Federal-Mogul Credit Agreement and Wells Fargo Bank, N.A., as sole Documentation Agent with respect to the Federal-Mogul Credit Agreement. Immediately following the closing of the New Federal-Mogul Term Facilities, Federal-Mogul Holdings Corporation contributed all of the net proceeds from the New Facilities to Federal-Mogul Corporation, and Federal-Mogul Corporation repaid its existing outstanding indebtedness as a borrower under the tranche B and tranche C term loan facilities. In connection with this debt refinancing, our Automotive segment recognized a non-cash loss on debt extinguishment of $36 million during the second quarter of 2014, which was primarily attributable to the write-off of debt discounts, and is reflected in other income (loss), net in the condensed consolidated statements of operations.</w:t>
      </w:r>
    </w:p>
    <w:p>
      <w:pPr>
        <w:spacing w:after="0" w:line="6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The New Federal-Mogul Term Facilities, among other things, (i) provide for aggregate commitments under the New Tranche B Facility of $700 million with a maturity date of April 15, 2018, (ii) provide for aggregate commitments under the New Tranche C Facility of approximately $1.9 billion with a maturity date of April 15, 2021, (iii) increase the interest rates applicable to the New Federal-Mogul Facilities as described below, (iv) provide that for all outstanding letters of credit there is a corresponding decrease in borrowings available under the Federal-Mogul Replacement Revolving Facility, (v) provide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 for additional incremental indebtedness,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of an unlimited amount of additional indebtedness if Federal-Mogul meets a financial covenant incurrence test, and (vii) amend certain other restrictive covenants. Pursuant to the New Federal-Mogul Term Facilities, Federal-Mogul Holdings Corporation assumed all of the obligations of Federal-Mogul Corporation with respect to the Federal-Mogul Replacement Revolving Facility.</w:t>
      </w:r>
    </w:p>
    <w:p>
      <w:pPr>
        <w:spacing w:after="0" w:line="7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Advances under the New Tranche B Facility generally bear interest at a variable rate per annum equal to (i) the Alternate Base Rate plus a margin of 2.00% or (ii) the Adjusted LIBOR Rate plus a margin of 3.00%, subject, in each case, to a minimum rate of 1.00%. Advances under the New Tranche C Facility generally bear interest at a variable rate per annum equal to (i) the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337" w:right="27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Alternate Base Rate plus a margin of 2.75% or (ii) the Adjusted LIBOR Rate plus a margin of 3.75%, subject, in each case, to a minimum rate of 1.00% plus the applicable margin.</w:t>
      </w:r>
    </w:p>
    <w:p>
      <w:pPr>
        <w:spacing w:after="0" w:line="62"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obligations of Federal-Mogul under the Federal-Mogul Credit Agreement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5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Federal-Mogul Credit Agreement contains certain affirmative and negative covenants and events of default, including, subject to certain exceptions, restrictions on incurring additional indebtedness, mandatory prepayment provisions associated with specified asset sales and dispositions, and limitations on:</w:t>
      </w:r>
    </w:p>
    <w:p>
      <w:pPr>
        <w:ind w:right="80" w:firstLine="8"/>
        <w:spacing w:after="0" w:line="323" w:lineRule="auto"/>
        <w:tabs>
          <w:tab w:leader="none" w:pos="1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investments; ii) certain acquisitions, mergers or consolidations; iii) sale and leaseback transactions; iv) certain transactions with affiliates; and v) dividends and other payments in respect of capital stock. At June 30, 2015 and December 31, 2014, Federal-Mogul was in compliance with all debt covenants.</w:t>
      </w:r>
    </w:p>
    <w:p>
      <w:pPr>
        <w:spacing w:after="0" w:line="3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of June 30, 2015 and December 31, 2014, the borrowing availability under the Federal-Mogul Replacement Revolving Facility was $280 million and $516 million, respectively. As of June 30, 2015, the outstanding balance on the Federal-Mogul Replacement Revolving Facility was $230 million. As of December 31, 2014, there were no borrowings outstanding under the Federal-Mogul Replacement Revolving Facility. Federal-Mogul had $40 million and $34 million of letters of credit outstanding as June 30, 2015 and December 31, 2014, respectively, pertaining to Federal-Mogul's term loan credit facility. To the extent letters of credit associated with the Federal-Mogul Replacement Revolving Facility are issued, there will be a corresponding decrease in borrowings available under this facility.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October 23, 2012, CVR Refining LLC and its wholly owned subsidiary, Coffeyville Finance Inc., completed a private offering of $500 million in aggregate principal amount of 6.50% Senior Notes due 2022 (the "CVR 2022 Notes"). The CVR 2022 Notes were issued at par. The CVR 2022 Notes are fully and unconditionally guaranteed by CVR Refining and each of CVR Refining's existing domestic subsidiaries on a joint and several basis. The CVR 2022 Notes mature on November 1, 2022, unless earlier redeemed or repurchased by the issuers. Interest is payable on the CVR 2022 Notes semi-annually on May 1 and November 1 of each year, commencing on May 1, 2013.</w:t>
      </w:r>
    </w:p>
    <w:p>
      <w:pPr>
        <w:spacing w:after="0" w:line="8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CVR 2022 Notes contain customary covenants for a financing of this type that limit, subject to certain exceptions, the incurrence of additional indebtedness or guarantees, the creation of liens on assets, the ability to dispose of assets, the ability to make certain payments on contractually subordinated debt, the ability to merge, consolidate with or into another entity and the ability to enter into certain affiliate transactions. The CVR 2022 Notes provide that CVR Refining can make distributions to holders of its common units provided, among other things, it has a minimum fixed charge coverage ratio and there is no default or event of default under the CVR 2022 Notes. As of June 30, 2015, CVR Refining was in compliance with the covenants contained in the CVR 2022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Asset Backed (ABL) Credit Facility</w:t>
      </w:r>
    </w:p>
    <w:p>
      <w:pPr>
        <w:spacing w:after="0" w:line="11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CVR Refining has a senior secured asset based revolving credit facility (the "Amended and Restated ABL Credit Facility") with a group of lenders and Wells Fargo Bank, National Association (“Wells Fargo”), as administrative agent and collateral agent. The Amended and Restated ABL Credit Facility has an aggregate principal amount of up to $400 million with an incremental facility, which permits an increase in borrowings of up to $200 million subject to receipt of additional lender commitments and certain other conditions. The proceeds of the loans may be used for capital expenditures and working capital and general corporate purposes of CVR Refining and its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 The Amended and Restated ABL Credit Facility is scheduled to mature on December 20, 2017.</w:t>
      </w:r>
    </w:p>
    <w:p>
      <w:pPr>
        <w:spacing w:after="0" w:line="8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Borrowings under the Amended and Restated ABL Credit Facility bear interest at either a base rate or LIBOR plus an applicable margin. The applicable margin is (i) (a) 1.75% for LIBOR borrowings and (b) 0.75% for prime rate borrowings, in each case if quarterly average excess availability exceeds 50% of the lesser of the borrowing base and the total commitments and (ii) (a) 2.00% for LIBOR borrowings and (b) 1.00% for prime rate borrowings, in each case if quarterly average excess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37" w:right="25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availability is less than or equal to 50% of the lesser of the borrowing base and the total commitments. The Amended and Restated ABL Credit Facility also requires the payment of customary fees, including an unused line fee of (i) 0.40% if the daily average amount of loans and letters of credit outstanding is less than 50% of the lesser of the borrowing base and the total commitments and (ii) 0.30% if the daily average amount of loans and letters of credit outstanding is equal to or greater than 50% of the lesser of the borrowing base and the total commitments. CVR Refining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8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Amended and Restated ABL Credit Facility also contains customary covenants for a financing of this type that limit the ability of CVR Refining and its subsidiaries to, among other things, incur liens, engage in a consolidation, merger, purchase or sale of assets, pay dividends, incur indebtedness, make advances, investments and loans, enter into affiliate transactions, issue equity interests, or create subsidiaries and unrestricted subsidiaries. The Amended and Restated ABL Credit Facility also contains a fixed charge coverage ratio financial covenant, as defined therein. CVR Refining was in compliance with the covenants of the Amended and Restated ABL Credit Facility as of June 30, 2015.</w:t>
      </w:r>
    </w:p>
    <w:p>
      <w:pPr>
        <w:spacing w:after="0" w:line="80"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As of June 30, 2015, CVR Refining and its subsidiaries had availability under the Amended and Restated ABL Credit Facility of $323 million and had letters of credit outstanding of $28 million. There were no borrowings outstanding under the Amended and Restated ABL Credit Facility as of June 30, 2015. Availability under the Amended and Restated ABL Credit Facility was limited by borrowing base conditions as of June 30, 2015.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Credit Facility</w:t>
      </w:r>
    </w:p>
    <w:p>
      <w:pPr>
        <w:spacing w:after="0" w:line="117"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CVR Partners' credit facility includes a term loan facility of $125 million and a revolving credit facility of $25 million, which was undrawn as of June 30, 2015, with an uncommitted incremental facility of up to $50 million. No amounts were outstanding under the revolving credit facility at June 30, 2015. There is no scheduled amortization of the credit facility, which matures in April 2016. CVR Partners is considering capital structure and refinancing options associated with the credit facility maturity.</w:t>
      </w:r>
    </w:p>
    <w:p>
      <w:pPr>
        <w:spacing w:after="0" w:line="7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w:t>
      </w:r>
    </w:p>
    <w:p>
      <w:pPr>
        <w:spacing w:after="0" w:line="7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credit facility requires CVR Partners to maintain a minimum interest coverage ratio and a maximum leverage ratio and contains customary covenants for a financing of this type that limit, subject to certain exceptions, the incurrence of additional indebtedness or guarantees, the incurrence of liens, disposal of assets, making restricted payments, making investments or acquisitions and entry into sale-leaseback transactions or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June 30, 2015, CRNF was in compliance with the covenants contained in the credit facility.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Railcar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Lease Fleet Financing</w:t>
      </w:r>
    </w:p>
    <w:p>
      <w:pPr>
        <w:spacing w:after="0" w:line="11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 January 2014, ARI, through its wholly owned subsidiary, Longtrain Leasing I, LLC ("Longtrain Leasing I") refinanced a certain term loan (the "Original ARI Term Loan") under an amended and restated credit agreement to, among other provisions, increase the aggregate borrowings available thereunder. In connection with the refinancing, Longtrain Leasing I received borrowings of $316 million, net of fees and expenses (the "ARI Refinanced Term Loan"). Of this amount, $194 million was used to refinance the Original ARI Term Loan, resulting in net proceeds of $122 million. In conjunction with the refinancing, ARI incurred a $2 million loss on extinguishment of debt, which is reflected in other income (loss), net in our condensed consolidated statements of operations during the first quarter of 2014. As of December 31, 2014, the outstanding principal balance on the ARI Refinanced Term Loan was $309 million. In connection with the lease fleet financing as discussed below, the ARI Refinanced Term Loan was repaid in full during the first quarter of 2015.</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37"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October 2014, ARI, through Longtrain Leasing II LLC ("Longtrain Leasing II"), a wholly owned subsidiary of ARI, entered into a lease fleet financing facility for $100 million under a term loan agreement ("Longtrain Leasing II Term Loan") in order to support the growth of its leasing business. The Longtrain Leasing II Term Loan was scheduled to mature in April 2015. As of December 31, 2014, the outstanding principal balance on the Longtrain Leasing II Term Loan was $100 million. In connection with the lease fleet financing transaction as discussed below, the Longtrain Leasing II Term Loan was repaid in full during the first quarter of 2015.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Lease Fleet Financing</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January 29, 2015, ARI refinanced its lease fleet financing facilities to, among other things, increase the aggregate borrowings thereunder. In connection with the refinancing, Longtrain Leasing III LLC ("Longtrain Leasing III") completed a private placement of $626 million in aggregate principal amount of notes consisting of $250 million in aggregate principal amount of its 2.98% Fixed Rate Secured Railcar Equipment Notes, Class A-1 ("ARI Class A-1 Notes") and $376 million in aggregate principal amount of its 4.06% Fixed Rate Secured Railcar Equipment Notes, Class A-2 ("ARI Class A-2 Notes", and collectively with the ARI Class A-1 Notes, the "ARI 2015 Notes"). Of the aggregate principal amount, $409 million was used to refinance ARI's lease fleet financing facilities, resulting in net proceeds of $212 million. In conjunction with the refinancing, our Railcar segment incurred a $2 million loss on debt extinguishment, which is reflected in other income (loss), net in the condensed consolidated statements of operations. This non-cash charge is related to the accelerated write-off of deferred debt issuance costs incurred in connection with the Longtrain Leasing I and Longtrain Leasing II lease fleet financings. As of June 30, 2015, the outstanding principal balance on the ARI 2015 Notes was $621 million. The ARI 2015 Notes have a legal final maturity date of January 17, 2045 and an expected principal repayment date of January 15, 2025.</w:t>
      </w:r>
    </w:p>
    <w:p>
      <w:pPr>
        <w:spacing w:after="0" w:line="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ARI 2015 Notes were issued pursuant to a certain indenture (the "ARI Indenture), dated January 29, 2015 between Longtrain Leasing III and U.S. Bank National Association, as indenture trustee ("ARI Indenture Trustee"). The ARI Class A-1 Notes bear interest at a fixed rate of 2.98% per annum, and the ARI Class A-2 Notes bear interest at a fixed rate of 4.06% per annum. Interest on the ARI 2015 Notes is payable monthly on the 15th calendar day of each month in accordance with the flow of funds provisions described in the ARI Indenture. While the legal final maturity date of the ARI 2015 Notes is January 17, 2045, cash flows from Longtrain Leasing III's assets will be applied, pursuant to the flow of funds provisions of the ARI Indenture, so as to achieve monthly targeted principal balances. Also, under the flow of funds provisions of the ARI Indenture, early amortization of the ARI 2015 Notes may be required in certain circumstances. If the ARI 2015 Notes are not repaid by the expected principal repayment date on January 15, 2025, additional interest shall accrue at a rate of 5.0% per annum and be payable monthly according to the flow of funds. Pursuant to the terms of the ARI Indenture, ARI is required to maintain deposits in a liquidity reserve bank account equal to nine months of interest payments. As of June 30, 2015, the liquidity reserve amount was $17 million, and included within restricted cash on the condensed consolidated balance sheets.</w:t>
      </w:r>
    </w:p>
    <w:p>
      <w:pPr>
        <w:spacing w:after="0" w:line="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Longtrain Leasing III can prepay or redeem the ARI Class A-1 Notes, in whole or in part, on any payment date and the ARI Class A-2 Notes, in whole or in part, on any payment date occurring on or after January 16, 2018.</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Indenture contains covenants which limit, among other things, Longtrain Leasing III's ability to incur additional indebtedness or encumbrances on its assets, pay dividends or make distributions, make certain investments, perform its business other than specified activities, enter into certain types of transactions with its affiliates, and sell assets or consolidate or merge with or into other companies. These covenants are subject to a number of exceptions and qualifications. ARI was in compliance with all of these covenants as of June 30, 2015.</w:t>
      </w:r>
    </w:p>
    <w:p>
      <w:pPr>
        <w:spacing w:after="0" w:line="79"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The ARI Indenture also contains certain customary events of default, including among others, failure to pay amounts when due after applicable grace periods, failure to comply with certain covenants and agreements, and certain events of bankruptcy or insolvency. Certain events of default under the ARI Indenture will make the outstanding principal balance and accrued interest on the ARI 2015 Notes, together with all amounts then due and owing to the noteholders, immediately due and payable without further action. For other events of default, the ARI Indenture Trustee, acting at the direction of a majority of the noteholders, may declare the principal of and accrued interest on all ARI 2015 Notes then outstanding to be due and payable immediately.</w:t>
      </w:r>
    </w:p>
    <w:p>
      <w:pPr>
        <w:spacing w:after="0" w:line="5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June 30, 2015 and December 31, 2014, the net book value of the railcars that were pledged as part of the lease fleet financings was $490 million and $277 million,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Revolving Credit Facilities</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December 19, 2014, ARL closed on the Citizen's Bank revolving credit facility (the "Citizen Bank Revolver"), with Citizen Bank's as the administrative agent, along with several other participating banks, replacing the ARL Sovereign Revolver. The available capacity of the Citizen Bank Revolver is $250 million as of December 31, 2014. In addition, under certain circumstances, ARL has the ability to increase the Citizen Bank Revolver credit availability by $100 million to a total availability of $350 million. The Citizen Bank Revolver bears interest of LIBOR plus 1.45% with a maturity date of December 19, 2017. The Citizen Bank Revolver is secured by railcars and related leases and lease receivables and is subject to certain covenants, including maintenance of certain financial ratios related to net worth, utilization and loan to value. As of June 30, 2015 there were $100 million borrowings under the Citizen Bank Revolver. As of December 31, 2014, there were no borrowings under the Citizen Bank Revolver. In addition, as of both June 30, 2015 and December 31, 2014, ARL was in compliance with all covenants of the Citizen Bank Revolver.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Term Notes</w:t>
      </w:r>
    </w:p>
    <w:p>
      <w:pPr>
        <w:spacing w:after="0" w:line="11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ARL and its wholly owned subsidiaries have various term loans, all of which are non-recourse to us, some of which bear interest at variable rates based on LIBOR and have maturities between July 14, 2014 and July 16, 2019, and the rest bear interest at rates between 3.35% and 6.95% and have maturities between July 28, 2014 and February 25, 2020. Substantially all of the term loans are secured by railcars and related leases and lease receivables and are subject to certain covenants, including maintenance of certain financial ratios related to net worth, utilization and loan to value.</w:t>
      </w:r>
    </w:p>
    <w:p>
      <w:pPr>
        <w:spacing w:after="0" w:line="63"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On February 21, 2014, NCF I, LLC, a subsidiary of ARL, entered into a $250 million term loan (the “NCF I Term Loan”) with Key Equipment Finance, a division of KeyBank National Association. The NCF I Term Loan matures on February 21, 2019. Interest shall accrue on the principal balance at the rate of 30-day LIBOR plus 2.0%, with the rate to reset monthly that is payable monthly, commencing on March 20, 2014.</w:t>
      </w:r>
    </w:p>
    <w:p>
      <w:pPr>
        <w:spacing w:after="0" w:line="5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February 25, 2014, NCF II, LLC, a subsidiary of ARL, entered into a $135 million term loan (the “NCF II Term Loan”) with AIG Commercial Asset Finance. The NCF II Term Loan matures on February 25, 2020. Interest shall accrue on the principal balance at the rate of 3.7% that is payable monthly, commencing on March 25, 2014.</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NCF I Term Loan and NCF II Term Loan are each subject to a maximum 80% loan to value ratio, to be measured monthly and verified annually by collateral appraisal. Both of the NCF I Term Loan and the NCF II Term Loan are secured by railcar assets and guaranteed by an affiliated company and includes a tangible net worth covenant for the guarantor, among other covenants.</w:t>
      </w:r>
    </w:p>
    <w:p>
      <w:pPr>
        <w:spacing w:after="0" w:line="7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required by the ARL Contribution Agreement, the NCF I Term Loan and the NCF II Term Loans were incurred to finance ARL’s distribution of $381 million of cash to IRL Holding LLC, an affiliate of Mr. Icahn, which occurred on February 26, 2014.</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On March 27, 2014, RCF 2014, LLC, a subsidiary of ARL, entered into a $300 million term loan (the “RCF Term Loan”) with the Royal Bank of Scotland PLC. Proceeds of the RCF Term Loan, along with $256 million in cash, were used to pay off a certain term note that matured in March 2014 with a certain subsidiary of ARL. The RCF Term Loan matures on September 27, 2014. Interest shall accrue on the principal balance at the rate of 30-day LIBOR plus 1.45%, with the rate to reset monthly and is payable monthly, commencing on April 15, 2014. The RCF Term Loan is secured by railcars and related leases and lease receivables and is subject to certain covenants, including maintenance of certain financial ratios related to net worth, utilization and loan to value. During September 2014, as discussed below, a portion of the proceeds from the Credit Agricole Term Loan (as defined below) were used to pay off in full the RCF Term Loan.</w:t>
      </w:r>
    </w:p>
    <w:p>
      <w:pPr>
        <w:spacing w:after="0" w:line="8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On June 23, 2014, ARL entered into a $12 million term loan with Heartland Bank (the “Heartland Bank Term Loan”). The Heartland Bank Term Loan matures on July 1, 2015. On December 23, 2014, ARL entered into an amendment to the Heartland Bank Term Loan, which extended the maturity to July 1, 2019. Interest accrues on the principal balance at the rate of 30-day LIBOR plus 2.0%, with the rate to reset monthly, and is payable monthly, commencing on August 1, 2014. The Heartland Bank Term Loan is subject to a maximum 85% loan to value ratio and is secured by railcar assets.</w:t>
      </w:r>
    </w:p>
    <w:p>
      <w:pPr>
        <w:spacing w:after="0" w:line="4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September 3, 2014, RCF 2014, LLC, a subsidiary of ARL, entered into a $375 million term loan with Credit Agricole Corporate and Investment Bank ("Credit Agricole Term Loan") with a maturity date of September 3, 2021. Interest shall accrue on the principal balance of the loan at the rate of 30-day LIBOR plus 1.75%, with the rate to reset monthly. The loan is payable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monthly, commencing on October 3, 2014. Proceeds from the Credit Agricole Term Loan were used to pay off the RCF Term Loan and a certain revolving credit facility with Sovereign Bank.</w:t>
      </w:r>
    </w:p>
    <w:p>
      <w:pPr>
        <w:spacing w:after="0" w:line="62"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On September 26, 2014, a subsidiary of ARL, entered into a $47 million term loan with Banc of America Leasing &amp; Capital, LLC with a maturity date of September 26, 2021. Interest shall accrue on the principal balance of the loan at the rate of 30-day LIBOR plus 1.75%, with the rate to reset monthly. The loan is payable monthly, commencing on October 26, 2014.</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September 26, 2014, a subsidiary of ARL, entered into a $15 million term loan with Talmer Bank with a maturity date of October 1, 2019. Interest shall accrue on the principal balance at the rate of 30-day LIBOR plus 1.50%, with the rate to reset monthly that is payable monthly, commencing on October 26, 2014.</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30-day LIBOR rate was 0.18% and 0.17% at June 30, 2015 and December 31, 2014, respectively.</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both June 30, 2015 and December 31, 2014, ARL and its wholly owned subsidiaries were in compliance with all debt covenants with respect to all of their term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Bond Securitizations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December 12, 2012, a subsidiary of ARL entered into a bond securitization transaction with RBS Securities, Inc. ("RBS") as the initial purchaser of the $110 million principal amount of the Floating Secured Railcar Equipment Notes, Class A-1 ("ARL 2012 Class A-1 Notes"), and the $106 million principal amount of the Fixed Rate Secured Railcar Equipment Notes, Class A-2 ("ARL 2012 Class A-2 Notes") and, together with the ARL Class A-1 Notes, collectively referred to herein as the "ARL 2012 Bond Securitization Notes"). The ARL 2012 Class A-1 Notes bear interest of LIBOR plus 1.75%; the ARL 2012 Class A-2 Notes bear a fixed interest rate of 3.81%. Interest on each of the ARL 2012 Bond Securitization Notes are payable on the 15th calendar day of each month starting on January 15, 2013. The expected principal repayment date for the ARL 2012 Bond Securitization Notes is December 15, 2022 and the legal final maturity date for the ARL 2012 Bond Securitization Notes is December 15, 2042.</w:t>
      </w:r>
    </w:p>
    <w:p>
      <w:pPr>
        <w:spacing w:after="0" w:line="70"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On June 25, 2014, a certain subsidiary of ARL entered into a bond securitization transaction with RBS as the initial purchaser of the $175 million principal amount of the Fixed Secured Railcar Equipment Notes, Class A-1 ("ARL 2014 Class A-1 Notes"), and the $150 million principal amount of the Fixed Rate Secured Railcar Equipment Notes, Class A-2 ("ARL 2014 Class A-2 Notes" and, together with the ARL 2014 Class A-1 Notes, collectively referred to herein as the "ARL 2014 Bond Securitization Notes"). Of the proceeds from the ARL 2014 Bond Securitization Notes, $156 million were used to pay down the RCF Term Loan. The ARL 2014 Class A-1 Notes bear a fixed interest rate of 2.92%; the ARL 2014 Class A-2 Notes bear a fixed interest rate of 3.97%. Interest on each of the ARL 2014 Bond Securitization Notes is payable on the 15th calendar day of each month starting on July 15, 2014. The expected principal repayment date for the ARL 2014 Bond Securitization Notes is June 15, 2024 and the legal final maturity date for the ARL 2014 Bond Securitization Notes is June 15, 2044.</w:t>
      </w:r>
    </w:p>
    <w:p>
      <w:pPr>
        <w:spacing w:after="0" w:line="8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Each of the ARL 2012 Bond Securitization Notes and ARL 2014 Bond Securitization Notes is subject to certain covenants, including the maintenance of certain financial ratios related to net worth, utilization and debt service coverage. As of both June 30, 2015 and December 31, 2014, ARL was in compliance with all debt covenants with respect to the ARL 2012 Bond Securitization Notes and ARL 2014 Bond Securitization Notes.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On November 27, 2013, Tropicana entered into (i) a senior secured first lien term loan facility in an aggregate principal amount of $300 million, issued at a discount of 0.5% (the “Tropicana Term Loan Facility”) and (ii) a senior secured first lien revolving credit facility in an aggregate principal amount of $15 million (the “Tropicana Revolving Facility” and, together with the Tropicana Term Loan Facility, the “Tropicana Credit Facilities”). Commencing on December 31, 2013, the Tropicana Term Loan Facility amortizes in equal quarterly installments in an amount of $750,000, with any remaining balance payable on the final maturity date of the Tropicana Term Loan Facility, which is November 27, 2020. Amounts under the Tropicana Revolving Facility are available to be borrowed and re-borrowed until its termination on November 27, 2018.</w:t>
      </w:r>
    </w:p>
    <w:p>
      <w:pPr>
        <w:spacing w:after="0" w:line="70"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Tropicana Term Loan Facility accrues interest, at Tropicana's option, at a per annum rate equal to either (i) the LIBO Rate (as defined in the Credit Agreement) (subject to a 1.00% floor) plus an applicable margin equal to 3.00%, or (ii) the alternate base rate (as defined in the Credit Agreement) (subject to a 2.00% floor) plus an applicable margin equal to 2.00%; such that in either case, the applicable interest rate shall not be less than 4.0%. The Tropicana Revolving Facility accrues interest, at Tropicana's option, at a per annum rate equal to either (i) the LIBO Rate plus an applicable margin ranging from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2.00% (if the total net leverage ratio is less than 2.50:1.00) to 2.50% (if the total net leverage ratio is greater than or equal to 3.00:1.00); or (ii) the alternate base rate plus an applicable margin ranging from 1.00% (if the total net leverage ratio is less than 2.50:1.00) to 1.50% (if the total net leverage ratio is greater than or equal to 3.00:1.00). The interest rate increases by 2.00% following certain defaults. As of June 30, 2015, the interest rate on the Tropicana Term Loan Facility was 4.0% and the Tropicana Revolving Facility was undrawn and had $15 million of availability.</w:t>
      </w:r>
    </w:p>
    <w:p>
      <w:pPr>
        <w:spacing w:after="0" w:line="6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Tropicana Credit Facilities are guaranteed by all of Tropicana's domestic subsidiaries, subject to limited exceptions, and additional subsidiaries may be required to provide guarantees, subject to limited exceptions. The Tropicana Credit Facilities are secured by a first lien on substantially all assets of Tropicana and the domestic subsidiaries that are guarantors, with certain limited exceptions. Subsidiaries that become guarantors will be required, with certain limited exceptions, to provide first liens and security interests in substantially all their assets to secure the Tropicana Credit Facilities.</w:t>
      </w:r>
    </w:p>
    <w:p>
      <w:pPr>
        <w:spacing w:after="0" w:line="46"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At the election of Tropicana and subject to certain conditions, including a maximum senior secured net leverage ratio of 3.25:1.00, the amount available under the Tropicana Credit Facilities may be increased, which increased amount may be comprised of additional term loans and revolving loans.</w:t>
      </w:r>
    </w:p>
    <w:p>
      <w:pPr>
        <w:spacing w:after="0" w:line="16"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Tropicana Term Loan Facility may be prepaid at the option of Tropicana at any time without penalty (other than customary LIBO Rate breakage fees). Tropicana is required to make mandatory payments of the Tropicana Credit Facilities with (i) net cash proceeds of certain asset sales (subject to reinvestment rights), (ii) net cash proceeds from certain issuances of debt and equity (with certain exceptions), (iii) up to 50% of annual excess cash flow (as low as 0% if Tropicana's total leverage ratio is below 2.75:1.00), and (iv) certain casualty proceeds and condemnation awards (subject to reinvestment rights).</w:t>
      </w:r>
    </w:p>
    <w:p>
      <w:pPr>
        <w:spacing w:after="0" w:line="46"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Key covenants binding Tropicana and its subsidiaries include (i) limitations on indebtedness, liens, investments, acquisitions, asset sales, dividends and other restricted payments, and affiliate and extraordinary transactions, and (ii) if, as of the last day of any fiscal quarter, the amount of outstanding revolving loans exceed 35% of the permitted borrowing under the Tropicana Revolving Facility, compliance with a maximum senior secured net leverage ratio test of 3.25:1.00. Key default provisions include (i) failure to repay principal, interest, fees and other amounts owing under the facility, (ii) cross default to certain other indebtedness, (iii) the rendering of certain judgments against Tropicana or its subsidiaries, (iv) failure of security documents to create valid liens on property securing the Tropicana Credit Facilities and to perfect such liens, (v) revocation of casino, gambling, or gaming licenses, (vi) Tropicana's or its material subsidiaries' bankruptcy or insolvency; and (vii) the occurrence of a Change of Control (as defined in the Credit Agreement). Many defaults are also subject to cure periods prior to such default giving rise to the right of the lenders to accelerate the loans and to exercise remedies. Tropicana was in compliance with the covenants of the Tropicana Term Loan Facility at June 30, 2015.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and Revolving Credit Facility - 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connection with certain financing transactions, on January 30, 2014, Viskase entered into a credit agreement with UBS AG, Stamford Branch, as Administrative Agent and Collateral Agent, and the Lenders parties thereto, providing for a $275 million senior secured covenant lite term loan facility (“Viskase Term Loan”). A portion of the proceeds from the Viskase Term Loan was used to satisfy and discharge all of the existing Viskase 9.875% Notes and Viskase recorded a loss of $16 million in connection with this debt extinguishment in the first quarter of 2014, which is reflected in other income (loss), net in the condensed consolidated statements of operations.</w:t>
      </w:r>
    </w:p>
    <w:p>
      <w:pPr>
        <w:spacing w:after="0" w:line="8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Viskase Term Loan bears interest at a LIBO Rate plus 3.25% (with the LIBO Rate carrying a 1.00% floor), or at a Base Rate equal to the sum of (1) the greatest of (a) the Prime Rate, (b) the Federal Funds Effective Rate plus 0.50%, (c) one-month LIBOR plus 1.0%, or (d) 2.0%, plus (2) 2.25%. The Viskase Term Loan has a 1% per annum amortization with a maturity date of January 30, 2021. The Viskase Term Loan is subject to certain additional mandatory prepayments upon asset sales, incurrence of indebtedness not otherwise permitted, and based upon a percentage of excess cash flow. Prepayments on the Viskase Term Loan may be made at any time, subject to a prepayment premium of 1% for certain prepayments during the first six months of the term.</w:t>
      </w:r>
    </w:p>
    <w:p>
      <w:pPr>
        <w:spacing w:after="0" w:line="5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Indebtedness under the Viskase Term Loan is secured by liens on substantially all of Viskase’s domestic and Mexican assets, with liens on (i) the Fixed Asset Priority Collateral, to be contractually senior to the liens securing the Revolving Credit Facility pursuant to the intercreditor agreement, (ii) the ABL Priority Collateral, to be contractually subordinate to the liens securing the Revolving Credit Facility pursuant to the intercreditor agreement, and (iii) all other assets, to be contractually pari passu with the liens securing the Revolving Credit Facility pursuant to the intercreditor agreement. Viskase's future direct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indirect material domestic subsidiaries are required to guarantee the obligations under the Viskase Term Loan, and to provide security by liens on their assets as described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its foreign operations, Viskase has unsecured lines of credit with various banks providing $8 million of availability as of June 30, 2015. There was $1 million outstanding under the lines of credit as of both June 30, 2015 and December 31, 2014.</w:t>
      </w:r>
    </w:p>
    <w:p>
      <w:pPr>
        <w:spacing w:after="0" w:line="6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Letters of credit in the amount of $1 million were outstanding under facilities with a commercial bank, and were cash collateralized at each of June 30, 2015 and December 31,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Agreement - Home Fashion</w:t>
      </w:r>
    </w:p>
    <w:p>
      <w:pPr>
        <w:spacing w:after="0" w:line="11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On October 15, 2012, upon the expiration of a certain senior secured revolving credit facility of WPH, WPH entered into a letter of credit facility (the "WPH LC Facility"), with a nationally recognized bank (the "WPH LC Issuer"). This one-year WPH LC Facility, which was renewed on October 15, 2013 and October 15, 2014, has a $10 million credit line. The letters of credit under the WPH LC Facility are subject to 0.50% annual fee on the outstanding face amount of the letters of credit issued under the WPH LC Facility, which face amount as of June 30, 2015 and December 31, 2014 was $5 million and $6 million, respectively. Obligations under the LC Facility are secured by a cash collateral account pledged by WPH to the WPH LC Issuer. The WPH LC Facility does not contain any financial covenants.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Post-employment Benefits and Employee Benefit Plans.</w:t>
      </w:r>
    </w:p>
    <w:p>
      <w:pPr>
        <w:spacing w:after="0" w:line="121" w:lineRule="exact"/>
        <w:rPr>
          <w:sz w:val="20"/>
          <w:szCs w:val="20"/>
          <w:color w:val="auto"/>
        </w:rPr>
      </w:pPr>
    </w:p>
    <w:p>
      <w:pPr>
        <w:ind w:right="240" w:firstLine="405"/>
        <w:spacing w:after="0" w:line="291" w:lineRule="auto"/>
        <w:rPr>
          <w:sz w:val="20"/>
          <w:szCs w:val="20"/>
          <w:color w:val="auto"/>
        </w:rPr>
      </w:pPr>
      <w:r>
        <w:rPr>
          <w:rFonts w:ascii="Arial" w:cs="Arial" w:eastAsia="Arial" w:hAnsi="Arial"/>
          <w:sz w:val="16"/>
          <w:szCs w:val="16"/>
          <w:color w:val="auto"/>
        </w:rPr>
        <w:t>Federal-Mogul, ARI and Viskase each sponsor several defined benefit pension plans (the ''Pension Benefits'') (and, in the case of Viskase, its pension plans include defined contribution plans). Additionally, Federal-Mogul and Viskase each sponsors health care and life insurance benefits (''Other Post-Employment Benefits'') for certain employees and retirees around the world. The Pension Benefits are funded based on the funding requirements of federal and international laws and regulations, as applicable, in advance of benefit payments and the Other Post-Employment Benefits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 for the three and six months ended June 30, 2015 and 2014 are as follows:</w:t>
      </w:r>
    </w:p>
    <w:p>
      <w:pPr>
        <w:sectPr>
          <w:pgSz w:w="11900" w:h="16838" w:orient="portrait"/>
          <w:cols w:equalWidth="0" w:num="1">
            <w:col w:w="11420"/>
          </w:cols>
          <w:pgMar w:left="240" w:top="337" w:right="239" w:bottom="1440" w:gutter="0" w:footer="0" w:header="0"/>
        </w:sectPr>
      </w:pPr>
    </w:p>
    <w:p>
      <w:pPr>
        <w:spacing w:after="0" w:line="275" w:lineRule="exact"/>
        <w:rPr>
          <w:sz w:val="20"/>
          <w:szCs w:val="20"/>
          <w:color w:val="auto"/>
        </w:rPr>
      </w:pPr>
    </w:p>
    <w:p>
      <w:pPr>
        <w:jc w:val="center"/>
        <w:ind w:left="4400"/>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63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440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63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80"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Other Post-Employment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48895</wp:posOffset>
            </wp:positionV>
            <wp:extent cx="2229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34290</wp:posOffset>
            </wp:positionV>
            <wp:extent cx="2229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34290</wp:posOffset>
            </wp:positionV>
            <wp:extent cx="4562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7680" w:space="720"/>
            <w:col w:w="302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gridSpan w:val="3"/>
          </w:tcPr>
          <w:p>
            <w:pPr>
              <w:jc w:val="right"/>
              <w:ind w:right="47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7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24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56"/>
        </w:trPr>
        <w:tc>
          <w:tcPr>
            <w:tcW w:w="4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6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88"/>
              </w:rPr>
              <w:t>Pension Benefits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3"/>
              </w:rPr>
              <w:t>Other Post-Employment Benefits</w:t>
            </w:r>
          </w:p>
        </w:tc>
      </w:tr>
      <w:tr>
        <w:trPr>
          <w:trHeight w:val="27"/>
        </w:trPr>
        <w:tc>
          <w:tcPr>
            <w:tcW w:w="424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0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Six Months Ended June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24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sets forth the allocation of net income attributable to Icahn Enterprises allocable to limited partners and the computation of basic and diluted income per LP unit of Icahn Enterprises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3"/>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gridSpan w:val="5"/>
          </w:tcPr>
          <w:p>
            <w:pPr>
              <w:ind w:left="340"/>
              <w:spacing w:after="0"/>
              <w:rPr>
                <w:sz w:val="20"/>
                <w:szCs w:val="20"/>
                <w:color w:val="auto"/>
              </w:rPr>
            </w:pPr>
            <w:r>
              <w:rPr>
                <w:rFonts w:ascii="Arial" w:cs="Arial" w:eastAsia="Arial" w:hAnsi="Arial"/>
                <w:sz w:val="14"/>
                <w:szCs w:val="14"/>
                <w:color w:val="auto"/>
              </w:rPr>
              <w:t>(in millions, except per unit data)</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w w:val="92"/>
              </w:rPr>
              <w:t>Net income attributable to Icahn Enterprises allocable to limited</w:t>
            </w: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33"/>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partners (98.01% allocation)</w:t>
            </w:r>
          </w:p>
        </w:tc>
        <w:tc>
          <w:tcPr>
            <w:tcW w:w="30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and diluted income per LP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LP units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Distributions</w:t>
      </w:r>
    </w:p>
    <w:p>
      <w:pPr>
        <w:spacing w:after="0" w:line="11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On February 20, 2015, Icahn Enterprises declared a quarterly distribution in the amount of $1.50 per depositary unit in which each depositary unit holder had the option to make an election to receive either cash or additional depositary units. As a result, on April 22, 2015, Icahn Enterprises distributed an aggregate 1,713,935 depositary units to unit holders electing to receive depositary units in connection with this distribution.</w:t>
      </w:r>
    </w:p>
    <w:p>
      <w:pPr>
        <w:spacing w:after="0" w:line="5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May 5, 2015, Icahn Enterprises declared a quarterly distribution in the amount of $1.50 per depositary unit in which each depositary unit holder had the option to make an election to receive either cash or additional depositary units. As a result, on June 30, 2015, Icahn Enterprises distributed an aggregate 1,825,930 depositary units to unit holders electing to receive depositary units in connection with this distribution.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Mr. Icahn and his affiliates elected to receive a majority of their proportionate share of these distributions in depositary units. As of August 5, 2015,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Icahn and his affiliates owned 88.7% of Icahn Enterprises outstanding depositary units.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of June 30, 2015, our ten operating segments, which also constitute our reporting segments, are: (1) Investment; (2) Automotive; (3) Energy; (4) Metals; (5) Railcar; (6) Gaming; (7) Mining; (8) Food Packaging; (9) Real Estate; and (10) Home Fashion.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In addition to our ten reporting segments, we present the results of the Holding Company, which includes the unconsolidated results of Icahn Enterprises and Icahn Enterprises Holdings, and investment activity and expenses associated with the activities of the Holding Company. See Note 2, “Operating Units,” for a detailed description of each of our reporting segments.</w:t>
      </w:r>
    </w:p>
    <w:p>
      <w:pPr>
        <w:spacing w:after="0" w:line="7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Icahn Enterprises' condensed statements of operations by reporting segment for the three and six months ended June 30, 2015 and 2014 are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86"/>
              <w:spacing w:after="0"/>
              <w:rPr>
                <w:sz w:val="20"/>
                <w:szCs w:val="20"/>
                <w:color w:val="auto"/>
              </w:rPr>
            </w:pPr>
            <w:r>
              <w:rPr>
                <w:rFonts w:ascii="Arial" w:cs="Arial" w:eastAsia="Arial" w:hAnsi="Arial"/>
                <w:sz w:val="11"/>
                <w:szCs w:val="11"/>
                <w:b w:val="1"/>
                <w:bCs w:val="1"/>
                <w:color w:val="auto"/>
                <w:w w:val="89"/>
              </w:rPr>
              <w:t>Three Months Ended June 30, 2015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3,979</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347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592</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2,044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1,612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212</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4,984</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3,324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161</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528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287</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1,377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138</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4,330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654</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(113)</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541</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(329)</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212</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168</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3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209</w:t>
            </w:r>
          </w:p>
        </w:tc>
      </w:tr>
      <w:tr>
        <w:trPr>
          <w:trHeight w:val="22"/>
        </w:trPr>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1457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14579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1457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1457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14579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86"/>
              <w:spacing w:after="0"/>
              <w:rPr>
                <w:sz w:val="20"/>
                <w:szCs w:val="20"/>
                <w:color w:val="auto"/>
              </w:rPr>
            </w:pPr>
            <w:r>
              <w:rPr>
                <w:rFonts w:ascii="Arial" w:cs="Arial" w:eastAsia="Arial" w:hAnsi="Arial"/>
                <w:sz w:val="11"/>
                <w:szCs w:val="11"/>
                <w:b w:val="1"/>
                <w:bCs w:val="1"/>
                <w:color w:val="auto"/>
                <w:w w:val="89"/>
              </w:rPr>
              <w:t>Three Months Ended June 30, 2014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4,867</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1,132</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1,201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1,845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2,575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225</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6,379</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2,358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4,327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163</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456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197</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1,844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2,401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163</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194</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5,174</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1,205</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(82)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1,123</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(549)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(634)</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489</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148</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305</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195</w:t>
            </w:r>
          </w:p>
        </w:tc>
      </w:tr>
      <w:tr>
        <w:trPr>
          <w:trHeight w:val="383"/>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9"/>
          </w:tcPr>
          <w:p>
            <w:pPr>
              <w:jc w:val="center"/>
              <w:ind w:left="66"/>
              <w:spacing w:after="0"/>
              <w:rPr>
                <w:sz w:val="20"/>
                <w:szCs w:val="20"/>
                <w:color w:val="auto"/>
              </w:rPr>
            </w:pPr>
            <w:r>
              <w:rPr>
                <w:rFonts w:ascii="Arial" w:cs="Arial" w:eastAsia="Arial" w:hAnsi="Arial"/>
                <w:sz w:val="11"/>
                <w:szCs w:val="11"/>
                <w:b w:val="1"/>
                <w:bCs w:val="1"/>
                <w:color w:val="auto"/>
                <w:w w:val="88"/>
              </w:rPr>
              <w:t>Six Months Ended June 30, 2015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7,544</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676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1,183</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100</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1,272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3,889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2,986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433</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395</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9,495</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3,290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2,569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6,449</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316</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1,005</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557</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3,856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2,658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299</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8,370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1,125</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(162)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963</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(418)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(127)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(590)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373</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330</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729</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3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413</w:t>
            </w:r>
          </w:p>
        </w:tc>
      </w:tr>
      <w:tr>
        <w:trPr>
          <w:trHeight w:val="22"/>
        </w:trPr>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-5350510</wp:posOffset>
            </wp:positionV>
            <wp:extent cx="14579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-5504815</wp:posOffset>
            </wp:positionV>
            <wp:extent cx="14579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-5865495</wp:posOffset>
            </wp:positionV>
            <wp:extent cx="14579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-6208395</wp:posOffset>
            </wp:positionV>
            <wp:extent cx="1457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-7597775</wp:posOffset>
            </wp:positionV>
            <wp:extent cx="14579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1457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14579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14579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14579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14579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019"/>
          </w:cols>
          <w:pgMar w:left="1440" w:top="341"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66"/>
              <w:spacing w:after="0"/>
              <w:rPr>
                <w:sz w:val="20"/>
                <w:szCs w:val="20"/>
                <w:color w:val="auto"/>
              </w:rPr>
            </w:pPr>
            <w:r>
              <w:rPr>
                <w:rFonts w:ascii="Arial" w:cs="Arial" w:eastAsia="Arial" w:hAnsi="Arial"/>
                <w:sz w:val="11"/>
                <w:szCs w:val="11"/>
                <w:b w:val="1"/>
                <w:bCs w:val="1"/>
                <w:color w:val="auto"/>
                <w:w w:val="88"/>
              </w:rPr>
              <w:t>Six Months Ended June 30, 2014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5"/>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9,533</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584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1,101</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1,247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3,634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5,131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432</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390</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11,369</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3,080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4,605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8,469</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292</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816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367</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3,577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4,690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323</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9,984</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1,385</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(185)</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1,200</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(740)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460</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250</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587</w:t>
            </w:r>
          </w:p>
        </w:tc>
      </w:tr>
      <w:tr>
        <w:trPr>
          <w:trHeight w:val="270"/>
        </w:trPr>
        <w:tc>
          <w:tcPr>
            <w:tcW w:w="230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51</w:t>
            </w:r>
          </w:p>
        </w:tc>
        <w:tc>
          <w:tcPr>
            <w:tcW w:w="1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-619760</wp:posOffset>
            </wp:positionV>
            <wp:extent cx="14579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4579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-1134745</wp:posOffset>
            </wp:positionV>
            <wp:extent cx="14579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-1477645</wp:posOffset>
            </wp:positionV>
            <wp:extent cx="14579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-2867025</wp:posOffset>
            </wp:positionV>
            <wp:extent cx="14579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180" w:right="180" w:hanging="172"/>
        <w:spacing w:after="0" w:line="273" w:lineRule="auto"/>
        <w:tabs>
          <w:tab w:leader="none" w:pos="180" w:val="left"/>
        </w:tabs>
        <w:numPr>
          <w:ilvl w:val="0"/>
          <w:numId w:val="15"/>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amounts of $3 million and $3 million for the three months ended June 30, 2015 and 2014, respectively, and $6 million and $13 million for the six months ended June 30, 2015 and 2014,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Icahn Enterprises' condensed balance sheets by reporting segment as of June 30, 2015 and December 31, 2014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center"/>
              <w:ind w:right="460"/>
              <w:spacing w:after="0"/>
              <w:rPr>
                <w:sz w:val="20"/>
                <w:szCs w:val="20"/>
                <w:color w:val="auto"/>
              </w:rPr>
            </w:pPr>
            <w:r>
              <w:rPr>
                <w:rFonts w:ascii="Arial" w:cs="Arial" w:eastAsia="Arial" w:hAnsi="Arial"/>
                <w:sz w:val="11"/>
                <w:szCs w:val="11"/>
                <w:b w:val="1"/>
                <w:bCs w:val="1"/>
                <w:color w:val="auto"/>
                <w:w w:val="86"/>
              </w:rPr>
              <w:t>June 30, 2015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center"/>
              <w:ind w:left="46"/>
              <w:spacing w:after="0"/>
              <w:rPr>
                <w:sz w:val="20"/>
                <w:szCs w:val="20"/>
                <w:color w:val="auto"/>
              </w:rPr>
            </w:pPr>
            <w:r>
              <w:rPr>
                <w:rFonts w:ascii="Arial" w:cs="Arial" w:eastAsia="Arial" w:hAnsi="Arial"/>
                <w:sz w:val="11"/>
                <w:szCs w:val="11"/>
                <w:color w:val="auto"/>
                <w:w w:val="97"/>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jc w:val="center"/>
              <w:spacing w:after="0"/>
              <w:rPr>
                <w:sz w:val="20"/>
                <w:szCs w:val="20"/>
                <w:color w:val="auto"/>
              </w:rPr>
            </w:pPr>
            <w:r>
              <w:rPr>
                <w:rFonts w:ascii="Arial" w:cs="Arial" w:eastAsia="Arial" w:hAnsi="Arial"/>
                <w:sz w:val="11"/>
                <w:szCs w:val="11"/>
                <w:b w:val="1"/>
                <w:bCs w:val="1"/>
                <w:color w:val="auto"/>
                <w:w w:val="95"/>
              </w:rPr>
              <w:t>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2,154</w:t>
            </w:r>
          </w:p>
        </w:tc>
        <w:tc>
          <w:tcPr>
            <w:tcW w:w="0" w:type="dxa"/>
            <w:vAlign w:val="bottom"/>
          </w:tcPr>
          <w:p>
            <w:pPr>
              <w:spacing w:after="0"/>
              <w:rPr>
                <w:sz w:val="1"/>
                <w:szCs w:val="1"/>
                <w:color w:val="auto"/>
              </w:rPr>
            </w:pPr>
          </w:p>
        </w:tc>
      </w:tr>
      <w:tr>
        <w:trPr>
          <w:trHeight w:val="139"/>
        </w:trPr>
        <w:tc>
          <w:tcPr>
            <w:tcW w:w="242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20" w:type="dxa"/>
            <w:vAlign w:val="bottom"/>
          </w:tcPr>
          <w:p>
            <w:pPr>
              <w:ind w:left="200"/>
              <w:spacing w:after="0"/>
              <w:rPr>
                <w:sz w:val="20"/>
                <w:szCs w:val="20"/>
                <w:color w:val="auto"/>
              </w:rPr>
            </w:pPr>
            <w:r>
              <w:rPr>
                <w:rFonts w:ascii="Arial" w:cs="Arial" w:eastAsia="Arial" w:hAnsi="Arial"/>
                <w:sz w:val="11"/>
                <w:szCs w:val="11"/>
                <w:color w:val="auto"/>
              </w:rPr>
              <w:t>restricted cash</w:t>
            </w: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1,770</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14,466</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2,027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2,339</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2,326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9,666</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3,225</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1,631</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16,104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8,478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5,432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3,414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1,272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432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740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37,278</w:t>
            </w:r>
          </w:p>
        </w:tc>
        <w:tc>
          <w:tcPr>
            <w:tcW w:w="0" w:type="dxa"/>
            <w:vAlign w:val="bottom"/>
          </w:tcPr>
          <w:p>
            <w:pPr>
              <w:spacing w:after="0"/>
              <w:rPr>
                <w:sz w:val="1"/>
                <w:szCs w:val="1"/>
                <w:color w:val="auto"/>
              </w:rPr>
            </w:pPr>
          </w:p>
        </w:tc>
      </w:tr>
      <w:tr>
        <w:trPr>
          <w:trHeight w:val="20"/>
        </w:trPr>
        <w:tc>
          <w:tcPr>
            <w:tcW w:w="24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2,150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1,420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298</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5,452</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977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3,922</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1,365</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2,391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12,120</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6,018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6,381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2,094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2,697</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419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5,605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23,836</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4,646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1,731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728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692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(5,123)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5,687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5,440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1,607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7,755</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10,086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2,097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3,338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717</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853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(5,123)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13,442</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16,104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8,478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5,432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3,414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1,272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432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740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37,278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6"/>
          </w:tcPr>
          <w:p>
            <w:pPr>
              <w:jc w:val="center"/>
              <w:ind w:right="380"/>
              <w:spacing w:after="0"/>
              <w:rPr>
                <w:sz w:val="20"/>
                <w:szCs w:val="20"/>
                <w:color w:val="auto"/>
              </w:rPr>
            </w:pPr>
            <w:r>
              <w:rPr>
                <w:rFonts w:ascii="Arial" w:cs="Arial" w:eastAsia="Arial" w:hAnsi="Arial"/>
                <w:sz w:val="11"/>
                <w:szCs w:val="11"/>
                <w:b w:val="1"/>
                <w:bCs w:val="1"/>
                <w:color w:val="auto"/>
                <w:w w:val="86"/>
              </w:rPr>
              <w:t>December 31, 2014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center"/>
              <w:ind w:left="46"/>
              <w:spacing w:after="0"/>
              <w:rPr>
                <w:sz w:val="20"/>
                <w:szCs w:val="20"/>
                <w:color w:val="auto"/>
              </w:rPr>
            </w:pPr>
            <w:r>
              <w:rPr>
                <w:rFonts w:ascii="Arial" w:cs="Arial" w:eastAsia="Arial" w:hAnsi="Arial"/>
                <w:sz w:val="11"/>
                <w:szCs w:val="11"/>
                <w:color w:val="auto"/>
                <w:w w:val="97"/>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jc w:val="center"/>
              <w:spacing w:after="0"/>
              <w:rPr>
                <w:sz w:val="20"/>
                <w:szCs w:val="20"/>
                <w:color w:val="auto"/>
              </w:rPr>
            </w:pPr>
            <w:r>
              <w:rPr>
                <w:rFonts w:ascii="Arial" w:cs="Arial" w:eastAsia="Arial" w:hAnsi="Arial"/>
                <w:sz w:val="11"/>
                <w:szCs w:val="11"/>
                <w:b w:val="1"/>
                <w:bCs w:val="1"/>
                <w:color w:val="auto"/>
                <w:w w:val="95"/>
              </w:rPr>
              <w:t>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2,912</w:t>
            </w:r>
          </w:p>
        </w:tc>
        <w:tc>
          <w:tcPr>
            <w:tcW w:w="0" w:type="dxa"/>
            <w:vAlign w:val="bottom"/>
          </w:tcPr>
          <w:p>
            <w:pPr>
              <w:spacing w:after="0"/>
              <w:rPr>
                <w:sz w:val="1"/>
                <w:szCs w:val="1"/>
                <w:color w:val="auto"/>
              </w:rPr>
            </w:pPr>
          </w:p>
        </w:tc>
      </w:tr>
      <w:tr>
        <w:trPr>
          <w:trHeight w:val="139"/>
        </w:trPr>
        <w:tc>
          <w:tcPr>
            <w:tcW w:w="242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20" w:type="dxa"/>
            <w:vAlign w:val="bottom"/>
          </w:tcPr>
          <w:p>
            <w:pPr>
              <w:ind w:left="200"/>
              <w:spacing w:after="0"/>
              <w:rPr>
                <w:sz w:val="20"/>
                <w:szCs w:val="20"/>
                <w:color w:val="auto"/>
              </w:rPr>
            </w:pPr>
            <w:r>
              <w:rPr>
                <w:rFonts w:ascii="Arial" w:cs="Arial" w:eastAsia="Arial" w:hAnsi="Arial"/>
                <w:sz w:val="11"/>
                <w:szCs w:val="11"/>
                <w:color w:val="auto"/>
              </w:rPr>
              <w:t>restricted cash</w:t>
            </w: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1,435</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14,500</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1,691</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1,879</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2,376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8,955</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3,088</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1,320</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15,460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3,120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35,780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1,933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294</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4,877</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5,197</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1,391</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2,690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2,133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11,588</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6,398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5,951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2,146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2,436</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5,499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23,390</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4,284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5,443</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4,778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6,947</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9,062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1,578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3,188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684</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835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(4,126)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12,390</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15,460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3,120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35,780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337" w:right="239" w:bottom="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relate to deferred financing costs which are only reflected in the results of operations for the Holding Company. See Note 10, "Debt," for additional information. Segment information for Icahn Enterprises Holdings is presented below for significant financial statement line items affected by these differences.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4"/>
              </w:rPr>
              <w:t>Three Months Ended June 30,</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December 31,</w:t>
            </w:r>
          </w:p>
        </w:tc>
      </w:tr>
      <w:tr>
        <w:trPr>
          <w:trHeight w:val="264"/>
        </w:trPr>
        <w:tc>
          <w:tcPr>
            <w:tcW w:w="24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2014</w:t>
            </w:r>
          </w:p>
        </w:tc>
      </w:tr>
      <w:tr>
        <w:trPr>
          <w:trHeight w:val="144"/>
        </w:trPr>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Net Income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(Loss)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7"/>
              </w:rPr>
              <w:t>Net Income (Loss)</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Icahn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Icahn Enterprises</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4"/>
        </w:trPr>
        <w:tc>
          <w:tcPr>
            <w:tcW w:w="242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Net Income (Loss)</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Holdings</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Interest Expense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Holdings</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Total Assets</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Total Assets</w:t>
            </w:r>
          </w:p>
        </w:tc>
      </w:tr>
      <w:tr>
        <w:trPr>
          <w:trHeight w:val="249"/>
        </w:trPr>
        <w:tc>
          <w:tcPr>
            <w:tcW w:w="24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457"/>
              <w:spacing w:after="0"/>
              <w:rPr>
                <w:sz w:val="20"/>
                <w:szCs w:val="20"/>
                <w:color w:val="auto"/>
              </w:rPr>
            </w:pPr>
            <w:r>
              <w:rPr>
                <w:rFonts w:ascii="Arial" w:cs="Arial" w:eastAsia="Arial" w:hAnsi="Arial"/>
                <w:sz w:val="13"/>
                <w:szCs w:val="13"/>
                <w:color w:val="auto"/>
              </w:rPr>
              <w:t>(in millions)</w:t>
            </w:r>
          </w:p>
        </w:tc>
        <w:tc>
          <w:tcPr>
            <w:tcW w:w="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77"/>
              <w:spacing w:after="0"/>
              <w:rPr>
                <w:sz w:val="20"/>
                <w:szCs w:val="20"/>
                <w:color w:val="auto"/>
              </w:rPr>
            </w:pPr>
            <w:r>
              <w:rPr>
                <w:rFonts w:ascii="Arial" w:cs="Arial" w:eastAsia="Arial" w:hAnsi="Arial"/>
                <w:sz w:val="13"/>
                <w:szCs w:val="13"/>
                <w:color w:val="auto"/>
              </w:rPr>
              <w:t>(in millions)</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16,104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15,460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8,478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7,529</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5,334</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Metals</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315</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3,120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Gaming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1,260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Mining</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Food Packaging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436</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 Estate</w:t>
            </w:r>
          </w:p>
        </w:tc>
        <w:tc>
          <w:tcPr>
            <w:tcW w:w="4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745</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Home Fashion</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208</w:t>
            </w:r>
          </w:p>
        </w:tc>
      </w:tr>
      <w:tr>
        <w:trPr>
          <w:trHeight w:val="27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Holding Company</w:t>
            </w:r>
          </w:p>
        </w:tc>
        <w:tc>
          <w:tcPr>
            <w:tcW w:w="4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1,396</w:t>
            </w:r>
          </w:p>
        </w:tc>
      </w:tr>
      <w:tr>
        <w:trPr>
          <w:trHeight w:val="242"/>
        </w:trPr>
        <w:tc>
          <w:tcPr>
            <w:tcW w:w="2420" w:type="dxa"/>
            <w:vAlign w:val="bottom"/>
          </w:tcPr>
          <w:p>
            <w:pPr>
              <w:ind w:left="4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21"/>
                <w:szCs w:val="21"/>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542</w:t>
            </w:r>
          </w:p>
        </w:tc>
        <w:tc>
          <w:tcPr>
            <w:tcW w:w="1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21"/>
                <w:szCs w:val="21"/>
                <w:color w:val="auto"/>
              </w:rPr>
            </w:pPr>
          </w:p>
        </w:tc>
        <w:tc>
          <w:tcPr>
            <w:tcW w:w="7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73"/>
              </w:rPr>
              <w:t>196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1,124</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37,302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35,803</w:t>
            </w:r>
          </w:p>
        </w:tc>
      </w:tr>
      <w:tr>
        <w:trPr>
          <w:trHeight w:val="20"/>
        </w:trPr>
        <w:tc>
          <w:tcPr>
            <w:tcW w:w="2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3"/>
                <w:szCs w:val="13"/>
                <w:b w:val="1"/>
                <w:bCs w:val="1"/>
                <w:color w:val="auto"/>
                <w:w w:val="87"/>
              </w:rPr>
              <w:t>Six Months Ended June 30,</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144"/>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Net Income (Loss)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Net Income (Loss)</w:t>
            </w: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Attributable to</w:t>
            </w: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Icahn Enterprises</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Icahn Enterprises</w:t>
            </w:r>
          </w:p>
        </w:tc>
      </w:tr>
      <w:tr>
        <w:trPr>
          <w:trHeight w:val="174"/>
        </w:trPr>
        <w:tc>
          <w:tcPr>
            <w:tcW w:w="2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Interest Expense</w:t>
            </w: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Net Income (Loss)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Holdings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Interest Expense</w:t>
            </w: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Net Income (Loss)</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Holdings</w:t>
            </w:r>
          </w:p>
        </w:tc>
      </w:tr>
      <w:tr>
        <w:trPr>
          <w:trHeight w:val="249"/>
        </w:trPr>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gridSpan w:val="5"/>
          </w:tcPr>
          <w:p>
            <w:pPr>
              <w:jc w:val="center"/>
              <w:ind w:right="180"/>
              <w:spacing w:after="0"/>
              <w:rPr>
                <w:sz w:val="20"/>
                <w:szCs w:val="20"/>
                <w:color w:val="auto"/>
              </w:rPr>
            </w:pPr>
            <w:r>
              <w:rPr>
                <w:rFonts w:ascii="Arial" w:cs="Arial" w:eastAsia="Arial" w:hAnsi="Arial"/>
                <w:sz w:val="13"/>
                <w:szCs w:val="13"/>
                <w:color w:val="auto"/>
                <w:w w:val="97"/>
              </w:rPr>
              <w:t>(in millions)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506</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19</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182</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Metals</w:t>
            </w:r>
          </w:p>
        </w:tc>
        <w:tc>
          <w:tcPr>
            <w:tcW w:w="8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Gaming</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27</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Mining</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Food Packaging</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 Estate</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Home Fashion</w:t>
            </w:r>
          </w:p>
        </w:tc>
        <w:tc>
          <w:tcPr>
            <w:tcW w:w="8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72"/>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Holding Company</w:t>
            </w:r>
          </w:p>
        </w:tc>
        <w:tc>
          <w:tcPr>
            <w:tcW w:w="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w:t>
            </w:r>
          </w:p>
        </w:tc>
      </w:tr>
      <w:tr>
        <w:trPr>
          <w:trHeight w:val="242"/>
        </w:trPr>
        <w:tc>
          <w:tcPr>
            <w:tcW w:w="2080" w:type="dxa"/>
            <w:vAlign w:val="bottom"/>
          </w:tcPr>
          <w:p>
            <w:pPr>
              <w:ind w:left="40"/>
              <w:spacing w:after="0"/>
              <w:rPr>
                <w:sz w:val="20"/>
                <w:szCs w:val="20"/>
                <w:color w:val="auto"/>
              </w:rPr>
            </w:pPr>
            <w:r>
              <w:rPr>
                <w:rFonts w:ascii="Arial" w:cs="Arial" w:eastAsia="Arial" w:hAnsi="Arial"/>
                <w:sz w:val="13"/>
                <w:szCs w:val="13"/>
                <w:color w:val="auto"/>
              </w:rPr>
              <w:t>Consolidated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556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1,201</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461</w:t>
            </w:r>
          </w:p>
        </w:tc>
      </w:tr>
      <w:tr>
        <w:trPr>
          <w:trHeight w:val="20"/>
        </w:trPr>
        <w:tc>
          <w:tcPr>
            <w:tcW w:w="2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Amounts related to the amortization of deferred financing costs and debt discounts and premiums included in interest expense for the consolidated results of Icahn Enterprises Holdings were $2 million and $2 million for the three months ended June 30, 2015 and 2014, respectively, and $5 million and $12 million for the six months ended June 30, 2015 and 2014, respectively.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37"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For the three months ended June 30, 2015, each of Icahn Enterprises and Icahn Enterprises Holdings recorded an income tax expense of $113 million on pre-tax income of $654 million compared to an income tax expense of $82 million on pre-tax income of $1,205 million for the three months ended June 30, 2014. Our effective income tax rate was 17.3% and 6.8% for the three months ended June 30, 2015 and 2014, respectively.</w:t>
      </w:r>
    </w:p>
    <w:p>
      <w:pPr>
        <w:spacing w:after="0" w:line="5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For each of the three months ended June 30, 2015 and 2014, the effective tax rate was lower than the statutory federal rate of 35%, primarily due to partnership income not subject to taxation, as such taxes are the responsibility of the partners.</w:t>
      </w:r>
    </w:p>
    <w:p>
      <w:pPr>
        <w:spacing w:after="0" w:line="62"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For the six months ended June 30, 2015, each of Icahn Enterprises and Icahn Enterprises Holdings recorded an income tax expense of $162 million on pre-tax income of $1,125 million compared to an income tax expense of $185 million on pre-tax income of $1,385 million for the six months ended June 30, 2014. Our effective income tax rate was 14.4% and 13.4% for the six months ended June 30, 2015 and 2014, respectively.</w:t>
      </w:r>
    </w:p>
    <w:p>
      <w:pPr>
        <w:spacing w:after="0" w:line="57"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For each of the six months ended June 30, 2015 and 2014, the effective tax rate was lower than the statutory federal rate of 35%, primarily due to partnership income not subject to taxation, as such taxes are the responsibility of the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Post-Employment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Reclassifications from accumulated other comprehensive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income (loss) to earnings</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firstLine="8"/>
        <w:spacing w:after="0" w:line="303" w:lineRule="auto"/>
        <w:tabs>
          <w:tab w:leader="none" w:pos="162"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See Note 11, "Pension, Other Post-employment Benefits and Employee Benefit Plans," and Note 6,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 During the six months ended June 30, 2015, our Energy segment reclassified from accumulated other comprehensive loss to earnings for the sale of certain available-for-sale securities as well as the impact of transferring balances in available-for-sale securities to trading securities. See Note 4, "Investments and Related Matters - Other Segments,"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16. Other Income (Loss), Net.</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4700" w:type="dxa"/>
            <w:vAlign w:val="bottom"/>
          </w:tcPr>
          <w:p>
            <w:pPr>
              <w:ind w:left="420"/>
              <w:spacing w:after="0"/>
              <w:rPr>
                <w:sz w:val="20"/>
                <w:szCs w:val="20"/>
                <w:color w:val="auto"/>
              </w:rPr>
            </w:pPr>
            <w:r>
              <w:rPr>
                <w:rFonts w:ascii="Arial" w:cs="Arial" w:eastAsia="Arial" w:hAnsi="Arial"/>
                <w:sz w:val="18"/>
                <w:szCs w:val="18"/>
                <w:color w:val="auto"/>
              </w:rPr>
              <w:t>Other income (loss), net consists of the following:</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470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8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Realized and unrealized (loss) gain on derivatives, net (Note 6)</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on acquisition (Note 2)</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assets, net</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on extinguishment of debt (Note 10)</w:t>
            </w:r>
          </w:p>
        </w:tc>
        <w:tc>
          <w:tcPr>
            <w:tcW w:w="112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settlement gain</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During the first quarter of 2014, our Gaming segment received $32 million in cash payments to satisfy future credits in connection with a certain negotiated tax settlement.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that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Total environmental liabilities, determined on an undiscounted basis, were $14 million and $15 million as of June 30, 2015 and December 31, 2014, respectively, and are included in accrued expenses and other liabilities in our condensed consolidated balance sheets.</w:t>
      </w:r>
    </w:p>
    <w:p>
      <w:pPr>
        <w:spacing w:after="0" w:line="3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Federal-Mogul, our Automotive segment's results of operations could be materially affected. At June 30, 2015, Federal-Mogul estimates reasonably possible material additional losses, above and beyond its best estimate of required remediation costs as recorded, to approximate $36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$20 million and $24 million as of June 30, 2015 and December 31, 2014, respectively, for asset retirement obligations ("ARO"),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360" w:firstLine="405"/>
        <w:spacing w:after="0" w:line="297" w:lineRule="auto"/>
        <w:rPr>
          <w:sz w:val="20"/>
          <w:szCs w:val="20"/>
          <w:color w:val="auto"/>
        </w:rPr>
      </w:pPr>
      <w:r>
        <w:rPr>
          <w:rFonts w:ascii="Arial" w:cs="Arial" w:eastAsia="Arial" w:hAnsi="Arial"/>
          <w:sz w:val="16"/>
          <w:szCs w:val="16"/>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is unable to estimate any reasonably possible range of loss for reasons including that the plaintiffs did not claim any amount of damages in their complaint. F-M Products intends to vigorously defend this litigation.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CVR leases various equipment, including railcars, and real properties under long-term operating leases expiring at various dates. For the six months ended June 30, 2015 and 2014 lease expense was $4 million and $5 million, respectively.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ind w:right="280" w:firstLine="405"/>
        <w:spacing w:after="0" w:line="297" w:lineRule="auto"/>
        <w:rPr>
          <w:sz w:val="20"/>
          <w:szCs w:val="20"/>
          <w:color w:val="auto"/>
        </w:rPr>
      </w:pPr>
      <w:r>
        <w:rPr>
          <w:rFonts w:ascii="Arial" w:cs="Arial" w:eastAsia="Arial" w:hAnsi="Arial"/>
          <w:sz w:val="16"/>
          <w:szCs w:val="16"/>
          <w:color w:val="auto"/>
        </w:rPr>
        <w:t>On August 31, 2012, Coffeyville Resources Refining &amp; Marketing, LLC ("CRRM"), and Vitol Inc. ("Vitol") entered into an Amended and Restated Crude Oil Supply Agreement (as amended, the "Vitol Agreement"). Under the Vitol Agreement, Vitol supplies the petroleum business with crude oil and intermediation logistics, which helps to reduce the CVR Refining's inventory position and mitigate crude oil pricing risk. The Vitol Agreement will automatically renew for successive one-year terms (each such term, a "Renewal Term") unless either party provides the other with notice of nonrenewal at least 180 days prior to the expiration of any Renewal Term. The Vitol Agreement currently extends through December 31, 2016.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management’s estimates of the outcomes will change due to uncertainties inherent in litigation and settlement negotiations. Except as described below for our Energy segment, there were no new proceedings or material developments in proceedings that we previously reported in our annual report on Form 10-K for the year ended December 31, 2014 ("2014 Form 10-K") and our Quarterly Report on Form 10-Q for the quarter ended March 31, 2015 ("2015 Q1 Form 10-Q"). In the opinion of CVR's management, the ultimate resolution of any other litigation matters is not expected to have a material adverse effect on the accompanying condensed consolidated financial statements. There can be no assurance that management’s beliefs or opinions with respect to liability for potential litigation matters are accurate.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37"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Flood, Crude Oil Discharge and Insurance</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As previously disclosed in our 2014 Form 10-K and the 2015 Q1 Form 10-Q, CRRM filed a lawsuit against certain of its environmental insurance carriers requesting insurance coverage indemnification for the June/July 2007 flood and crude oil discharge losses at CRRM’s Coffeyville refinery. During the second quarter of 2015, CRRM entered into a settlement agreement and release with the insurance carriers involved in the lawsuit, pursuant to which (i) CRRM received settlement proceeds of $31 million, (ii) the parties mutually released each other from all claims relating to the flood and crude oil discharge and (iii) all pending appeals have been dismissed. Of the settlement proceeds received, $27 million were recorded as a flood insurance recovery in the condensed consolidated statements of operations for the three and six months ended June 30, 2015. The remaining $4 million of settlement proceeds reduced CVR Refining's $4 million receivable related to this matter which was included in other assets as of December 31, 2014.</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 ("EHS")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CRRM, CRNF, Coffeyville Resources Crude Transportation, LLC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Oil Pollution Act generally subjects owners and operators of facilities to strict, joint and several liability for all containment and clean-up costs, natural resource damages, and potential governmental oversight costs arising from oil spills into the waters of the United States, which has been broadly interpreted to include most water bodies including intermittent streams.</w:t>
      </w:r>
    </w:p>
    <w:p>
      <w:pPr>
        <w:spacing w:after="0" w:line="72"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and diesel fuels. The ultimate impact of complying with evolving laws and regulations is not always clearly known or determinable due in part to the fact that their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57"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As previously reported, the petroleum and nitrogen fertilizer businesses are party to, or otherwise subject to administrative orders and consent decrees with federal, state and local environmental authorities, as applicable, addressing corrective actions under RCRA, the Clean Air Act and the Clean Water Act. The petroleum business also is subject to (i) the Mobile Source Air Toxic II ("MSAT II") rule which requires reductions of benzene in gasoline; (ii) the Renewable Fuel Standard ("RFS"), which requires refiners to either blend "renewable fuels" in with their transportation fuels or purchase renewable fuel credits, known as RINs, in lieu of blending; and (iii) "Tier 3" gasoline sulfur standards. Except as otherwise described below, there have been no new developments or material changes to the environmental accruals or expected capital expenditures related to compliance with the foregoing environmental matters from those provided in our 2014 Form 10-K and the 2015 Q1 Form 10-Q. CRRM, CRNF, CRCT, WRC and CRT each believe it is in substantial compliance with existing EHS rules and regulations. There can be no assurance that the EHS matters described or referenced herein or other EHS matters which may develop in the future will not have a material adverse effect on our Energy segment's business, financial condition, or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As previously disclosed in our 2014 Form 10-K, in January 2014, the EPA issued an inspection report to WRC related to a RCRA compliance evaluation inspection conducted in March 2013 at the Wynnewood refinery. In February 2014, ODEQ notified WRC that it concurred with the EPA's inspection findings and would be pursuing enforcement. WRC and ODEQ entered into a Consent Order in June 2015 resolving all alleged non-compliance associated with the RCRA compliance evaluation inspection. The Consent Order requires WRC to take certain corrective actions including specified groundwater remediation and monitoring measures pursuant to a work plan to be approved by ODEQ. CVR Refining does not anticipate that the costs of complying with the Consent Order will be material.</w:t>
      </w:r>
    </w:p>
    <w:p>
      <w:pPr>
        <w:spacing w:after="0" w:line="8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As of June 30, 2015 and December 31, 2014, our Energy segment had environmental accruals of $3 million and $1 million, respectively. 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7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Environmental expenditures are capitalized when such expenditures are expected to result in future economic benefits. For the three months ended June 30, 2015 and 2014, capital expenditures were $7 million and $26 million, respectively, and were incurred for environmental compliance and efficiency of the operations. For the six months ended June 30, 2015 and 2014, environmental compliance and efficiency capital expenditures were $18 million and $60 million, respectively.</w:t>
      </w:r>
    </w:p>
    <w:p>
      <w:pPr>
        <w:spacing w:after="0" w:line="79" w:lineRule="exact"/>
        <w:rPr>
          <w:sz w:val="20"/>
          <w:szCs w:val="20"/>
          <w:color w:val="auto"/>
        </w:rPr>
      </w:pPr>
    </w:p>
    <w:p>
      <w:pPr>
        <w:ind w:right="480" w:firstLine="405"/>
        <w:spacing w:after="0" w:line="259" w:lineRule="auto"/>
        <w:rPr>
          <w:sz w:val="20"/>
          <w:szCs w:val="20"/>
          <w:color w:val="auto"/>
        </w:rPr>
      </w:pPr>
      <w:r>
        <w:rPr>
          <w:rFonts w:ascii="Arial" w:cs="Arial" w:eastAsia="Arial" w:hAnsi="Arial"/>
          <w:sz w:val="18"/>
          <w:szCs w:val="18"/>
          <w:color w:val="auto"/>
        </w:rPr>
        <w:t>The cost of RINs for the three months ended June 30, 2015 and 2014 was $38 million and $29 million, respectively, and for the six months ended June 30, 2015 and 2014, the cost of RINs were $74 million and $64 million, respectively. As of June 30, 2015 and December 31, 2014, the petroleum business' biofuel blending obligation was $33 million and $52 million, respectively, which was recorded in accrued expenses and other liabilities on the condensed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$27 million and $28 million at June 30, 2015 and December 31, 2014, respectively. Management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5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9"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Knoxville location was the subject of investigations by the State of Tennessee under the federal Superfund law. These investigations were performed by the State of Tennessee pursuant to a contract with the EPA. PSC Metals is exploring a potential settlement of the matter.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June 30, 2015 and December 31, 2014. If it is determined that PSC Metals has liability to remediate those sites and that more expensive remediation approaches are required in the future, PSC Metals could incur additional obligations, which could be material.</w:t>
      </w:r>
    </w:p>
    <w:p>
      <w:pPr>
        <w:spacing w:after="0" w:line="61" w:lineRule="exact"/>
        <w:rPr>
          <w:sz w:val="20"/>
          <w:szCs w:val="20"/>
          <w:color w:val="auto"/>
        </w:rPr>
      </w:pPr>
    </w:p>
    <w:p>
      <w:pPr>
        <w:jc w:val="both"/>
        <w:ind w:right="420" w:firstLine="405"/>
        <w:spacing w:after="0" w:line="264" w:lineRule="auto"/>
        <w:rPr>
          <w:sz w:val="20"/>
          <w:szCs w:val="20"/>
          <w:color w:val="auto"/>
        </w:rPr>
      </w:pPr>
      <w:r>
        <w:rPr>
          <w:rFonts w:ascii="Arial" w:cs="Arial" w:eastAsia="Arial" w:hAnsi="Arial"/>
          <w:sz w:val="18"/>
          <w:szCs w:val="18"/>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MNDR’s claims and requires limited soil remediation at the 15 residences. PSC Metals is in the process of completing the final stages of the remediation required by the settlement agreement. Currently, PSC Metals believes that it has adequately reserved for the cost of remediation associated with its Festus yard and the residential areas near the yard. However, PSC Metals cannot assess its liability with certainty at this time. Additionally, PSC Metals believes that liability for off-site contamination was retained by the prior owner of the Festus yard and accordingly, it would have a claim for indemnification against the prior owner.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October 24, 2014, ARI filed a complaint in United States District Court for the Southern District of New York against Gyansys, Inc. ("Gyansys"). The complaint asserts a claim against Gyansys for breaching its contract with ARI to implement an enterprise resource planning system. ARI seeks to recover monetary damages in an amount still to be determined, but which ARI alleged exceeds $25 million. Gyansys filed a response to the suit denying its responsibility. It also counterclaimed against ARI for a breach of contract and wrongful termination, seeking damages in excess of $10 million and equitable relief. At this time, ARI does not have sufficient information to reasonably form an estimate of the potential outcome (gain or loss) of this litigation. However, ARI believes that Gyansys' counterclaims lack merit, and ARI has filed a motion to dismiss Gyansys' counterclaims in part.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WPH is subject to various federal, state and local environmental laws and regulations governing, among other things, the discharge, storage, handling and disposal of a variety of hazardous and nonhazardous substances and wastes used in or resulting from its operations and potential remediation obligations. WPH's operations are also governed by U.S. federal, state, local and foreign laws, rules and regulations relating to employee safety and health which, among other things, establish exposure limitation for cotton dust, formaldehyde, asbestos and noise, and which regulate chemical, physical and ergonomic hazards in the workplace. WPH estimated its environmental accruals to be approximately $1 million at both June 30, 2015 and December 31, 2014.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88.7% of Icahn Enterprises' outstanding depositary units as of June 30, 2015.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Code and the Employee Retirement Income Security Act of 1974, as amended by the Pension Protection Act of 2006, for these plans have been met as of June 30, 2015 and December 31, 2014. If the plans were voluntarily terminated, they would be underfunded by approximately $500 million and $474 million as of June 30, 2015 and December 31, 2014,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would be liable for any failure of such entities to make ongoing pension contributions or to pay the unfunded liabilities upon termination of such plans.</w:t>
      </w:r>
    </w:p>
    <w:p>
      <w:pPr>
        <w:spacing w:after="0" w:line="1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On July 30, 2015,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September 28, 2015 to depositary unit holders of record at the close of business on August 17, 2015. Depositary unit holders have until September 9, 2015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September 23, 2015.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July 7, 2015, Federal-Mogul completed the purchase of certain engine components valve business assets of the TRW engine components business. The business was acquired through stock purchases for a base purchase price of approximately $56 million, funded primarily from the available Replacement Revolver Facility and subject to certain customary closing and post-closing adjustments. The purchase of TRW’s engine components valve business adds to the product line Federal-Mogul purchased on February 6, 2015, will be integrated into the product line and further enhances our Automotive segment's ability to support its customers to improve fuel economy and reduce emissions. This acquisition is not material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condensed consolidated financial statements and the accompanying notes contained in this Quarterly Report on Form 10-Q for the period ended June 30, 2015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jc w:val="both"/>
        <w:ind w:right="320" w:firstLine="405"/>
        <w:spacing w:after="0" w:line="288"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June 30, 2015. Icahn Enterprises Holdings and its subsidiaries own substantially all of our assets and liabilities and conduct substantially all of our operations.</w:t>
      </w:r>
    </w:p>
    <w:p>
      <w:pPr>
        <w:ind w:right="140"/>
        <w:spacing w:after="0" w:line="273" w:lineRule="auto"/>
        <w:rPr>
          <w:sz w:val="20"/>
          <w:szCs w:val="20"/>
          <w:color w:val="auto"/>
        </w:rPr>
      </w:pPr>
      <w:r>
        <w:rPr>
          <w:rFonts w:ascii="Arial" w:cs="Arial" w:eastAsia="Arial" w:hAnsi="Arial"/>
          <w:sz w:val="17"/>
          <w:szCs w:val="17"/>
          <w:color w:val="auto"/>
        </w:rPr>
        <w:t>Therefore, the financial results of Icahn Enterprises and Icahn Enterprises Holdings are substantially the same, with differences relating primarily to debt, as discussed further in Note 10, "Debt," to the condensed consolidated financial statements, and to the allocation of the general partner interest, which is reflected as an aggregate 1.99% general partner interest in the financial statements of Icahn Enterprises. In addition to the above, Mr. Icahn and his affiliates owned 112,285,454, or approximately 88.7%, of Icahn Enterprises' outstanding depositary units as of June 30, 2015.</w:t>
      </w:r>
    </w:p>
    <w:p>
      <w:pPr>
        <w:spacing w:after="0" w:line="6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64"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summarizes total revenues, net income (loss) and net income (loss) attributable to Icahn Enterprises for each of our reporting segments and the Holding Company for the three and six months ended June 30, 2015 and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Net Income (Loss) Attributable to Icahn</w:t>
            </w:r>
          </w:p>
        </w:tc>
      </w:tr>
      <w:tr>
        <w:trPr>
          <w:trHeight w:val="210"/>
        </w:trPr>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87"/>
              </w:rPr>
              <w:t>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center"/>
              <w:ind w:left="540"/>
              <w:spacing w:after="0"/>
              <w:rPr>
                <w:sz w:val="20"/>
                <w:szCs w:val="20"/>
                <w:color w:val="auto"/>
              </w:rPr>
            </w:pPr>
            <w:r>
              <w:rPr>
                <w:rFonts w:ascii="Arial" w:cs="Arial" w:eastAsia="Arial" w:hAnsi="Arial"/>
                <w:sz w:val="16"/>
                <w:szCs w:val="16"/>
                <w:b w:val="1"/>
                <w:bCs w:val="1"/>
                <w:color w:val="auto"/>
                <w:w w:val="90"/>
              </w:rPr>
              <w:t>Net Income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w w:val="90"/>
              </w:rPr>
              <w:t>Enterprises</w:t>
            </w:r>
          </w:p>
        </w:tc>
        <w:tc>
          <w:tcPr>
            <w:tcW w:w="100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2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2"/>
              </w:rPr>
              <w:t>Three Months Ended June 30,</w:t>
            </w:r>
          </w:p>
        </w:tc>
        <w:tc>
          <w:tcPr>
            <w:tcW w:w="300" w:type="dxa"/>
            <w:vAlign w:val="bottom"/>
          </w:tcPr>
          <w:p>
            <w:pPr>
              <w:spacing w:after="0"/>
              <w:rPr>
                <w:sz w:val="18"/>
                <w:szCs w:val="18"/>
                <w:color w:val="auto"/>
              </w:rPr>
            </w:pPr>
          </w:p>
        </w:tc>
        <w:tc>
          <w:tcPr>
            <w:tcW w:w="29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Three Months Ended June 30,</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2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gridSpan w:val="3"/>
          </w:tcPr>
          <w:p>
            <w:pPr>
              <w:jc w:val="right"/>
              <w:ind w:right="239"/>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2,044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Metals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Gaming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Home Fashion</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Holding Company</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7"/>
        </w:trPr>
        <w:tc>
          <w:tcPr>
            <w:tcW w:w="196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4,984</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6,379</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489</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0"/>
        </w:trPr>
        <w:tc>
          <w:tcPr>
            <w:tcW w:w="1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31"/>
        </w:trPr>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Net Income (Loss) Attributable to Icahn</w:t>
            </w:r>
          </w:p>
        </w:tc>
      </w:tr>
      <w:tr>
        <w:trPr>
          <w:trHeight w:val="210"/>
        </w:trPr>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87"/>
              </w:rPr>
              <w:t>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center"/>
              <w:ind w:left="540"/>
              <w:spacing w:after="0"/>
              <w:rPr>
                <w:sz w:val="20"/>
                <w:szCs w:val="20"/>
                <w:color w:val="auto"/>
              </w:rPr>
            </w:pPr>
            <w:r>
              <w:rPr>
                <w:rFonts w:ascii="Arial" w:cs="Arial" w:eastAsia="Arial" w:hAnsi="Arial"/>
                <w:sz w:val="16"/>
                <w:szCs w:val="16"/>
                <w:b w:val="1"/>
                <w:bCs w:val="1"/>
                <w:color w:val="auto"/>
                <w:w w:val="90"/>
              </w:rPr>
              <w:t>Net Income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w w:val="90"/>
              </w:rPr>
              <w:t>Enterprises</w:t>
            </w:r>
          </w:p>
        </w:tc>
        <w:tc>
          <w:tcPr>
            <w:tcW w:w="100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2540" w:type="dxa"/>
            <w:vAlign w:val="bottom"/>
            <w:gridSpan w:val="4"/>
          </w:tcPr>
          <w:p>
            <w:pPr>
              <w:jc w:val="center"/>
              <w:ind w:left="519"/>
              <w:spacing w:after="0"/>
              <w:rPr>
                <w:sz w:val="20"/>
                <w:szCs w:val="20"/>
                <w:color w:val="auto"/>
              </w:rPr>
            </w:pPr>
            <w:r>
              <w:rPr>
                <w:rFonts w:ascii="Arial" w:cs="Arial" w:eastAsia="Arial" w:hAnsi="Arial"/>
                <w:sz w:val="16"/>
                <w:szCs w:val="16"/>
                <w:b w:val="1"/>
                <w:bCs w:val="1"/>
                <w:color w:val="auto"/>
                <w:w w:val="91"/>
              </w:rPr>
              <w:t>Six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1"/>
              </w:rPr>
              <w:t>Six Months Ended June 30,</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0"/>
              </w:rPr>
              <w:t>Six Months Ended June 30,</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2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gridSpan w:val="3"/>
          </w:tcPr>
          <w:p>
            <w:pPr>
              <w:jc w:val="right"/>
              <w:ind w:right="239"/>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1,272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3,889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3,634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2,986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Metals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Gaming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Home Fashion</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Holding Company</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17"/>
        </w:trPr>
        <w:tc>
          <w:tcPr>
            <w:tcW w:w="196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9,495</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11,369</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460</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with minor differences primarily related to non-cash portions of interest expense that are only reflected in the results of operations for our Holding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6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Our operating businesses are managed on a decentralized basis. Due to the structure of our business, we discuss the results of operations below by individual reporting segments. See Note 2, “Operating Units,” to the condensed consolidated financial statements for a description of each of our operating segments and Note 13, "Segment Reporting," for a reconciliation of each of our reporting segment's results of operations to our consolidated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Investment segment is comprised of various private investment funds, including Icahn Partners L.P. ("Icahn Partners") and Icahn Partners Master Fund LP ("Master Fund") (collectively,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85"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June 30, 2015 and December 31, 2014, the total fair market value of investments in the Investment Funds made by Mr. Icahn and his affiliates was approximately $5.4 billion and $4.8 billion, respectively, representing approximately 54% and 53%, respectively, of the Investment Funds' assets under management.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June 30, 2015 and December 31, 2014, we had investments with a fair market value of approximately $4.6 billion and $4.3 billion, respectively, in the Investment Funds.</w:t>
      </w:r>
    </w:p>
    <w:p>
      <w:pPr>
        <w:spacing w:after="0" w:line="6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share of the Investment Funds' net income through our interests in the Investment Funds was $176 million and $501 million for three months ended June 30, 2015 and 2014, and $360 million and $506 million for the six months ended June 30, 2015 and 2014,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b w:val="1"/>
                <w:bCs w:val="1"/>
                <w:color w:val="auto"/>
              </w:rPr>
              <w:t>Returns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20" w:type="dxa"/>
            <w:vAlign w:val="bottom"/>
            <w:gridSpan w:val="3"/>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ind w:left="18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r>
      <w:tr>
        <w:trPr>
          <w:trHeight w:val="27"/>
        </w:trPr>
        <w:tc>
          <w:tcPr>
            <w:tcW w:w="4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660" w:type="dxa"/>
            <w:vAlign w:val="bottom"/>
            <w:gridSpan w:val="2"/>
            <w:shd w:val="clear" w:color="auto" w:fill="CCEEFF"/>
          </w:tcPr>
          <w:p>
            <w:pPr>
              <w:jc w:val="right"/>
              <w:ind w:right="4250"/>
              <w:spacing w:after="0"/>
              <w:rPr>
                <w:sz w:val="20"/>
                <w:szCs w:val="20"/>
                <w:color w:val="auto"/>
              </w:rPr>
            </w:pPr>
            <w:r>
              <w:rPr>
                <w:rFonts w:ascii="Arial" w:cs="Arial" w:eastAsia="Arial" w:hAnsi="Arial"/>
                <w:sz w:val="18"/>
                <w:szCs w:val="18"/>
                <w:color w:val="auto"/>
                <w:w w:val="90"/>
              </w:rPr>
              <w:t>Investment Funds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4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Attribution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for the comparative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4"/>
          </w:tcPr>
          <w:p>
            <w:pPr>
              <w:ind w:left="760"/>
              <w:spacing w:after="0"/>
              <w:rPr>
                <w:sz w:val="20"/>
                <w:szCs w:val="20"/>
                <w:color w:val="auto"/>
              </w:rPr>
            </w:pPr>
            <w:r>
              <w:rPr>
                <w:rFonts w:ascii="Arial" w:cs="Arial" w:eastAsia="Arial" w:hAnsi="Arial"/>
                <w:sz w:val="18"/>
                <w:szCs w:val="18"/>
                <w:b w:val="1"/>
                <w:bCs w:val="1"/>
                <w:color w:val="auto"/>
              </w:rPr>
              <w:t>Performance Attribution</w:t>
            </w:r>
          </w:p>
        </w:tc>
        <w:tc>
          <w:tcPr>
            <w:tcW w:w="166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3520" w:type="dxa"/>
            <w:vAlign w:val="bottom"/>
            <w:gridSpan w:val="4"/>
          </w:tcPr>
          <w:p>
            <w:pPr>
              <w:ind w:left="560"/>
              <w:spacing w:after="0"/>
              <w:rPr>
                <w:sz w:val="20"/>
                <w:szCs w:val="20"/>
                <w:color w:val="auto"/>
              </w:rPr>
            </w:pPr>
            <w:r>
              <w:rPr>
                <w:rFonts w:ascii="Arial" w:cs="Arial" w:eastAsia="Arial" w:hAnsi="Arial"/>
                <w:sz w:val="18"/>
                <w:szCs w:val="18"/>
                <w:b w:val="1"/>
                <w:bCs w:val="1"/>
                <w:color w:val="auto"/>
              </w:rPr>
              <w:t>Three Months Ended June 30,</w:t>
            </w:r>
          </w:p>
        </w:tc>
        <w:tc>
          <w:tcPr>
            <w:tcW w:w="34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4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44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64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7"/>
        </w:trPr>
        <w:tc>
          <w:tcPr>
            <w:tcW w:w="4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7"/>
        </w:trPr>
        <w:tc>
          <w:tcPr>
            <w:tcW w:w="448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10.2 %</w:t>
            </w:r>
          </w:p>
        </w:tc>
      </w:tr>
      <w:tr>
        <w:trPr>
          <w:trHeight w:val="27"/>
        </w:trPr>
        <w:tc>
          <w:tcPr>
            <w:tcW w:w="44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Investment Funds' aggregate return was 3.9% for the three months ended June 30, 2015. During the second quarter of 2015, the Investment Funds' performance was driven by gains in long equity positions, primarily in a few of their largest core holdings, partially offset by losses in a few of their core holdings.</w:t>
      </w:r>
    </w:p>
    <w:p>
      <w:pPr>
        <w:spacing w:after="0" w:line="7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Investment Funds' aggregate return was 10.7% for the three months ended June 30, 2014. During the second quarter of 2014, the Investment Funds' performance was driven by their long equity positions, primarily in a few of their largest core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76" w:right="239" w:bottom="1440" w:gutter="0" w:footer="0" w:header="0"/>
        </w:sectPr>
      </w:pPr>
    </w:p>
    <w:bookmarkStart w:id="67" w:name="page68"/>
    <w:bookmarkEnd w:id="67"/>
    <w:p>
      <w:pPr>
        <w:ind w:right="400"/>
        <w:spacing w:after="0" w:line="277" w:lineRule="auto"/>
        <w:rPr>
          <w:sz w:val="20"/>
          <w:szCs w:val="20"/>
          <w:color w:val="auto"/>
        </w:rPr>
      </w:pPr>
      <w:r>
        <w:rPr>
          <w:rFonts w:ascii="Arial" w:cs="Arial" w:eastAsia="Arial" w:hAnsi="Arial"/>
          <w:sz w:val="18"/>
          <w:szCs w:val="18"/>
          <w:color w:val="auto"/>
        </w:rPr>
        <w:t>holdings. These gains were partially offset by the Investment Funds' losses in their short equity exposure, including broad market hedges, as the markets rallied.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Investment Funds' aggregate return was 8.4% for the six months ended June 30, 2015. During the first six months of 2015, the Investment Funds' performance was driven by gains in long equity positions, primarily in a few of their largest core holdings, partially offset by losses in a few of their core holdings.</w:t>
      </w:r>
    </w:p>
    <w:p>
      <w:pPr>
        <w:spacing w:after="0" w:line="7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Investment Funds' aggregate return was 10.2% for the six months ended June 30, 2014. During the first six months of 2014, the Investment Funds' performance was driven by their long equity positions, primarily in a few of their largest core holdings. The gains for the six months ended June 30, 2014 were principally the result of the Investment Funds' performance during the second quarter of 2014, partially offset by the Investment Funds' losses in their short equity exposure, including broad market hedges, as the markets rallied.</w:t>
      </w:r>
    </w:p>
    <w:p>
      <w:pPr>
        <w:spacing w:after="0" w:line="7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From inception in November 2004 through June 30, 2015, the Investment Funds' gross return was approximately 258%, representing an annualized rate of return of approximately 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4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4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3,651</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1,706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3,080</w:t>
            </w:r>
          </w:p>
        </w:tc>
      </w:tr>
      <w:tr>
        <w:trPr>
          <w:trHeight w:val="27"/>
        </w:trPr>
        <w:tc>
          <w:tcPr>
            <w:tcW w:w="4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r>
      <w:tr>
        <w:trPr>
          <w:trHeight w:val="20"/>
        </w:trPr>
        <w:tc>
          <w:tcPr>
            <w:tcW w:w="4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conduct our Automotive segment through our majority ownership in Federal-Mogul Holdings Corporation's ("Federal-Mogul") and wholly owned subsidiary, IEH Auto Holdings, LLC ("IEH Auto"), which acquired substantially all of the auto parts assets in the United States of Uni-Select, Inc. through an acquisition that was consummated during the second quarter of 2015. See Note 2 , "Operating Units - Automotive," for further discussion of this acquisition. Intercompany transactions between Federal-Mogul and IEH Auto have been eliminated in consolidation and the discussion below are net of eliminations.</w:t>
      </w:r>
    </w:p>
    <w:p>
      <w:pPr>
        <w:spacing w:after="0" w:line="4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IEH Auto is a leading automotive parts distributor for domestic and imported vehicles and has 39 distribution centers and satellite locations and 240 corporate-owned jobber stores in the United States and supports a network of more than 2,000 independent wholesalers. IEH Auto operates independently of Federal-Mogul.</w:t>
      </w:r>
    </w:p>
    <w:p>
      <w:pPr>
        <w:spacing w:after="0" w:line="73" w:lineRule="exact"/>
        <w:rPr>
          <w:sz w:val="20"/>
          <w:szCs w:val="20"/>
          <w:color w:val="auto"/>
        </w:rPr>
      </w:pPr>
    </w:p>
    <w:p>
      <w:pPr>
        <w:ind w:right="140" w:firstLine="378"/>
        <w:spacing w:after="0" w:line="312" w:lineRule="auto"/>
        <w:rPr>
          <w:sz w:val="20"/>
          <w:szCs w:val="20"/>
          <w:color w:val="auto"/>
        </w:rPr>
      </w:pPr>
      <w:r>
        <w:rPr>
          <w:rFonts w:ascii="Arial" w:cs="Arial" w:eastAsia="Arial" w:hAnsi="Arial"/>
          <w:sz w:val="16"/>
          <w:szCs w:val="16"/>
          <w:color w:val="auto"/>
        </w:rPr>
        <w:t>Federal-Mogul is comprised of two end-customer focused businesses, Powertrain and Motorparts. The Powertrain business focuses on original equipment products for automotive, heavy duty and industrial applications. The Motorparts business sells and distributes a broad portfolio of products in the global aftermarket, while also serving original equipment manufacturers with products including braking, chassis, wipers and other vehicle components.</w:t>
      </w:r>
    </w:p>
    <w:p>
      <w:pPr>
        <w:spacing w:after="0" w:line="39"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 xml:space="preserve">Federal-Mogul's Annual Report on Form 10-K and Quarterly Reports on Form 10-Q contain a detailed description of its business, products, industry, operating strategy and associated risks. Federal-Mogul's filings with the SEC are available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38" w:lineRule="exact"/>
        <w:rPr>
          <w:sz w:val="20"/>
          <w:szCs w:val="20"/>
          <w:color w:val="auto"/>
        </w:rPr>
      </w:pPr>
    </w:p>
    <w:p>
      <w:pPr>
        <w:ind w:right="40" w:firstLine="378"/>
        <w:spacing w:after="0" w:line="290" w:lineRule="auto"/>
        <w:rPr>
          <w:sz w:val="20"/>
          <w:szCs w:val="20"/>
          <w:color w:val="auto"/>
        </w:rPr>
      </w:pPr>
      <w:r>
        <w:rPr>
          <w:rFonts w:ascii="Arial" w:cs="Arial" w:eastAsia="Arial" w:hAnsi="Arial"/>
          <w:sz w:val="16"/>
          <w:szCs w:val="16"/>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 Geographically, Federal-Mogul derived 37% of its net sales in the United States and 63% internationally during the six months ended June 30, 2015. Federal-Mogul has operations in established markets including Australia, Belgium, France, Germany, Italy, Japan, Spain, Sweden, the United Kingdom and the United States, and emerging markets including Argentina, Brazil, China, Czech Republic, Hungary, India, Korea, Mexico, Morocco, Poland, Romania, Russia, South Africa and Thailand. The attendant risks of Federal-Mogul's international operations are primarily related to currency fluctuations, changes in local economic and political conditions, and changes in laws and regulations.</w:t>
      </w:r>
    </w:p>
    <w:p>
      <w:pPr>
        <w:spacing w:after="0" w:line="58" w:lineRule="exact"/>
        <w:rPr>
          <w:sz w:val="20"/>
          <w:szCs w:val="20"/>
          <w:color w:val="auto"/>
        </w:rPr>
      </w:pPr>
    </w:p>
    <w:p>
      <w:pPr>
        <w:ind w:right="280" w:firstLine="378"/>
        <w:spacing w:after="0" w:line="259" w:lineRule="auto"/>
        <w:rPr>
          <w:sz w:val="20"/>
          <w:szCs w:val="20"/>
          <w:color w:val="auto"/>
        </w:rPr>
      </w:pPr>
      <w:r>
        <w:rPr>
          <w:rFonts w:ascii="Arial" w:cs="Arial" w:eastAsia="Arial" w:hAnsi="Arial"/>
          <w:sz w:val="18"/>
          <w:szCs w:val="18"/>
          <w:color w:val="auto"/>
        </w:rPr>
        <w:t>On September 3, 2014, Federal-Mogul announced its plan to separate its Powertrain and Motorparts businesses into two independent, publicly-traded companies serving the global original equipment and aftermarket industries. The planned separation will be implemented through a tax-free distribution of Federal-Mogul’s Motorparts business to shareholders of Federal-Mogul Holdings Corporation. Completion of the transaction is subject to customary conditions, including among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76" w:right="239" w:bottom="1440" w:gutter="0" w:footer="0" w:header="0"/>
        </w:sectPr>
      </w:pPr>
    </w:p>
    <w:bookmarkStart w:id="68" w:name="page69"/>
    <w:bookmarkEnd w:id="68"/>
    <w:p>
      <w:pPr>
        <w:ind w:right="160"/>
        <w:spacing w:after="0" w:line="308" w:lineRule="auto"/>
        <w:rPr>
          <w:sz w:val="20"/>
          <w:szCs w:val="20"/>
          <w:color w:val="auto"/>
        </w:rPr>
      </w:pPr>
      <w:r>
        <w:rPr>
          <w:rFonts w:ascii="Arial" w:cs="Arial" w:eastAsia="Arial" w:hAnsi="Arial"/>
          <w:sz w:val="17"/>
          <w:szCs w:val="17"/>
          <w:color w:val="auto"/>
        </w:rPr>
        <w:t>others, Federal-Mogul’s receipt of an IRS ruling or opinion of counsel to the effect that the distribution will qualify as a transaction that is generally tax-free for U.S. Federal Income tax purposes; as well as effectiveness of a Form 10 Registration Statement to be filed with the SEC.</w:t>
      </w:r>
    </w:p>
    <w:p>
      <w:pPr>
        <w:spacing w:after="0" w:line="38" w:lineRule="exact"/>
        <w:rPr>
          <w:sz w:val="20"/>
          <w:szCs w:val="20"/>
          <w:color w:val="auto"/>
        </w:rPr>
      </w:pPr>
    </w:p>
    <w:p>
      <w:pPr>
        <w:ind w:right="200" w:firstLine="378"/>
        <w:spacing w:after="0" w:line="257" w:lineRule="auto"/>
        <w:rPr>
          <w:sz w:val="20"/>
          <w:szCs w:val="20"/>
          <w:color w:val="auto"/>
        </w:rPr>
      </w:pPr>
      <w:r>
        <w:rPr>
          <w:rFonts w:ascii="Arial" w:cs="Arial" w:eastAsia="Arial" w:hAnsi="Arial"/>
          <w:sz w:val="18"/>
          <w:szCs w:val="18"/>
          <w:color w:val="auto"/>
        </w:rPr>
        <w:t>On February 24, 2015, Federal-Mogul announced that it would defer the previously announced spin-off of its Motorparts business to allow for the integration of its recently completed brake component, chassis and valvetrain acquisitions and to recognize the benefits of the strategic initiatives in its Motorparts business. Federal-Mogul's board of directors intends to revisit the timing of the spin-off prior to the end of December 31, 2015. Meanwhile Federal-Mogul will continue to operate as two separate, independent businesses. No assurances can be given regarding the ultimate timing of the separation or that it will be consummated.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Net sales for our Automotive segment for the three months ended June 30, 2015 as compared to the comparable prior year period increased by $144 million (8%), of which $79 million is attributable to Federal-Mogul (net of intercompany eliminations) and $65 million is attributable to the acquisition of IEH Auto during the second quarter of 2015.</w:t>
      </w:r>
    </w:p>
    <w:p>
      <w:pPr>
        <w:spacing w:after="0" w:line="73"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Federal-Mogul was negatively impacted by the strengthening of the U.S. dollar against several global currencies which resulted in an unfavorable foreign currency impact of $177 million. Excluding the impact of foreign currency, on a constant dollar basis, sales volumes increased by $256 million. This sales growth is comprised of an increase in Federal-Mogul's Powertrain business' external sales of $125 million, reflecting the inclusion of the TRW Automotive Holdings Corp.'s ("TRW") engine components business’ engine valve business as well as an increase in volume for the quarter. External sales in Federal-Mogul's Motorparts business increased by $131 million (net of intercompany eliminations), driven by the acquisition of the Affinia Group Inc. ("Affinia"), the acquisition of Honeywell International Inc.'s ("Honeywell") brake component business.</w:t>
      </w:r>
    </w:p>
    <w:p>
      <w:pPr>
        <w:spacing w:after="0" w:line="7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Federal-Mogul's Powertrain business generated approximately 70% of its sales outside of the United States and the resulting currency movements decreased sales by approximately $117 million. Therefore, on a constant dollar basis, external sales increased 13% compared to the second quarter of 2014. The increase in Federal-Mogul's Powertrain’s sales reflects the inclusion of the acquisition of certain assets of the TRW engine components business, which closed on February 6, 2015, as well as an increase in volume which increased sales by $125 million. This includes the impact of customer decreases of $8 million. When excluding the impact of sales from Federal-Mogul's TRW engine component valve acquisition, sales in North America decreased by 1%, while light vehicle production and commercial vehicle production increased by 3% and 9%, respectively. In Europe, the Middle East and Africa ("EMEA"), sales increased by 4% compared to a 1% increase in light vehicle production and a 2% decrease in commercial vehicle production. Federal-Mogul's Powertrain sales in the rest of the world ("ROW") increased by 1% compared to a 1% decrease in light vehicle production and a decrease in commercial vehicle production of 7%.</w:t>
      </w:r>
    </w:p>
    <w:p>
      <w:pPr>
        <w:spacing w:after="0" w:line="8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Federal-Mogul's Motorparts business, external sales volumes increased by $131 million on a constant dollar basis (net of intercompany eliminations). This increase was primarily related to Federal-Mogul's Honeywell braking and the Affinia chassis component acquisitions, combined with a 3% increase in its underlying business. On a comparable basis, excluding the impacts of foreign currency exchange and acquisitions, Federal-Mogul's Motoparts sales in North America increased by 4%, mainly driven by an increase in sales to the U.S. and Canada aftermarket. Federal-Mogul's Motorparts' sales in EMEA, at constant foreign exchange rates and excluding the impact of acquisitions, decreased by 1.5%, including a 1% increase in Federal-Mogul's Western Europe aftermarket sales and a $2 million reduction in sales to the Russian aftermarket. At constant foreign exchange rates, Federal-Mogul's Motoparts' sales in ROW increased by 39%, primarily due to its Honeywell acquisition as well as continued growth in the China and aftermarket business driven by its product line and customer expansion.</w:t>
      </w:r>
    </w:p>
    <w:p>
      <w:pPr>
        <w:spacing w:after="0" w:line="84"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IEH Auto acquisition contributed $65 million in net sales during the second quarter of 2015. IEH Auto is a service organization engaged in the distribution of automotive aftermarket parts. Through its locations, IEH Auto sells predominantly to commercial aftermarket customers as well as the retail and do-it-yourself ("DIY") customers.</w:t>
      </w:r>
    </w:p>
    <w:p>
      <w:pPr>
        <w:spacing w:after="0" w:line="73"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Cost of goods sold for our Automotive segment for the three months ended June 30, 2015 as compared to the comparable prior year period increased by $132 million (8%). The increase was primarily due to an increase in sales volumes in Federal-Mogul's Powertrain and Motorparts businesses, reflecting the inclusion of its TRW Automotive Holdings Corp.'s ("TRW) engine component business as well as the inclusion of the IEH Auto acquisition.</w:t>
      </w:r>
    </w:p>
    <w:p>
      <w:pPr>
        <w:spacing w:after="0" w:line="3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Gross margin for our Automotive segment for the three months ended June 30, 2015 increased by $12 million (4%) as compared to the comparable prior year period. Gross margin was 15% and 16% of net sales for the three months ended June 30, 2015 and 2014, respectively. The decrease in gross margin as a percentage of net sales over the respective periods was due to unfavorable currency impact and strategic initiative costs in Federal-Mogul's Motorparts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76"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Net sales for our Automotive segment for the six months ended June 30, 2015 as compared to the comparable prior year period increased by $200 million (5%), of which $135 million is attributable to Federal-Mogul (net of intercompany eliminations) and $65 million is attributable to the acquisition of IEH Auto during the second quarter of 2015.</w:t>
      </w:r>
    </w:p>
    <w:p>
      <w:pPr>
        <w:spacing w:after="0" w:line="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Federal-Mogul's net sales were negatively impacted by the strengthening of the U.S. dollar against several global currencies which resulted in an unfavorable foreign currency impact of $337 million. Excluding the impact of foreign currency, on a constant dollar basis, Federal-Mogul's sales volumes increased by $472 million, net of customer price reductions of $4 million. This sales growth is comprised of an increase in Federal-Mogul's Powertrain business' external sales of $238 million, reflecting the inclusion of its TRW Automotive Holdings Corp.'s ("TRW") engine components business’ engine valve business as well as an increase in volume for the quarter. External sales in Federal-Mogul's Motorparts business increased by $234 million (net of intercompany eliminations), driven by the acquisition of the Affinia Group Inc. ("Affinia"), the acquisition of Honeywell International Inc.'s ("Honeywell") brake component business.</w:t>
      </w:r>
    </w:p>
    <w:p>
      <w:pPr>
        <w:spacing w:after="0" w:line="8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Federal-Mogul's Powertrain business generated approximately 70% of its sales outside of the United States and the resulting currency movements decreased sales by approximately $228 million. Therefore, on a constant dollar basis, Federal-Mogul's Powertrain external sales increased 12% compared to the same period in 2014. The increase in Federal-Mogul's Powertrain’s sales reflects the inclusion of the acquisition of certain assets of the TRW engine components business, which closed on February 6, 2015, as well as increases in volume and market share gains which together, increased sales by $238 million. This includes the impact of customer price decreases of $15 million. When excluding the impact of sales from the acquisition of certain assets of Federal-Mogul's TRW engine components business, sales in North America increased by 1%, while light vehicle production and commercial vehicle production increased by 3% and 13%, respectively. In EMEA, Federal-Mogul's Powertrain sales increased by 3% compared to a 3% increase in light vehicle production and a 1% decrease in commercial vehicle production. Federal-Mogul's Powertrain sales in ROW increased by 1% compared to flat light vehicle production and a decrease in commercial vehicle production of 12%.</w:t>
      </w:r>
    </w:p>
    <w:p>
      <w:pPr>
        <w:spacing w:after="0" w:line="7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Excluding the unfavorable currency impact of $109 million, Federal-Mogul's Motorparts' sales increased by $234 million on a constant dollar basis (net of intercompany eliminations). This increase was primarily due to additional sales related to Federal-Mogul's Honeywell braking and Affinia chassis component acquisitions. On a comparable basis, excluding exchange and the impact of acquisitions, Federal-Mogul's Motorparts' sales in North America increased by 1% and EMEA sales decreased by 1%. Federal-Moguls' Motorparts' sales in ROW increased by 38%, primarily due its Honeywell acquisition as well as continued growth in the China and India Aftermarket businesses driven by product line and customer expansion.</w:t>
      </w:r>
    </w:p>
    <w:p>
      <w:pPr>
        <w:spacing w:after="0" w:line="6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IEH Auto acquisition contributed $65 million in net sales during the six months ended June 30, 2015. IEH Auto is a service organization engaged in the distribution of automotive aftermarket parts. Through its locations, IEH Auto sells predominantly to commercial aftermarket customers as well as the retail and DIY customers.</w:t>
      </w:r>
    </w:p>
    <w:p>
      <w:pPr>
        <w:spacing w:after="0" w:line="73"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Cost of goods sold for our Automotive segment for the six months ended June 30, 2015 as compared to the comparable prior year period increased by $210 million (7%). The increase was primarily due to an increase in sales volumes in both Federal-Mogul's Powertrain and Motorparts businesses, reflecting the inclusion of the acquisitions of the TRW engine component business, the Affinia chasis business as well as the Honeywell brake component business. In addition, cost of goods sold increased due to the inclusion of the IEH Auto acquisition.</w:t>
      </w:r>
    </w:p>
    <w:p>
      <w:pPr>
        <w:spacing w:after="0" w:line="7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Gross margin for our Automotive segment for the six months ended June 30, 2015 decreased by $10 million (2%) as compared to the comparable prior year period. Gross margin was 15% and 16% of net sales for the six months ended June 30, 2015 and 2014, respectively. The decrease in gross margin as a percentage of net sales over the respective periods was due to unfavorable currency impact and strategic initiative costs in Federal-Mogul's Motorparts business.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76"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Energy</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4"/>
                <w:szCs w:val="24"/>
                <w:color w:val="auto"/>
              </w:rPr>
            </w:pPr>
          </w:p>
        </w:tc>
        <w:tc>
          <w:tcPr>
            <w:tcW w:w="34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Net Sales: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1,624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Petroleum</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1,286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Fertilizer</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The following table provides a reconciliation of our Energy segment's petroleum business' gross margin to refining margin and refining margin adjusted for FIFO impacts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gridSpan w:val="5"/>
          </w:tcPr>
          <w:p>
            <w:pPr>
              <w:ind w:left="260"/>
              <w:spacing w:after="0"/>
              <w:rPr>
                <w:sz w:val="20"/>
                <w:szCs w:val="20"/>
                <w:color w:val="auto"/>
              </w:rPr>
            </w:pPr>
            <w:r>
              <w:rPr>
                <w:rFonts w:ascii="Arial" w:cs="Arial" w:eastAsia="Arial" w:hAnsi="Arial"/>
                <w:sz w:val="14"/>
                <w:szCs w:val="14"/>
                <w:color w:val="auto"/>
              </w:rPr>
              <w:t>(in millions, except barrels metrics)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4,504</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 back:</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Major scheduled turnaround expenses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Flood insurance recovery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color w:val="auto"/>
              </w:rPr>
              <w:t>FIFO impacts (favorable), unfavorable</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adjusted for FIFO impacts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per barrel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Refining margin per barrel</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16.17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per barrel adjusted for FIFO impacts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r>
      <w:tr>
        <w:trPr>
          <w:trHeight w:val="32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crude oil throughput (barrels per day)</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210,727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212,047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206,221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207,004</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60" w:firstLine="405"/>
        <w:spacing w:after="0" w:line="308" w:lineRule="auto"/>
        <w:rPr>
          <w:sz w:val="20"/>
          <w:szCs w:val="20"/>
          <w:color w:val="auto"/>
        </w:rPr>
      </w:pPr>
      <w:r>
        <w:rPr>
          <w:rFonts w:ascii="Arial" w:cs="Arial" w:eastAsia="Arial" w:hAnsi="Arial"/>
          <w:sz w:val="17"/>
          <w:szCs w:val="17"/>
          <w:color w:val="auto"/>
        </w:rPr>
        <w:t xml:space="preserve">CVR Energy, Inc.'s ("CVR") Annual Report on Form 10-K and Quarterly Reports on Form 10-Q contain a detailed description of its business, products, industry, operating strategy and associated risks. CVR's filings with the SEC are available on the SEC's website at </w:t>
      </w:r>
      <w:r>
        <w:rPr>
          <w:rFonts w:ascii="Arial" w:cs="Arial" w:eastAsia="Arial" w:hAnsi="Arial"/>
          <w:sz w:val="17"/>
          <w:szCs w:val="17"/>
          <w:i w:val="1"/>
          <w:iCs w:val="1"/>
          <w:color w:val="auto"/>
        </w:rPr>
        <w:t>www.sec.gov.</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8" w:right="239" w:bottom="1440" w:gutter="0" w:footer="0" w:header="0"/>
        </w:sectPr>
      </w:pPr>
    </w:p>
    <w:bookmarkStart w:id="71" w:name="page72"/>
    <w:bookmarkEnd w:id="71"/>
    <w:p>
      <w:pPr>
        <w:ind w:right="60" w:firstLine="405"/>
        <w:spacing w:after="0" w:line="277" w:lineRule="auto"/>
        <w:rPr>
          <w:sz w:val="20"/>
          <w:szCs w:val="20"/>
          <w:color w:val="auto"/>
        </w:rPr>
      </w:pPr>
      <w:r>
        <w:rPr>
          <w:rFonts w:ascii="Arial" w:cs="Arial" w:eastAsia="Arial" w:hAnsi="Arial"/>
          <w:sz w:val="18"/>
          <w:szCs w:val="18"/>
          <w:color w:val="auto"/>
        </w:rPr>
        <w:t>As of June 30, 2015, we owned 82% of the total outstanding common stock of CVR. In addition, as of June 30, 2015, we owned approximately 4.0% of the total outstanding common stock of CVR Refining, LP ("CVR Refining").</w:t>
      </w:r>
    </w:p>
    <w:p>
      <w:pPr>
        <w:spacing w:after="0" w:line="62"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CVR is a diversified holding company primarily engaged in the petroleum refining and nitrogen fertilizer manufacturing industries through its holdings in CVR Refining and CVR Partners, LP (“CVR Partners”), respectively. CVR Refining is an independent petroleum refiner and marketer of high value transportation fuels. CVR Partners produces and markets nitrogen fertilizers in the form of urea ammonium nitrate ("UAN") and ammonia.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Influences on Results of Operations</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7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earnings and cash flows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its control, including the supply of and demand for crude oil, as well as gasoline and other refined products which, in turn,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(“FIFO”) accounting to value its inventory, crude oil price movements may impact net income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7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(“RFS”) of the United States Environmental Protection Agency ("EPA"), which requires it to either blend “renewable fuels” in with its transportation fuels or purchase renewable fuel credits, known as renewable identification numbers (“RINs”), in lieu of blending.</w:t>
      </w:r>
    </w:p>
    <w:p>
      <w:pPr>
        <w:spacing w:after="0" w:line="6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EPA is required to determine and publish the applicable annual renewable fuel percentage standards for each compliance year by November 30 for the forthcoming year. The percentage standards represent the ratio of renewable fuel volume to gasoline and diesel volume. Beginning in 2011, the Coffeyville refinery was required to blend renewable fuels into its gasoline and diesel fuel or purchase RINs in lieu of blending. In 2013, the Wynnewood refinery was subject to the RFS for the first time.</w:t>
      </w:r>
    </w:p>
    <w:p>
      <w:pPr>
        <w:spacing w:after="0" w:line="79"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On June 10, 2015, the EPA published the proposed annual percentage standards for 2014, 2015 and 2016 under the RFS program. For each year, the proposed volumes for cellulosic, advanced biofuel and renewable fuel are lower than the statutorily mandated volumes. However, the proposed volumes for biomass-based diesel are above the statutorily mandated volumes. The EPA is proposing to set the volume requirements for 2014 at the levels that were actually used in 2014. For 2015 and 2016, the EPA is proposing to increase the volume requirements above 2014 levels. In the same proposed rule, the EPA also published the proposed annual biomass-based diesel volume requirement for 2017. The EPA expects to finalize the proposed volumes by November 30, 2015.</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cost of RINs for the three months ended June 30, 2015 and 2014 was $38 million and $29 million, respectively, and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2015 and 2014 was $74 million and $64 million, respectively. The current and future cost of RINs for our Energy segment's petroleum business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more accurately defined by the November 30, 2015 ruling. The future cost of RINs for our Energy segment's petroleum business is difficult to estimate.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cost of RINs is dependent upon a variety of factors, which include EPA regulations, the availability of RINs for purchase, the price at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RINs can be purchased, transportation fuel production levels, the mix of our Energy segment's petroleum business' petroleum products, as well as the fuel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blending performed at its refineries and downstream terminals, all of which can vary significantly from quarter to quarter. Based upon recent market prices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RINs and current estimates related to the other variable factors, our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6" w:right="239" w:bottom="1440" w:gutter="0" w:footer="0" w:header="0"/>
        </w:sectPr>
      </w:pPr>
    </w:p>
    <w:bookmarkStart w:id="72" w:name="page73"/>
    <w:bookmarkEnd w:id="72"/>
    <w:p>
      <w:pPr>
        <w:ind w:right="260"/>
        <w:spacing w:after="0" w:line="277" w:lineRule="auto"/>
        <w:rPr>
          <w:sz w:val="20"/>
          <w:szCs w:val="20"/>
          <w:color w:val="auto"/>
        </w:rPr>
      </w:pPr>
      <w:r>
        <w:rPr>
          <w:rFonts w:ascii="Arial" w:cs="Arial" w:eastAsia="Arial" w:hAnsi="Arial"/>
          <w:sz w:val="18"/>
          <w:szCs w:val="18"/>
          <w:color w:val="auto"/>
        </w:rPr>
        <w:t>Energy segment's petroleum business currently estimates that the total cost of RINs will be approximately $110 million to $150 million for the year ending December 31, 2015.</w:t>
      </w:r>
    </w:p>
    <w:p>
      <w:pPr>
        <w:spacing w:after="0" w:line="62"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8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order to assess the operating performance of the nitrogen fertilizer business, CVR calculates the product pricing at gate as an input to determine its operating margin. Product pricing at gate represents net sales less freight revenue divided by product sales volume in tons. CVR believes product pricing at gate is a meaningful measure because it sells products at its plant gate and terminal locations' gates ("sold gate") and delivered to the customer's designated delivery site ("sold delivered"). The relative percentage of sold gate versus sold delivered can change period to period. The product pricing at gate provides a measure that is consistently comparable period to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Net sales for the petroleum business, before eliminations, for the three months ended June 30, 2015 decreased to approximately $1.5 billion from $2.5 billion for the three months ended June 30, 2014. The decrease in net sales for the petroleum business was largely the result of lower sales prices for the petroleum business' transportation fuels and by-products in addition to a small decrease in sales volumes. For the three months ended June 30, 2015, CVR's petroleum business sold approximately 10.3 million and 9.0 million barrels of gasoline and distillate, respectively, with an average sales price per gallon for gasoline and distillate of $1.87 and $1.81, respectively. For the three months ended June 30, 2014, CVR's petroleum business sold approximately 10.4 million and 8.9 million barrels of gasoline and distillate, respectively, with an average sales price per gallon for gasoline and distillate of $2.87 and $2.97, respectively.</w:t>
      </w:r>
    </w:p>
    <w:p>
      <w:pPr>
        <w:spacing w:after="0" w:line="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Net sales for the fertilizer business, before eliminations, for the three months ended June 30, 2015 increased to $81 million from $78 million for the three months ended June 30, 2014. The increase in net sales for the fertilizer business was primarily due to an increase in sales volume of UAN and ammonia. For the three months ended June 30, 2015, CVR sold 249,790 and 6,307 tons of UAN and ammonia, respectively, with a sales price per ton of $299 and $560, respectively. For the three months ended June 30, 2014, CVR sold 239,216 and 2,854 tons of UAN and ammonia, respectively, with a sales price per ton of $311 and $542, respectively. On-stream factors (total number of hours operated divided by total hours in the reporting period) for the gasification, ammonia and UAN units were 100%, 99.3% and 96.6%, respectively, for the three months ended June 30, 2015 and 94.2%, 88.1% and 85.9% for the three months ended June 30, 2014.</w:t>
      </w:r>
    </w:p>
    <w:p>
      <w:pPr>
        <w:spacing w:after="0" w:line="8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Cost of goods sold for the petroleum business for the three months ended June 30, 2015 and 2014 was approximately $1.3 billion and $2.3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6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decrease in cost of sales for the petroleum business was primarily due to a decrease in cost of consumed crude oil and products purchased for resale. The average cost per barrel of crude oil consumed for the three months ended June 30, 2015 was $54.60 compared to $101.82 for the comparable period of 2014, a decrease of approximately 46%. The impact of FIFO accounting also impacted cost of product sold during the comparable periods. Under the FIFO accounting method, changes in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76" w:right="2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crude oil prices can cause fluctuations in the inventory valuation of crude oil, work in process and finished goods, thereby resulting in a favorable FIFO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inventory impact when crude oil prices increase and an unfavorable FIFO inventory impact when crude oil prices decrease.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2015, the petroleum business had an favorable FIFO inventory impact of $37 million compared to a favorable FIFO inventory impact of $24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comparable prior year period.</w:t>
      </w:r>
    </w:p>
    <w:p>
      <w:pPr>
        <w:spacing w:after="0" w:line="10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Refining margin per barrel of crude oil throughput increased to $19.12 for the three months ended June 30, 2015 from $15.22 for the three months ended June 30, 2014. Refining margin adjusted for FIFO impact increased to $17.22 per crude oil throughput barrel for the three months ended June 30, 2015 from $13.96 per crude oil throughput barrel for the three months ended June 30, 2014. Gross margin per barrel increased to $13.66 for the three months ended June 30, 2015 as compared to gross margin per barrel of $8.40 in the comparable prior year period. The increase in refining margin and gross margin per barrel was primarily due to a stronger spread between crude oil and transportation fuel prices.</w:t>
      </w:r>
    </w:p>
    <w:p>
      <w:pPr>
        <w:spacing w:after="0" w:line="6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fertilizer business' cost of goods sold for the three months ended June 30, 2015 decreased to $51 million from $57 million the comparable prior year period. The decrease was primarily due to lower distribution costs mostly due to the decrease in railcar regulatory inspections and repairs and ammonia purchases. Cost of goods sold for the fertilizer business is primarily comprised of pet coke expense, freight expense, distribution expense, purchased ammonia costs, direct operating expenses and depreciation and amortization.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Net sales for the petroleum business, before eliminations, for the six months ended June 30, 2015 decreased to approximately $2.9 billion from $4.8 billion for the six months ended June 30, 2014. The decrease in net sales for the petroleum business was largely the result of lower sales prices for the petroleum business' transportation fuels and by-products in addition to a small decrease in sales volumes. For the six months ended June 30, 2015, CVR's petroleum business sold approximately 21.1 million and 17.2 million barrels of gasoline and distillate, respectively, with an average sales price per gallon for gasoline and distillate of $1.67 and $1.75, respectively. For the six months ended June 30, 2014, CVR's petroleum business sold approximately 20.3 million and 18.1 million barrels of gasoline and distillate, respectively, with an average sales price per gallon for gasoline and distillate of $2.77 and $2.98, respectively.</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sales for the fertilizer business, before eliminations, for the six months ended June 30, 2015 increased to $174 million from $157 million for the six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2014. The increase in net sales for the fertilizer business was primarily due to an increase in sales volume of UAN and ammonia.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months ended June 30, 2015, CVR sold 524,330 and 19,128 tons of UAN and ammonia, respectively, with a sales price per ton of $293 and $562,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the six months ended June 30, 2014, CVR sold 493,886 and 8,301 tons of UAN and ammonia, respectively, with a sales price per ton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$295 and $511, respectively. On-stream factors (total number of hours operated divided by total hours in the reporting period) for the gasification, ammonia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UAN units were 99.7%, 96.9% and 97.2%, respectively, for the six months ended June 30, 2015 and 96.5%, 90.1% and 91.4%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p>
      <w:pPr>
        <w:spacing w:after="0" w:line="103"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Cost of goods sold for the petroleum business for the six months ended June 30, 2015 and 2014 was approximately $2.5 billion and $4.5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6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decrease in cost of sales for the petroleum business was primarily due to a decrease in cost of consumed crude oil and products purchased for resale. The average cost per barrel of crude oil consumed for the six months ended June 30, 2015 was $51.15 compared to $98.96 for the comparable period of 2014, a decrease of approximately 48%.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six months ended June 30, 2015, the petroleum business had an favorable FIFO inventory impact of $12 million compared to a favorable FIFO inventory impact of $46 million for the corresponding prior year period.</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Refining margin per barrel of crude oil throughput increased to $16.47 for the six months ended June 30, 2015 from $16.17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2014. Refining margin adjusted for FIFO impact increased to $16.15 per crude oil throughput barrel for the six months ended June 30, 2015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$14.95 per crude oil throughput barrel for the six months ended June 30, 2014. Gross margin per barrel increased to $10.21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as compared to gross margin per barrel of $9.02 in the corresponding prior year period. The increase in refining margin and gross margin per barrel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a stronger spread between crude oil and transportation fuel prices.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76" w:right="239" w:bottom="1440" w:gutter="0" w:footer="0" w:header="0"/>
        </w:sectPr>
      </w:pPr>
    </w:p>
    <w:bookmarkStart w:id="74" w:name="page75"/>
    <w:bookmarkEnd w:id="74"/>
    <w:p>
      <w:pPr>
        <w:ind w:right="340" w:firstLine="405"/>
        <w:spacing w:after="0" w:line="264" w:lineRule="auto"/>
        <w:rPr>
          <w:sz w:val="20"/>
          <w:szCs w:val="20"/>
          <w:color w:val="auto"/>
        </w:rPr>
      </w:pPr>
      <w:r>
        <w:rPr>
          <w:rFonts w:ascii="Arial" w:cs="Arial" w:eastAsia="Arial" w:hAnsi="Arial"/>
          <w:sz w:val="18"/>
          <w:szCs w:val="18"/>
          <w:color w:val="auto"/>
        </w:rPr>
        <w:t>The fertilizer business' cost of goods sold for the six months ended June 30, 2015 decreased to $111 million from $112 million, respectively. Cost of goods sold for the fertilizer business is primarily comprised of pet coke expense, freight expense, distribution expense, purchased ammonia costs, direct operating expenses and depreciation and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99"/>
              </w:rPr>
              <w:t>191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the three and six months ended June 30, 2015 and 2014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8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29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53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3"/>
          </w:tcPr>
          <w:p>
            <w:pPr>
              <w:ind w:left="1380"/>
              <w:spacing w:after="0"/>
              <w:rPr>
                <w:sz w:val="20"/>
                <w:szCs w:val="20"/>
                <w:color w:val="auto"/>
              </w:rPr>
            </w:pPr>
            <w:r>
              <w:rPr>
                <w:rFonts w:ascii="Arial" w:cs="Arial" w:eastAsia="Arial" w:hAnsi="Arial"/>
                <w:sz w:val="14"/>
                <w:szCs w:val="14"/>
                <w:color w:val="auto"/>
              </w:rPr>
              <w:t>(in 000s)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1"/>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Non-ferrous pounds sold</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33,287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36,421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66,681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77,222</w:t>
            </w:r>
          </w:p>
        </w:tc>
      </w:tr>
      <w:tr>
        <w:trPr>
          <w:trHeight w:val="20"/>
        </w:trPr>
        <w:tc>
          <w:tcPr>
            <w:tcW w:w="4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have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Net sales for the three months ended June 30, 2015 decreased by $85 million (45%) as compared to the comparable prior year period. The decrease was primarily due to lower shipment volumes and price of ferrous and non-ferrous for the three months ended June 30, 2015 as compared to the comparable prior year period.</w:t>
      </w:r>
    </w:p>
    <w:p>
      <w:pPr>
        <w:spacing w:after="0" w:line="7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Ferrous shipments decreased by 88,000 gross tons (27%) while the average price decreased by $132 per gross ton (35%) during the three months ended June 30, 2015 as compared to the comparable prior year period. The shipment decrease was attributable to reduced demand from domestic steel mills, where a certain third-party report indicated that steel output was 9% lower for the three months ended June 30, 2015 as compared to the corresponding prior year period. Lower ferrous market prices in the second quarter of 2015 continued to negatively impact the availability of feedstock.</w:t>
      </w:r>
    </w:p>
    <w:p>
      <w:pPr>
        <w:spacing w:after="0" w:line="46"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Non-ferrous shipment volumes decreased by 3.1 million pounds (9%) and average selling prices for non-ferrous decreased $0.14 per pound (16%) during the three months ended June 30, 2015 as compared to the corresponding prior year period primarily due to weaker global demand and pricing.</w:t>
      </w:r>
    </w:p>
    <w:p>
      <w:pPr>
        <w:spacing w:after="0" w:line="16"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Cost of goods sold for the three months ended June 30, 2015 decreased by $81 million (42%) compared to the comparable prior year period. The decrease was primarily due to lower shipment volumes, lower material costs and lower processing costs. Gross margin as a percentage of net sales was a loss of 7% and 2% for the three months ended June 30, 2015 and 2014, respectively. While material margin as a percentage of net sales improved during the three months ended June 30, 2015 as compared to the comparable prior year period, reflecting improved buying efforts, this was offset by increased processing costs as a percentage of net sales due to decrease in sales volumes over the respective periods.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Net sales for the six months ended June 30, 2015 decreased by $168 million (45%) compared to the comparable prior year period. The decrease was primarily due to lower shipment volumes and price of ferrous and non-ferrous for the six months ended June 30, 2015 as compared to the corresponding prior year period.</w:t>
      </w:r>
    </w:p>
    <w:p>
      <w:pPr>
        <w:spacing w:after="0" w:line="7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Ferrous shipments decreased by 177,000 gross tons (29%) while the average price decreased by $112 per gross ton (28%) during the six months ended June 30, 2015 as compared to the comparable prior year period. The shipment decrease was attributable to reduced demand from domestic steel mills, to low iron ore pricing, and to the negative impact of lower prices on the availability of feedstock.</w:t>
      </w:r>
    </w:p>
    <w:p>
      <w:pPr>
        <w:spacing w:after="0" w:line="73"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Non-ferrous shipment volumes decreased by 10.5 million pounds (14%) and average selling prices for non-ferrous decreased $0.13 per pound (15%) during the six months ended June 30, 2015 as compared to the prior year period, primarily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5" w:name="page76"/>
    <w:bookmarkEnd w:id="75"/>
    <w:p>
      <w:pPr>
        <w:ind w:right="180"/>
        <w:spacing w:after="0" w:line="277" w:lineRule="auto"/>
        <w:rPr>
          <w:sz w:val="20"/>
          <w:szCs w:val="20"/>
          <w:color w:val="auto"/>
        </w:rPr>
      </w:pPr>
      <w:r>
        <w:rPr>
          <w:rFonts w:ascii="Arial" w:cs="Arial" w:eastAsia="Arial" w:hAnsi="Arial"/>
          <w:sz w:val="18"/>
          <w:szCs w:val="18"/>
          <w:color w:val="auto"/>
        </w:rPr>
        <w:t>due to weaker global market demand and pricing. Sixty-seven percent of the year-on-year decrease in shipment volumes was attributed to the closing of our Metals segment's aluminum ingot tolling operations during the first quarter of 2014.</w:t>
      </w:r>
    </w:p>
    <w:p>
      <w:pPr>
        <w:spacing w:after="0" w:line="6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Cost of goods sold for the six months ended June 30, 2015 decreased by $157 million (41%) compared to the comparable prior year period. The decrease was primarily due to lower shipment volumes, lower material costs and lower processing costs. Gross margin as a percentage of net sales was a loss of 8% and 2% for the six months ended June 30, 2015 and 2014, respectively. While material margin as a percentage of net sales improved during the six months ended June 30, 2015 as compared to the comparable prior year period, reflecting improved buying efforts, this was offset by increased processing costs as a percentage of net sales due to decrease in sales volumes over the respective periods. Efforts continue to bring costs in line with lower volumes and market pricing.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Our Railcar segment includes the results of American Railcar Industries, Inc. ("ARI") and American Railcar Leasing, LLC ("ARL"). Manufacturing net sales and cost of goods sold above include intra-segment net sales and related cost of goods sold for railcars sold by our Railcar segment to its railcar leasing business. Elimination amounts represent eliminations of intra-segment net sales and related cost of goods sold and gross margin for our Railcar segment.</w:t>
      </w:r>
    </w:p>
    <w:p>
      <w:pPr>
        <w:spacing w:after="0" w:line="3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ARI's Annual Report on Form 10-K and Quarterly Reports on Form 10-Q contain a detailed description of its business, products, industry, operating strategy and associated risks. ARI's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6"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North American railcar market has been, and we expect it to continue to be, highly cyclical. Our Railcar segment continues to see inquiries for pressure and general service tank railcars, as well as inquiries for hopper railcars servicing various commodities in the non-energy related markets. In contrast, demand for railcars servicing the energy markets remains uncertain, given the recent volatility in oil prices, as well as the release of new regulations related to tank railcars in the U.S. and Canada. As a result, certain customers have delayed ordering any energy related railcars, including tank railcars for crude service and hopper railcars for sand service.</w:t>
      </w:r>
    </w:p>
    <w:p>
      <w:pPr>
        <w:spacing w:after="0" w:line="8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Our Railcar segment continues to believe its efforts to increase flexibility at its plants while focusing on its core business of tank and hopper railcar manufacturing will position it to meet any increase in demand for new railcars, as well as retrofit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76" w:right="239" w:bottom="1440" w:gutter="0" w:footer="0" w:header="0"/>
        </w:sectPr>
      </w:pPr>
    </w:p>
    <w:bookmarkStart w:id="76" w:name="page77"/>
    <w:bookmarkEnd w:id="76"/>
    <w:p>
      <w:pPr>
        <w:ind w:right="60"/>
        <w:spacing w:after="0" w:line="259" w:lineRule="auto"/>
        <w:rPr>
          <w:sz w:val="20"/>
          <w:szCs w:val="20"/>
          <w:color w:val="auto"/>
        </w:rPr>
      </w:pPr>
      <w:r>
        <w:rPr>
          <w:rFonts w:ascii="Arial" w:cs="Arial" w:eastAsia="Arial" w:hAnsi="Arial"/>
          <w:sz w:val="18"/>
          <w:szCs w:val="18"/>
          <w:color w:val="auto"/>
        </w:rPr>
        <w:t>maintenance work to existing railcars that may result from these new regulations. Our Railcar segment cannot assure you of the impact of this regulatory change affecting the North American railcar industry or our Railcar segment's business. Similarly, our Railcar segment cannot assure you that hopper or tank railcar demand will continue at current levels, that demand for any railcar types or railcar services will improve, or that its railcar backlog, orders or shipments will track industry-wide trends.</w:t>
      </w:r>
    </w:p>
    <w:p>
      <w:pPr>
        <w:spacing w:after="0" w:line="7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Railcar shipments for the three months ended June 30, 2015 were 2,397 railcars, including 1,756 railcars to leasing customers, as compared to 2,140 railcars for the comparable prior year period, including 1,020 railcars to leasing customers.</w:t>
      </w:r>
    </w:p>
    <w:p>
      <w:pPr>
        <w:spacing w:after="0" w:line="6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Railcar shipments for the six months ended June 30, 2015 were 5,065 railcars, including 3,533 railcars to leasing customers, as compared to 3,750 railcars for the comparable prior year period, including 1,720 railcars to leasing customers.</w:t>
      </w:r>
    </w:p>
    <w:p>
      <w:pPr>
        <w:spacing w:after="0" w:line="62" w:lineRule="exact"/>
        <w:rPr>
          <w:sz w:val="20"/>
          <w:szCs w:val="20"/>
          <w:color w:val="auto"/>
        </w:rPr>
      </w:pPr>
    </w:p>
    <w:p>
      <w:pPr>
        <w:ind w:right="560" w:firstLine="405"/>
        <w:spacing w:after="0" w:line="308" w:lineRule="auto"/>
        <w:rPr>
          <w:sz w:val="20"/>
          <w:szCs w:val="20"/>
          <w:color w:val="auto"/>
        </w:rPr>
      </w:pPr>
      <w:r>
        <w:rPr>
          <w:rFonts w:ascii="Arial" w:cs="Arial" w:eastAsia="Arial" w:hAnsi="Arial"/>
          <w:sz w:val="17"/>
          <w:szCs w:val="17"/>
          <w:color w:val="auto"/>
        </w:rPr>
        <w:t>As of June 30, 2015, our Railcar segment had a backlog of 8,454 railcars, including 2,059 railcars for lease customers. In response to changes in customer demand, our Railcar segment continues to adjust production rates at its railcar manufacturing facilities.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Total manufacturing revenues, before elimination of estimated railcar sales to our Railcar segment's leasing business, for the three months ended June 30, 2015 was flat at $268 million as compared to the comparable prior year period.</w:t>
      </w:r>
    </w:p>
    <w:p>
      <w:pPr>
        <w:spacing w:after="0" w:line="62"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Gross margin from manufacturing operations, before eliminations relating to railcar sales to our Railcar segment's leasing business, for the three months ended June 30, 2015 increased to $72 million from $65 million as compared to the prior year period. Gross margin from manufacturing operations as a percentage of manufacturing revenues increased to 27% for the three months ended June 30, 2015 from 24% for the corresponding prior year period. The higher gross margin percentage over the respective period was primarily due to stronger efficiencies and favorable pricing, partially offset by a shift in sales mix to a higher concentration of hopper railcars that generally sell at lower prices than tank railcars due to less material and labor content.</w:t>
      </w:r>
    </w:p>
    <w:p>
      <w:pPr>
        <w:spacing w:after="0" w:line="5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Railcar leasing revenues increased for the three months ended June 30, 2015 as compared to the corresponding prior year period due to an increase in number of railcars leased to customers and an increase in the average lease rate. The lease fleet grew from 37,070 railcars at June 30, 2014 to 43,484 railcars at June 30,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manufacturing revenues, before elimination of estimated railcar sales to our Railcar segment's leasing business, for the six months ended June 30,</w:t>
      </w:r>
    </w:p>
    <w:p>
      <w:pPr>
        <w:spacing w:after="0" w:line="46"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2015 increased by $88 million (18%) over the comparable prior year period. The increase was primarily due to higher hopper railcar shipments, partially offset by lower tank railcar shipments in the first six months of 2015 as compared to the corresponding prior year period.</w:t>
      </w:r>
    </w:p>
    <w:p>
      <w:pPr>
        <w:spacing w:after="0" w:line="53"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Gross margin from manufacturing operations, before eliminations relating to railcar sales to our Railcar segment's leasing business, for the six months ended June 30, 2015 increased to $145 million from $121 million as compared to the prior year period. Gross margin from manufacturing operations as a percentage of manufacturing revenues was flat at 25% for each of the six months ended June 30, 2015 and 2014.</w:t>
      </w:r>
    </w:p>
    <w:p>
      <w:pPr>
        <w:spacing w:after="0" w:line="5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Railcar leasing revenues increased for the six months ended June 30, 2015 as compared to the corresponding prior year period due to an increase in number of railcars leased to customers and an increase in the average lease rate. The lease fleet grew from 37,070 railcars at June 30, 2014 to 43,484 railcars at June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Gaming revenues and expenses are classified in other revenues from operations and other expenses from operations, respectively, in our condensed consolidated financial statements.</w:t>
      </w:r>
    </w:p>
    <w:p>
      <w:pPr>
        <w:spacing w:after="0" w:line="62" w:lineRule="exact"/>
        <w:rPr>
          <w:sz w:val="20"/>
          <w:szCs w:val="20"/>
          <w:color w:val="auto"/>
        </w:rPr>
      </w:pPr>
    </w:p>
    <w:p>
      <w:pPr>
        <w:ind w:right="560" w:firstLine="405"/>
        <w:spacing w:after="0" w:line="308" w:lineRule="auto"/>
        <w:rPr>
          <w:sz w:val="20"/>
          <w:szCs w:val="20"/>
          <w:color w:val="auto"/>
        </w:rPr>
      </w:pPr>
      <w:r>
        <w:rPr>
          <w:rFonts w:ascii="Arial" w:cs="Arial" w:eastAsia="Arial" w:hAnsi="Arial"/>
          <w:sz w:val="17"/>
          <w:szCs w:val="17"/>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560" w:firstLine="405"/>
        <w:spacing w:after="0" w:line="286" w:lineRule="auto"/>
        <w:rPr>
          <w:sz w:val="20"/>
          <w:szCs w:val="20"/>
          <w:color w:val="auto"/>
        </w:rPr>
      </w:pPr>
      <w:r>
        <w:rPr>
          <w:rFonts w:ascii="Arial" w:cs="Arial" w:eastAsia="Arial" w:hAnsi="Arial"/>
          <w:sz w:val="17"/>
          <w:szCs w:val="17"/>
          <w:color w:val="auto"/>
        </w:rPr>
        <w:t>Casino revenues are one of Tropicana's main performance indicators and account for a significant portion of its net revenues. In addition, casino revenues can vary because of table games hold percentage and differences in the odds for different table games. High end play may lead to greater fluctuations in table games hold percentage and, as a result, greater revenue fluctuation between reporting periods may occur.</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76" w:right="29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Our Gaming segment's net casino revenues decreased for the three months ended June 30, 2015 as compared to the comparable prior year period primarily due to the sale of the River Palms property in Laughlin, Nevada in 2014 and lower slot volumes in properties located in the central region, offset in part by a reduction in promotional gaming credits redeemed in properties located in central and east regions, as further discussed below.</w:t>
      </w:r>
    </w:p>
    <w:p>
      <w:pPr>
        <w:spacing w:after="0" w:line="39"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Net revenues from Tropicana Casino and Resort, Atlantic City (“Tropicana AC”) comprise approximately 41% and 39% of our Gaming segment's net revenues for the three months ended June 30, 2015 and 2014, respectively. Based on market data, the Atlantic City market experienced year-over-year declines in gross casino win of 10.9% for the three months ended June 30, 2015. Tropicana AC casino revenues increased in the three months ended June 30, 2015 due primarily to the closure of four casino properties in Atlantic City during 2014; a comparison of year-over-year gross casino win for the remaining eight properties reflects a 2.6% increase in revenues in the Atlantic City market.</w:t>
      </w:r>
    </w:p>
    <w:p>
      <w:pPr>
        <w:spacing w:after="0" w:line="64"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Tropicana AC's gross casino win increased 1.8% in the three months ended June 30, 2015 as compared to the corresponding prior year period as a result of increased customer volumes. In addition, promotional gaming credits redeemed at Tropicana AC were reduced by 16.0% during that time period; as a result, total net casino revenue (after deducting promotional gaming credits) at Tropicana AC has increased 4.4% in the three months ended June 30, 2015 as compared to the same period of 2014. Internet gaming revenues also increased during the three months ended June 30, 2015 as compared to the comparable prior year period. Several renovation and construction projects at Tropicana AC were completed during the three months ended June 30, 2015, including hotel room and casino floor renovations, boardwalk facade renovations and the opening of a new fitness center.</w:t>
      </w:r>
    </w:p>
    <w:p>
      <w:pPr>
        <w:spacing w:after="0" w:line="5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Revenues from rooms decreased for the three months ended June 30, 2015 as compared to the corresponding prior year period, primarily due to the sale of the River Palms property in 2014, as well as disruption at the MontBleu Casino Resort &amp; Spa from an ongoing rooms renovation project which impacted business, partially offset by increases in both occupancy and average daily room rate at Tropicana AC. The average daily room rate and occupancy across all of Tropicana's gaming properties were $84 and 73%, respectively, for the three months ended June 30, 2015 as compared to $78 and 67%, respectively, for the comparable prior year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Gaming segment's net casino revenues increased for the six months ended June 30, 2015 as compared to the comparable prior year period primarily due to an increase in consolidated gaming volumes of 8.3%, primarily due to the inclusion of Lumière acquisition in April 2014, coupled with higher gaming volumes at Tropicana AC and Tropicana Laughlin Hotel and Casino ("Tropicana Laughlin"). Tropicana's consolidated gross slot hold percentage was 9.6% and 9.5% for the six months ended June 30, 2015 and 2014, respectively. Tropicana's consolidated table game hold percentage was 17.0% and 17.2% for the six months ended June 30, 2015 and 2014, respectively.</w:t>
      </w:r>
    </w:p>
    <w:p>
      <w:pPr>
        <w:spacing w:after="0" w:line="8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Net revenues from Tropicana AC comprise approximately 38% and 40% of our Gaming segment's net revenues for the six months ended June 30, 2015 and 2014, respectively. Based on market data, the Atlantic City market experienced year-over-year declines in gross casino win of 10.1% for the six months ended June 30, 2015, due primarily to the closure of four casino properties in Atlantic City during 2014; a comparison of year-over-year revenues for the remaining eight properties reflects a 4.2% increase in gross casino win in the Atlantic City market. Tropicana AC's gross casino win increased 5.3 % in the six months ended June 30, 2015 as compared to the corresponding prior year period as a result of increased customer volumes. Several renovation and construction projects at Tropicana AC were completed during the six months ended June 30, 2015, including hotel room and casino floor renovations, boardwalk facade renovations and the opening of a new fitness center.</w:t>
      </w:r>
    </w:p>
    <w:p>
      <w:pPr>
        <w:spacing w:after="0" w:line="70" w:lineRule="exact"/>
        <w:rPr>
          <w:sz w:val="20"/>
          <w:szCs w:val="20"/>
          <w:color w:val="auto"/>
        </w:rPr>
      </w:pPr>
    </w:p>
    <w:p>
      <w:pPr>
        <w:jc w:val="both"/>
        <w:ind w:right="580" w:firstLine="405"/>
        <w:spacing w:after="0" w:line="312" w:lineRule="auto"/>
        <w:rPr>
          <w:sz w:val="20"/>
          <w:szCs w:val="20"/>
          <w:color w:val="auto"/>
        </w:rPr>
      </w:pPr>
      <w:r>
        <w:rPr>
          <w:rFonts w:ascii="Arial" w:cs="Arial" w:eastAsia="Arial" w:hAnsi="Arial"/>
          <w:sz w:val="16"/>
          <w:szCs w:val="16"/>
          <w:color w:val="auto"/>
        </w:rPr>
        <w:t>Revenues from rooms increased for the six months ended June 30, 2015 as compared to the corresponding prior year period, primarily due to the acquisition of the Lumière in April 2014. The average daily room rate and occupancy across all of Tropicana's gaming properties were $82 and 70%, respectively, for the six months ended June 30, 2015 as compared to $72 and 63%, respectively, for the comparable prior year period.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As discussed in Note 2, "Operating Units - Mining," we obtained control, and consolidated, the results of Ferrous Resources Limited ("Ferrous Resources"), which represents our Mining segment, during the second quarter of 2015.</w:t>
      </w:r>
    </w:p>
    <w:p>
      <w:pPr>
        <w:spacing w:after="0" w:line="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For our Mining segment, the key performance driver has historically been from demand for raw materials from Chinese steelmakers. For the one month ended June 30, 2015, our Mining segment has been concentrating on sales in its domestic market, Brazil, where the best margins are being captured. During the first half of 2015, both domestic and global steel industries continue to show weakness as steel mills' utilization rates have declined and prices have collapsed. Our Mining segment expects 2015 to be a challenging year for the steel industry as it contends with slowing growth, overcapacity and increased competition.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6" w:right="239" w:bottom="1440" w:gutter="0" w:footer="0" w:header="0"/>
        </w:sectPr>
      </w:pPr>
    </w:p>
    <w:bookmarkStart w:id="78" w:name="page79"/>
    <w:bookmarkEnd w:id="78"/>
    <w:p>
      <w:pPr>
        <w:ind w:left="420"/>
        <w:spacing w:after="0"/>
        <w:rPr>
          <w:sz w:val="20"/>
          <w:szCs w:val="20"/>
          <w:color w:val="auto"/>
        </w:rPr>
      </w:pPr>
      <w:r>
        <w:rPr>
          <w:rFonts w:ascii="Arial" w:cs="Arial" w:eastAsia="Arial" w:hAnsi="Arial"/>
          <w:sz w:val="17"/>
          <w:szCs w:val="17"/>
          <w:color w:val="auto"/>
        </w:rPr>
        <w:t>Net sales for the one month ended June 30, 2015 was $6 million. Cost of goods sold for the one month ended June 30, 2015 was $6 million.</w:t>
      </w:r>
    </w:p>
    <w:p>
      <w:pPr>
        <w:spacing w:after="0" w:line="129" w:lineRule="exact"/>
        <w:rPr>
          <w:sz w:val="20"/>
          <w:szCs w:val="20"/>
          <w:color w:val="auto"/>
        </w:rPr>
      </w:pPr>
    </w:p>
    <w:p>
      <w:pPr>
        <w:ind w:right="380" w:firstLine="405"/>
        <w:spacing w:after="0" w:line="274" w:lineRule="auto"/>
        <w:rPr>
          <w:sz w:val="20"/>
          <w:szCs w:val="20"/>
          <w:color w:val="auto"/>
        </w:rPr>
      </w:pPr>
      <w:r>
        <w:rPr>
          <w:rFonts w:ascii="Arial" w:cs="Arial" w:eastAsia="Arial" w:hAnsi="Arial"/>
          <w:sz w:val="17"/>
          <w:szCs w:val="17"/>
          <w:color w:val="auto"/>
        </w:rPr>
        <w:t>During the month ended June 30, 2015, our Mining segment focused its sales efforts exclusively within its domestic market, Brazil. During the one month ended June 30, 2015, 318,472 tonnes of iron ore were sold, of which 300,629 tonnes were sold to a single customer, a</w:t>
      </w:r>
    </w:p>
    <w:p>
      <w:pPr>
        <w:ind w:right="80"/>
        <w:spacing w:after="0" w:line="302" w:lineRule="auto"/>
        <w:rPr>
          <w:sz w:val="20"/>
          <w:szCs w:val="20"/>
          <w:color w:val="auto"/>
        </w:rPr>
      </w:pPr>
      <w:r>
        <w:rPr>
          <w:rFonts w:ascii="Arial" w:cs="Arial" w:eastAsia="Arial" w:hAnsi="Arial"/>
          <w:sz w:val="16"/>
          <w:szCs w:val="16"/>
          <w:color w:val="auto"/>
        </w:rPr>
        <w:t>Brazilian multinational diversified metals and mining corporation and one of the largest logistics operators in Brazil, and 17,843 tonnes were sold to other small steel producers. The average sales price was $21.67 per tonne. Our Mining segment continues to evaluate the best alternatives to sell its products in light of the challenging markets for iron ore. In recent months, the best margins are being captured on sales to our Mining segment's domestic market, Brazil.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Viskase Companies, Inc. ("Viskase") currently operates nine manufacturing facilities and six distribution centers throughout North America, Europe, South America and Asia and derives approximately 69% of its total net sales from customers located outside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Net sales for the three months ended June 30, 2015 decreased by $2 million (2%) as compared to the comparable prior year period, with a $9 million decrease due to unfavorable foreign currency translation and $1 million due to unfavorable price and product mix, offset in part by $8 million increase due to higher sales volumes.</w:t>
      </w:r>
    </w:p>
    <w:p>
      <w:pPr>
        <w:spacing w:after="0" w:line="7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Cost of goods sold for the three months ended June 30, 2015 decreased by $2 million (3%) as compared to the comparable prior year period. Gross margin as a percent of net sales was 26% for each of the three months ended June 30, 2015 and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Net sales for the six months ended June 30, 2015 decreased by $5 million (3%) as compared to the comparable prior year period, with a $13 million decrease due to unfavorable foreign currency translation and $2 million due to unfavorable price and product mix, offset in part by $10 million increase due to higher sales volumes.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Cost of goods sold for the six months ended June 30, 2015 decreased by $2 million (1%) as compared to the comparable prior year period. Gross margin as a percent of net sales was 24% and 25% for the six months ended June 30, 2015 and 2014, respectively. The decline in the gross margin as a percent of net sales over the comparable period was due to increased pension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Real Estate revenues and expenses include results from resort operations, sales of residential units and rental income and expenses, including income from financing leases. Sales of residential units are included in net sales in our condensed consolidated financial statements. Results from resort and rental operations, including financing lease income, are included in other revenues from operations in our condensed consolidated financial statements. Revenue from our real estate operations for each of the three and six months ended June 30, 2015 and 2014 were substantially derived from our resort and rental operations. During the six months ended June 30, 2015, we sold two commercial rental properties and Oak Harbor development and operations, which historically operated as part of Grand Harbor.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business of WestPoint Home LLC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macroeconomic conditions, we cannot predict if WPH's financial performance will continue to improve.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Net sales for the three months ended June 30, 2015 increased by $6 million (13%) compared to the comparable prior year period. The increase was primarily due to an increase in sales volume. Cost of goods sold for the three months ended June 30, 2015 increased by $7 million (18%) compared to the comparable prior year period. The increase was primarily due to higher sales volume. Gross margin as a percentage of net sales was 14% for the three months ended June 30, 2015 as compared to 16% for the comparable prior year period. The decrease was primarily due to a sell-off and write-down of aging inventory.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Net sales for the six months ended June 30, 2015 increased by $11 million (13%) compared to the comparable prior year period. The increase was primarily due to an increase in sales volume. Cost of goods sold for the six months ended June 30, 2015 increased by $10 million (13%) compared to the comparable prior year period. The increase was primarily due to higher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76" w:right="259" w:bottom="1440" w:gutter="0" w:footer="0" w:header="0"/>
        </w:sectPr>
      </w:pPr>
    </w:p>
    <w:bookmarkStart w:id="79" w:name="page80"/>
    <w:bookmarkEnd w:id="79"/>
    <w:p>
      <w:pPr>
        <w:ind w:right="180"/>
        <w:spacing w:after="0" w:line="277" w:lineRule="auto"/>
        <w:rPr>
          <w:sz w:val="20"/>
          <w:szCs w:val="20"/>
          <w:color w:val="auto"/>
        </w:rPr>
      </w:pPr>
      <w:r>
        <w:rPr>
          <w:rFonts w:ascii="Arial" w:cs="Arial" w:eastAsia="Arial" w:hAnsi="Arial"/>
          <w:sz w:val="18"/>
          <w:szCs w:val="18"/>
          <w:color w:val="auto"/>
        </w:rPr>
        <w:t>sales volume. Gross margin as a percentage of net sales was 14% for the six months ended June 30, 2015 as compared to 15% for the comparable prior year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Net loss from investment activities decreased to $18 million for the three months ended June 30, 2015 from $24 million in the comparable prior year period. The decrease was primarily related to unrealized losses from certain swap agreements that were terminated during the third quarter of 2014.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Net loss from investment activities decreased to $32 million for the six months ended June 30, 2015 from $45 million in the comparable prior year period. The decrease was primarily related to unrealized losses from certain swap agreements that were terminated during the third quarter of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Our consolidated other income, net for the three months ended June 30, 2015 and 2014 was $19 million and $13 million, respectively. Equity earnings from non-consolidated affiliates, primarily from our Automotive segment, were $18 million and $13 million for the three months ended June 30, 2015 and 2014, respectively. Additionally, during the second quarter of 2015 and 2014, our Energy segment recorded (losses) gains on certain derivative contracts of $(13) million and $36 million, respectively. In addition, during the three months ended June 30, 2014, our Automotive segment had a debt refinancing transaction and recorded a loss on extinguishment of debt of $36 million. See Note 6, "Financial Instruments," Note 10 "Debt" and Note 16, "Other Income (Loss), Net," to the condensed consolidated financial statements for further discussion.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consolidated other income (loss), net for the six months ended June 30, 2015 and 2014 was $(8) million and $48 million, respectively. During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first six months of 2015 and 2014, our Energy segment recorded (losses) gains on certain derivative contracts of $(64) million and $145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2015 and 2014, we had various debt refinancing transactions and recorded an aggregate loss on extinguishment of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$2 million and $162 million, respectively. Additionally, equity earnings from non-consolidated affiliates, primarily from our Automotive segment,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 million and $26 million for the six months ended June 30, 2015 and 2014, respectively. In addition, during the first quarter of 2014, our Gaming segment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$32 million in cash as payment to satisfy future credits in connection with a certain negotiated tax settlement. See Note 6, "Financial Instruments,"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10 "Debt" and Note 16, "Other Income (Loss), Net," to the condensed consolidated financial statements for further discussion.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consolidated selling, general and administrative ("SG&amp;A") for the three months ended June 30, 2015 increased by $72 million (16%) as compared to the comparable prior year period. The increase was primarily due to an increase of $42 million from our Investment segment due to higher compensation expense related to a certain fund performance and an increase of $29 million from our Automotive segment primarily due to the inclusion of the acquisition of the Affinia Group Inc., the acquisition of certain business assets of Honeywell International Inc., the IEH Auto acquisition, an increase of $2 million from our Gaming segment primarily due to the inclusion of the acquisition of Lumière, and increase of $2 million from our Mining segment primarily due to the inclusion of the acquisition of Ferrous Resources, offset in part by net decreases in our other segments and Holding Company of $3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consolidated selling, general and administrative ("SG&amp;A") for the six months ended June 30, 2015 increased by $189 million (23%) as compared to the comparable prior year period. The increase was primarily due to an increase of $120 million from our Investment segment due to higher compensation expense related to a certain fund performance, an increase of $53 million from our Automotive segment primarily due to the inclusion of the acquisition of the Affinia Group Inc., the acquisition of certain business assets of Honeywell International Inc., the IEH Auto acquisition, an increase of $17 million from our Gaming segment primarily due to the inclusion of the acquisition of Lumière, and increase of $2 million from our Mining segment primarily due to the inclusion of the acquisition of Ferrous Resources, offset in part by net decreases in our other segments and Holding Company of $3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76"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consolidated restructuring costs were $27 million and $30 million for three months ended June 30, 2015 and 2014, respectively, which were attributable to our Automotive segment. Our consolidated restructuring costs were $39 million and $38 million for six months ended June 30, 2015 and 2014, respectively, which were attributable to our Automotive segment.</w:t>
      </w:r>
    </w:p>
    <w:p>
      <w:pPr>
        <w:spacing w:after="0" w:line="7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Restructuring expenses for the three months ended June 30, 2015 primarily relate to the reshaping of Federal-Mogul's aftermarket distribution network in Europe and separation programs in various European countries, primarily Germany, aimed at integrating the recently acquired Honeywell braking component locations. Federal-Mogul expects to complete these programs in 2018 and incur additional restructuring and other charges of approximately $30 million in connection therewith. For programs previously initiated, Federal-Mogul expects to complete these programs in 2016 and incur additional restructuring and other charges of approximately $15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consolidated interest expense during the three months ended June 30, 2015 increased by $90 million (46%) as compared the corresponding prior year period. The increase was primarily due to higher interest expense from our Investment segment attributable to due to broker balances over the respective periods, higher interest expense from our Automotive segment due to higher outstanding debt balances on its revolver facility coupled with higher interest rates following the refinancing of its term loans over the respective periods and higher interest expense from our Railcar segments due to higher outstanding debt balances over the respective periods.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consolidated interest expense during the six months ended June 30, 2015 increased by $190 million (52%) as compared the corresponding prior year period. The increase was primarily due to higher interest expense from our Investment segment attributable to due to broker balances over the respective periods, higher interest expense from our Automotive segment due to higher outstanding debt balances on its revolver facility coupled with higher interest rates following the refinancing of its term loans over the respective periods and higher interest expense from our Railcar segments due to higher outstanding debt balances over the respective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2015 and 2014</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For the three months ended June 30, 2015, each of Icahn Enterprises and Icahn Enterprises Holdings recorded an income tax expense of $113 million on pre-tax income of $654 million compared to an income tax expense of $82 million on pre-tax income of $1,205 million for the three months ended June 30, 2014. Our effective income tax rate was 17.3% and 6.8% for the three months ended June 30, 2015 and 2014, respectively.</w:t>
      </w:r>
    </w:p>
    <w:p>
      <w:pPr>
        <w:spacing w:after="0" w:line="5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For each of the three months ended June 30, 2015 and 2014, the effective tax rate was lower than the statutory federal rate of 35%, primarily due to partnership income not subject to taxation, as such taxes are the responsibility of the partners.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2015 and 2014</w:t>
      </w:r>
    </w:p>
    <w:p>
      <w:pPr>
        <w:spacing w:after="0" w:line="117"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For the six months ended June 30, 2015, each of Icahn Enterprises and Icahn Enterprises Holdings recorded an income tax expense of $162 million on pre-tax income of $1,125 million compared to an income tax expense of $185 million on pre-tax income of $1,385 million for the six months ended June 30, 2014. Our effective income tax rate was 14.4% and 13.4% for the six months ended June 30, 2015 and 2014, respectively.</w:t>
      </w:r>
    </w:p>
    <w:p>
      <w:pPr>
        <w:spacing w:after="0" w:line="5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For each of the six months ended June 30, 2015 and 2014, the effective tax rate was lower than the statutory federal rate of 35%, primarily due to partnership income not subject to taxation, as such taxes are the responsibility of the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As of June 30, 2015, the Holding Company had investments in the Investment Funds with a total fair market value of approximately $4.6 billion. As of June 30, 2015, our Holding Company had cash and cash equivalents of $222 million and total debt of approximately $5.5 billion.</w:t>
      </w:r>
    </w:p>
    <w:p>
      <w:pPr>
        <w:spacing w:after="0" w:line="62"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72" w:right="259" w:bottom="1440" w:gutter="0" w:footer="0" w:header="0"/>
        </w:sectPr>
      </w:pPr>
    </w:p>
    <w:bookmarkStart w:id="81" w:name="page82"/>
    <w:bookmarkEnd w:id="81"/>
    <w:p>
      <w:pPr>
        <w:ind w:right="20"/>
        <w:spacing w:after="0" w:line="276" w:lineRule="auto"/>
        <w:rPr>
          <w:sz w:val="20"/>
          <w:szCs w:val="20"/>
          <w:color w:val="auto"/>
        </w:rPr>
      </w:pPr>
      <w:r>
        <w:rPr>
          <w:rFonts w:ascii="Arial" w:cs="Arial" w:eastAsia="Arial" w:hAnsi="Arial"/>
          <w:sz w:val="17"/>
          <w:szCs w:val="17"/>
          <w:color w:val="auto"/>
        </w:rPr>
        <w:t>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6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As of June 30, 2015 based on covenants in the indenture governing our senior notes, we could incur approximately $1.2 billion in additional indebtedness. See Note 10, “Debt,” to the condensed consolidated financial statements for additional information concerning credit facilities for us and our subsidiaries.</w:t>
      </w:r>
    </w:p>
    <w:p>
      <w:pPr>
        <w:spacing w:after="0" w:line="7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have from time to time considered and continue to explore the possibility of seeding one or more private investment fund managers and investing some of our proprietary capital in their funds. There can be no assurance that any such transactions will be completed.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On February 20, 2015, Icahn Enterprises declared a quarterly distribution in the amount of $1.50 per depositary unit in which each depositary unit holder had the option to make an election to receive either cash or additional depositary units. As a result, on April 22, 2015, Icahn Enterprises distributed an aggregate 1,713,935 depositary units to unit holders electing to receive depositary units in connection with this distribution.</w:t>
      </w:r>
    </w:p>
    <w:p>
      <w:pPr>
        <w:spacing w:after="0" w:line="5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On May 5, 2015, Icahn Enterprises declared a quarterly distribution in the amount of $1.50 per depositary unit in which each depositary unit holder had the option to make an election to receive either cash or additional depositary units. As a result, on June 30, 2015, Icahn Enterprises distributed an aggregate 1,825,930 depositary units to unit holders electing to receive depositary units in connection with this distribution.</w:t>
      </w:r>
    </w:p>
    <w:p>
      <w:pPr>
        <w:spacing w:after="0" w:line="57" w:lineRule="exact"/>
        <w:rPr>
          <w:sz w:val="20"/>
          <w:szCs w:val="20"/>
          <w:color w:val="auto"/>
        </w:rPr>
      </w:pPr>
    </w:p>
    <w:p>
      <w:pPr>
        <w:ind w:right="180" w:firstLine="405"/>
        <w:spacing w:after="0" w:line="271" w:lineRule="auto"/>
        <w:rPr>
          <w:sz w:val="20"/>
          <w:szCs w:val="20"/>
          <w:color w:val="auto"/>
        </w:rPr>
      </w:pPr>
      <w:r>
        <w:rPr>
          <w:rFonts w:ascii="Arial" w:cs="Arial" w:eastAsia="Arial" w:hAnsi="Arial"/>
          <w:sz w:val="17"/>
          <w:szCs w:val="17"/>
          <w:color w:val="auto"/>
        </w:rPr>
        <w:t>On July 30, 2015, the Board of Directors of the general partner of Icahn Enterprises declared a quarterly distribution in the amount of $1.50 per depositary unit, which will be paid on or about September 28, 2015 to depositary unit holders of record at the close of business on August 17, 2015. Depositary unit holders have until September 9, 2015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September 23, 2015.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476"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Borrowings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7200" w:type="dxa"/>
            <w:vAlign w:val="bottom"/>
          </w:tcPr>
          <w:p>
            <w:pPr>
              <w:ind w:left="420"/>
              <w:spacing w:after="0"/>
              <w:rPr>
                <w:sz w:val="20"/>
                <w:szCs w:val="20"/>
                <w:color w:val="auto"/>
              </w:rPr>
            </w:pPr>
            <w:r>
              <w:rPr>
                <w:rFonts w:ascii="Arial" w:cs="Arial" w:eastAsia="Arial" w:hAnsi="Arial"/>
                <w:sz w:val="18"/>
                <w:szCs w:val="18"/>
                <w:color w:val="auto"/>
              </w:rPr>
              <w:t>Debt consists of the following:</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2014</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4"/>
          </w:tcPr>
          <w:p>
            <w:pPr>
              <w:spacing w:after="0"/>
              <w:rPr>
                <w:sz w:val="2"/>
                <w:szCs w:val="2"/>
                <w:color w:val="auto"/>
              </w:rPr>
            </w:pPr>
          </w:p>
        </w:tc>
      </w:tr>
      <w:tr>
        <w:trPr>
          <w:trHeight w:val="244"/>
        </w:trPr>
        <w:tc>
          <w:tcPr>
            <w:tcW w:w="7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90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5.875% senior unsecured notes due 2022 - Icahn Enterprises/Icahn Enterprises Holdings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6.00% senior unsecured notes due 2020 - Icahn Enterprises/Icahn Enterprises Holdings</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1,708</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4.875% senior unsecured notes due 2019 - Icahn Enterprises/Icahn Enterprises Holdings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3.50% senior unsecured notes due 2017 - Icahn Enterprises/Icahn Enterprises Holdings</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Railcar</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and revolving credit facility - Food Packaging</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See Note 10, “Debt,” to the condensed consolidated financial statements for additional information concerning terms, restrictions and covenants of our debt. As of June 30, 2015, we are in compliance with all debt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Other than the financing transaction discussed below, there have been no material changes to our contractual commitments and contingencies as compared to those reported in our Annual Report on Form 10-K for the year ended December 31, 2014</w:t>
      </w:r>
      <w:r>
        <w:rPr>
          <w:rFonts w:ascii="Arial" w:cs="Arial" w:eastAsia="Arial" w:hAnsi="Arial"/>
          <w:sz w:val="18"/>
          <w:szCs w:val="18"/>
          <w:b w:val="1"/>
          <w:bCs w:val="1"/>
          <w:color w:val="auto"/>
        </w:rPr>
        <w:t>.</w:t>
      </w:r>
    </w:p>
    <w:p>
      <w:pPr>
        <w:spacing w:after="0" w:line="62"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January 2015, ARI refinanced its existing lease fleet financing facilities to, among other things, increase the aggregate borrowings thereunder. In connection with the refinancing, a certain subsidiary of ARI completed a private placement of $626 million in aggregate principal amount of notes. Of the aggregate principal amount, $409 million was used to refinance existing lease fleet financing facilities, resulting in net proceeds of $212 million. The ARI 2015 Notes (as defined below) have a legal final maturity date of January 17, 2045 and an expected principal repayment date of January 15, 2025. See Note 10, "Debt - Railcar," for further discussion regarding this refinancing.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76"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cash flow information for the six months ended June 30, 2015 and cash and cash equivalents as of June 30, 2015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operating segments and the Holding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Six Months Ended June 30, 2015</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June 30, 2015</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Net Cash (Used In) Provided By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Cash and Cash</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Activities</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Equivalents</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 Company</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37"/>
        </w:trPr>
        <w:tc>
          <w:tcPr>
            <w:tcW w:w="53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2,154</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The consolidated cash flows of Icahn Enterprises and Icahn Enterprises Holdings are substantially the same. The immaterial differences between Icahn Enterprises' and Icahn Enterprises Holdings' condensed consolidated statements of cash flows primarily relate to non-cash charges for interest expense which is included in net cash provided by operating activities. Therefore, we discuss only the consolidated cash flows of Icahn Enterprises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Cash provided by operating activities during the six months ended June 30, 2015 was primarily attributable to our Energy, Railcar and Gaming segments due to earnings before non-cash charges for depreciation and amortization. This was offset primarily by our Investment segment due to net cash used in investment transactions. Additionally, our Automotive segment has net cash used in operating activities primarily due to changes in working capital and the Holding Company had net cash used in operating activities primarily due to interest payments on its senior unsecured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Cash used in investing activities during the six months ended June 30, 2015 was primarily attributable to capital expenditures incurred by our subsidiaries and acquisitions of businesses. Our Railcar segment had capital expenditures of $330 million, of which $315 million was for the manufacture or purchase of railcars for its leasing operations. Additionally, our Automotive, Energy and Gaming segments had capital expenditures of $217 million, $87 million and $61 million, respectively. In addition, Federal-Mogul, representing a portion of our Automotive segment, acquired TRW engine components business in the first quarter of 2015 for $301 million, net of cash acquired, and our Holding Company acquired substantially all of the auto parts in the United States of Uni-Select, Inc. and Ferrous Resources during the second quarter of 2015 for an aggregate of $485 million, net of cash acquired.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Cash provided from financing activities during the six months ended June 30, 2015 was primarily attributable to certain debt refinancing and draw down on revolver activities at our Railcar and Automotive segments. Additionally, our Investment segment received $245 million of capital contributions from affiliates of Mr. Icahn. This was offset in part by aggregate distributions of $173 million to non-controlling interests in certain of our subsidiaries and cash distributions to Icahn Enterprises' depositary unitholders.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76"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have been no material changes to our capital expenditures during the six months ended June 30, 2015 as compared to those reported in our Annual Report on Form 10-K for the year ended December 31,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As of June 30, 2015, the Investment Funds' net notional exposure was 3%. The Investment Funds' long exposure was 150% (145% long equity and 5% long credit) and the Investment Funds' short exposure was 147% (128% short equity, 19% short credit and other). The notional exposure represents the ratio of the notional exposure of the Investment Funds' invested capital to the net asset value of the Investment Funds at June 30, 2015.</w:t>
      </w:r>
    </w:p>
    <w:p>
      <w:pPr>
        <w:spacing w:after="0" w:line="39" w:lineRule="exact"/>
        <w:rPr>
          <w:sz w:val="20"/>
          <w:szCs w:val="20"/>
          <w:color w:val="auto"/>
        </w:rPr>
      </w:pPr>
    </w:p>
    <w:p>
      <w:pPr>
        <w:ind w:right="20" w:firstLine="378"/>
        <w:spacing w:after="0" w:line="342" w:lineRule="auto"/>
        <w:rPr>
          <w:sz w:val="20"/>
          <w:szCs w:val="20"/>
          <w:color w:val="auto"/>
        </w:rPr>
      </w:pPr>
      <w:r>
        <w:rPr>
          <w:rFonts w:ascii="Arial" w:cs="Arial" w:eastAsia="Arial" w:hAnsi="Arial"/>
          <w:sz w:val="16"/>
          <w:szCs w:val="16"/>
          <w:color w:val="auto"/>
        </w:rPr>
        <w:t>Of our long exposure of 150%, the fair value of our long positions (with certain adjustments) represented 137% of our long exposure. The notional value of our other long positions, which primarily included single name equity forward contracts and credit contracts, represented 13% of our long exposure.</w:t>
      </w:r>
    </w:p>
    <w:p>
      <w:pPr>
        <w:spacing w:after="0" w:line="16"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Of our short exposure of 147%, the fair value of our short positions represented 9% of our short exposure. The notional value of our other short positions, which primarily included short credit default swap contracts and short broad market index swap derivative contracts, represented 138% of our short exposure.</w:t>
      </w:r>
    </w:p>
    <w:p>
      <w:pPr>
        <w:spacing w:after="0" w:line="73"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(137% long exposure) and our short positions that are not notionalized (9%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With respect to the notional value of our other short positions (138%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85"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The Investment Funds historically have had access to significant amounts of cash available from prime brokerage lines of credit, subject to customary terms and market conditions.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of June 30, 2015 and December 31, 2014, the borrowing availability under the Federal-Mogul Replacement Revolving Facility was $280 million and $516 million, respectively. As of June 30, 2015, the outstanding balance on the Federal-Mogul Replacement Revolving Facility was $230 million. As of December 31, 2014, there were no borrowings outstanding under the Federal-Mogul Replacement Revolving Facility. Federal-Mogul had $40 million and $34 million of letters of credit outstanding as June 30, 2015 and December 31, 2014, respectively, pertaining to Federal-Mogul's term loan credit facility. To the extent letters of credit associated with the Federal-Mogul Replacement Revolving Facility are issued, there will be a corresponding decrease in borrowings available under this facility. See Note 10, "Debt - Automotive," to the condensed consolidated financial statements for additional discussion regarding Federal-Mogul's debt facilities.</w:t>
      </w:r>
    </w:p>
    <w:p>
      <w:pPr>
        <w:spacing w:after="0" w:line="8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 xml:space="preserve">Federal-Mogul's subsidiaries in Brazil, France, Germany, Italy and the United States are party to accounts receivable factoring and securitization facilities. Gross accounts receivable transferred under these facilities were $383 million and $306 million as of June 30, 2015 and December 31, 2014, respectively. Of those gross amounts, $365 million and $293 million, respectively, qualify as sales as defined in FASB ASC Topic 860, </w:t>
      </w:r>
      <w:r>
        <w:rPr>
          <w:rFonts w:ascii="Arial" w:cs="Arial" w:eastAsia="Arial" w:hAnsi="Arial"/>
          <w:sz w:val="18"/>
          <w:szCs w:val="18"/>
          <w:i w:val="1"/>
          <w:iCs w:val="1"/>
          <w:color w:val="auto"/>
        </w:rPr>
        <w:t>Transfers and</w:t>
      </w:r>
      <w:r>
        <w:rPr>
          <w:rFonts w:ascii="Arial" w:cs="Arial" w:eastAsia="Arial" w:hAnsi="Arial"/>
          <w:sz w:val="18"/>
          <w:szCs w:val="18"/>
          <w:color w:val="auto"/>
        </w:rPr>
        <w:t xml:space="preserve"> </w:t>
      </w:r>
      <w:r>
        <w:rPr>
          <w:rFonts w:ascii="Arial" w:cs="Arial" w:eastAsia="Arial" w:hAnsi="Arial"/>
          <w:sz w:val="18"/>
          <w:szCs w:val="18"/>
          <w:i w:val="1"/>
          <w:iCs w:val="1"/>
          <w:color w:val="auto"/>
        </w:rPr>
        <w:t>Servicing</w:t>
      </w:r>
      <w:r>
        <w:rPr>
          <w:rFonts w:ascii="Arial" w:cs="Arial" w:eastAsia="Arial" w:hAnsi="Arial"/>
          <w:sz w:val="18"/>
          <w:szCs w:val="18"/>
          <w:color w:val="auto"/>
        </w:rPr>
        <w:t>. The remaining transferred receivables were pledged as collateral and accounted for as secured borrowings and recorded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within accounts receivable, net and debt. Under the terms of these facilities, Federal-Mogul is not obligated to draw cash immediately upon the transfer of accounts receivable. As of June 30, 2015 and December 31, 2014, Federal-Mogul had withdrawn cash related to such transferred receivables of $2 million and $2 million, respectively. Proceeds from the transfers of accounts receivable qualifying as sales were $410 million and $445 million for the three months ended June 30, 2015 and 2014, respectively, and $800 million and $855 million for the six months ended June 30, 2015 and 2014, respectively.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76"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June 30, 2015, CRLLC had availability under the Amended and Restated ABL Credit Facility of $323 million and had letters of credit outstanding of $28 million. There were no borrowings outstanding under the ABL Credit Facility as of June 30, 2015. Availability under the Amended and Restated ABL Credit Facility was limited by borrowing base conditions as of June 30, 2015. In addition, as of June 30, 2015, CVR Partners had $25 million availability under its revolving credit facility, with an uncommitted incremental facility of up to $50 million.</w:t>
      </w:r>
    </w:p>
    <w:p>
      <w:pPr>
        <w:spacing w:after="0" w:line="7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See Note 10, “Debt - Energy," to the condensed consolidated financial statements for further discussion regarding CVR's credit facilities, including the Amended and Restated ABL Credit Facility.</w:t>
      </w:r>
    </w:p>
    <w:p>
      <w:pPr>
        <w:spacing w:after="0" w:line="62"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On January 24, 2013, the board of directors of CVR adopted a quarterly cash dividend policy. CVR began paying regular quarterly dividends in the second quarter of 2013. Dividends are subject to change at the discretion of CVR's board of directors and may change from quarter to quarter. In addition, the current policy of the respective board of directors of CVR Refining and CVR Partners is to distribute all of the respective available cash of CVR Refining and CVR Partners each quarter. CVR Refining and CVR Partners do not have a legal obligation to pay distributions and there is no guarantee that they will pay any distributions on the units in any quarter.</w:t>
      </w:r>
    </w:p>
    <w:p>
      <w:pPr>
        <w:spacing w:after="0" w:line="80" w:lineRule="exact"/>
        <w:rPr>
          <w:sz w:val="20"/>
          <w:szCs w:val="20"/>
          <w:color w:val="auto"/>
        </w:rPr>
      </w:pPr>
    </w:p>
    <w:p>
      <w:pPr>
        <w:jc w:val="both"/>
        <w:ind w:right="620" w:firstLine="378"/>
        <w:spacing w:after="0" w:line="264" w:lineRule="auto"/>
        <w:rPr>
          <w:sz w:val="20"/>
          <w:szCs w:val="20"/>
          <w:color w:val="auto"/>
        </w:rPr>
      </w:pPr>
      <w:r>
        <w:rPr>
          <w:rFonts w:ascii="Arial" w:cs="Arial" w:eastAsia="Arial" w:hAnsi="Arial"/>
          <w:sz w:val="18"/>
          <w:szCs w:val="18"/>
          <w:color w:val="auto"/>
        </w:rPr>
        <w:t>For the six months ended June 30, 2015, we received an aggregate of $78 million in dividends from CVR and distributions from CVR Refining. Subsequent to June 30, 2015, CVR and CVR Refining declared a quarterly dividend and a distribution, respectively, which will result in an additional aggregate $41 million in dividends and distributions paid to us in the third quarter of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jc w:val="both"/>
        <w:ind w:right="240" w:firstLine="405"/>
        <w:spacing w:after="0" w:line="288" w:lineRule="auto"/>
        <w:rPr>
          <w:sz w:val="20"/>
          <w:szCs w:val="20"/>
          <w:color w:val="auto"/>
        </w:rPr>
      </w:pPr>
      <w:r>
        <w:rPr>
          <w:rFonts w:ascii="Arial" w:cs="Arial" w:eastAsia="Arial" w:hAnsi="Arial"/>
          <w:sz w:val="16"/>
          <w:szCs w:val="16"/>
          <w:color w:val="auto"/>
        </w:rPr>
        <w:t>In January 2015, ARI refinanced certain existing lease fleet financing facilities to, among other things, increase our borrowings thereunder. A certain subsidiary of ARI's completed a private placement of $626 million in aggregate principal amount of notes consisting of $250 million in aggregate principal amount of its 2.98% fixed fate secured railcar equipment notes, Class A-1 ("ARI Class A-1 Notes") and $376 million in aggregate principal amount of its</w:t>
      </w:r>
    </w:p>
    <w:p>
      <w:pPr>
        <w:ind w:right="60"/>
        <w:spacing w:after="0" w:line="277" w:lineRule="auto"/>
        <w:rPr>
          <w:sz w:val="20"/>
          <w:szCs w:val="20"/>
          <w:color w:val="auto"/>
        </w:rPr>
      </w:pPr>
      <w:r>
        <w:rPr>
          <w:rFonts w:ascii="Arial" w:cs="Arial" w:eastAsia="Arial" w:hAnsi="Arial"/>
          <w:sz w:val="17"/>
          <w:szCs w:val="17"/>
          <w:color w:val="auto"/>
        </w:rPr>
        <w:t>4.06% fixed rate secured railcar equipment notes, Class A-2 ("ARI Class A-2 Notes", and collectively with the ARI Class A-1 Notes, the "ARI 2015 Notes"). The financing provided our Railcar segment with net cash of $212 million. The ARI 2015 Notes have a legal final maturity date of January 17, 2045 and an expected principal repayment date of January 15, 2025. See Note 10, "Debt - Railcar," for further discussion regarding this refinancing.</w:t>
      </w:r>
    </w:p>
    <w:p>
      <w:pPr>
        <w:spacing w:after="0" w:line="6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Railcar segment is reviewing the new tank railcar regulations in detail to assess their expected impact on its business and demand for its products and services. As a result of these new regulations, our Railcar segment may need to adjust its capital expenditure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Except as discussed below, there have been no other material changes to our critical accounting policies and estimates during the six months ended June 30, 2015 as compared to those reported in our Annual Report on Form 10-K for the year ended December 31,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We perform our annual goodwill impairment analysis as of April 30 of each year for our Energy segment, or more frequently if impairment indicators exist. The first step of the impairment analysis involves comparing the fair values of these assets to the respective carrying values to determine the potential for goodwill impairment. The second step of the impairment test, if necessary, involves quantifying the level of goodwill impairment.</w:t>
      </w:r>
    </w:p>
    <w:p>
      <w:pPr>
        <w:spacing w:after="0" w:line="39"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The fair values of our Energy segment's reporting units are based upon consideration of various valuation methodologies, including a discounted cash flow analysis ("DCF") and pricing multiples of current and future earnings observed for comparable public companies.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used in a DCF, which are intended to reflect the risks inherent in future cash flow projections,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76" w:right="239" w:bottom="1440" w:gutter="0" w:footer="0" w:header="0"/>
        </w:sectPr>
      </w:pPr>
    </w:p>
    <w:bookmarkStart w:id="86" w:name="page87"/>
    <w:bookmarkEnd w:id="86"/>
    <w:p>
      <w:pPr>
        <w:ind w:firstLine="378"/>
        <w:spacing w:after="0" w:line="272" w:lineRule="auto"/>
        <w:rPr>
          <w:sz w:val="20"/>
          <w:szCs w:val="20"/>
          <w:color w:val="auto"/>
        </w:rPr>
      </w:pPr>
      <w:r>
        <w:rPr>
          <w:rFonts w:ascii="Arial" w:cs="Arial" w:eastAsia="Arial" w:hAnsi="Arial"/>
          <w:sz w:val="17"/>
          <w:szCs w:val="17"/>
          <w:color w:val="auto"/>
        </w:rPr>
        <w:t>We are currently performing the annual goodwill impairment test for our Energy segment which will be finalized during the third quarter of 2015. Based on the preliminary results of our annual goodwill impairment test for our Energy segment, while the fair market value of our Energy segment's Petroleum reporting unit was substantially in excess of its carrying value, the fair market value of our Energy segment's Fertilizer reporting unit was approximately 1% in excess of its carrying value and was therefore considered at risk for failing "Step 1" of the goodwill impairment analysis. As of June 30, 2015, our Energy segment's Fertilizer reporting unit had $253 million of goodwill allocated to it. The most significant key assumption to determining the fair value of our Energy segment's Fertilizer reporting unit was its forecasted sales growth rate. If our Energy segment's Fertilizer reporting unit fails to achieve its forecasted sales growth rate, a goodwill impairment may result in future periods.</w:t>
      </w:r>
    </w:p>
    <w:p>
      <w:pPr>
        <w:spacing w:after="0" w:line="70"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During the fourth quarter of 2014, based on certain negative trends occurring in the energy markets, particularly with respect to the significant volatility in the oil markets as a result of a drop in forecasted worldwide demand for crude oil supply and inventories, we determined that goodwill impairment indicators existed in both of our Energy segment's Petroleum and Fertilizer reporting units. Accordingly, we performed a "Step 1" goodwill impairment analysis for our Energy segment's reporting units as of December 1, 2014. Our Energy segment’s petroleum reporting unit passed “Step 1” of the goodwill impairment analysis, and therefore, we did not perform “Step 2” of the goodwill impairment analysis for this reporting unit. Because our Energy segment's Fertilizer reporting unit failed "Step 1" of the goodwill impairment analysis, we therefore, performed "Step 2" of the goodwill impairment analysis. Based on "Step 2" results of the goodwill impairment analysis, we recognized a preliminary impairment charge of $103 million for our Energy segment's Fertilizer reporting unit for the year ended December 31, 2014. Due to the complexity inherent in the "Step 2" goodwill impairment test, we finalized the assessment of our Energy segment's goodwill impairment during the first quarter of 2015 and noted that no additional adjustments to goodwill were required for the first quarter of 2015.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 and Resources Estimates</w:t>
      </w:r>
    </w:p>
    <w:p>
      <w:pPr>
        <w:spacing w:after="0" w:line="117"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Estimated recoverable reserves and resources are used to determine the depreciation of mining properties, account for deferred stripping costs and in performing impairment testing. Changes in assumptions will impact the carrying value of certain assets, provisions, depreciation and potential impairment charges and the carrying value of deferred tax assets.</w:t>
      </w:r>
    </w:p>
    <w:p>
      <w:pPr>
        <w:spacing w:after="0" w:line="73"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In order to quantify reserves, estimates and assumptions are required to be made about a range of geological, technical and economic factors, including quantities, grades, production techniques, recovery rates, production costs, transport costs, commodity demand, commodity prices and exchange rates.</w:t>
      </w:r>
    </w:p>
    <w:p>
      <w:pPr>
        <w:spacing w:after="0" w:line="16"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Estimating the quantity and/or grade of reserves requires the size, shape and depth of ore bodies or fields to be determined by analyzing geological data such as drilling samples. This process may require complex and difficult geological judgments and calculations to interpret the data.</w:t>
      </w:r>
    </w:p>
    <w:p>
      <w:pPr>
        <w:spacing w:after="0" w:line="3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Given the economic assumptions used to estimate changes in reserves from period to period, and because additional geological data is generated during the course of operations, estimates of reserves may change from period to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378"/>
        <w:spacing w:after="0" w:line="289"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is effective for fiscal years, and interim reporting periods within those years, beginning after December 15, 2016, using one of two retrospective application methods. Early adoption is not permitted. On July 9, 2015, the FASB approved a one-year deferral of the effective date of this standard but will permit companies to adopt this standard on the original effective date. The FASB expects to issue its final ASU formally amending the effective date by the end of the third quarter of 2015. We are currently evaluating the impact of this guidance on our consolidated financial position, results of operations, comprehensive income, cash flows and disclosures.</w:t>
      </w:r>
    </w:p>
    <w:p>
      <w:pPr>
        <w:spacing w:after="0" w:line="59"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 xml:space="preserve">In June 2014, the FASB issued ASU No. 2014-12, which amends FASB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This ASU requires that a performance target that affects vesting and that could be achieved after the requisite service period be treated as a performance condition. A reporting entity should apply existing guidance in FASB ASC Topic 718 as it relates to</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76" w:right="279" w:bottom="1440" w:gutter="0" w:footer="0" w:header="0"/>
        </w:sectPr>
      </w:pPr>
    </w:p>
    <w:bookmarkStart w:id="87" w:name="page88"/>
    <w:bookmarkEnd w:id="87"/>
    <w:p>
      <w:pPr>
        <w:spacing w:after="0" w:line="259" w:lineRule="auto"/>
        <w:rPr>
          <w:sz w:val="20"/>
          <w:szCs w:val="20"/>
          <w:color w:val="auto"/>
        </w:rPr>
      </w:pPr>
      <w:r>
        <w:rPr>
          <w:rFonts w:ascii="Arial" w:cs="Arial" w:eastAsia="Arial" w:hAnsi="Arial"/>
          <w:sz w:val="18"/>
          <w:szCs w:val="18"/>
          <w:color w:val="auto"/>
        </w:rPr>
        <w:t>awards with performance conditions that affect vesting to account for such awards. As such, the performance target should not be reflected in estimating the grant-date fair value of the award. This ASU is effective for fiscal years, and interim reporting periods within those years, beginning after December 15, 2015. We believe that the adoption of this guidance will not have a material impact on our consolidated financial position, results of operations, comprehensive income, cash flows and disclosures.</w:t>
      </w:r>
    </w:p>
    <w:p>
      <w:pPr>
        <w:spacing w:after="0" w:line="79" w:lineRule="exact"/>
        <w:rPr>
          <w:sz w:val="20"/>
          <w:szCs w:val="20"/>
          <w:color w:val="auto"/>
        </w:rPr>
      </w:pPr>
    </w:p>
    <w:p>
      <w:pPr>
        <w:ind w:right="60" w:firstLine="378"/>
        <w:spacing w:after="0" w:line="270" w:lineRule="auto"/>
        <w:rPr>
          <w:sz w:val="20"/>
          <w:szCs w:val="20"/>
          <w:color w:val="auto"/>
        </w:rPr>
      </w:pPr>
      <w:r>
        <w:rPr>
          <w:rFonts w:ascii="Arial" w:cs="Arial" w:eastAsia="Arial" w:hAnsi="Arial"/>
          <w:sz w:val="17"/>
          <w:szCs w:val="17"/>
          <w:color w:val="auto"/>
        </w:rPr>
        <w:t xml:space="preserve">In February 2015, the FASB issued ASU No. 2015-02, which amends FASB ASU Topic 810, </w:t>
      </w:r>
      <w:r>
        <w:rPr>
          <w:rFonts w:ascii="Arial" w:cs="Arial" w:eastAsia="Arial" w:hAnsi="Arial"/>
          <w:sz w:val="17"/>
          <w:szCs w:val="17"/>
          <w:i w:val="1"/>
          <w:iCs w:val="1"/>
          <w:color w:val="auto"/>
        </w:rPr>
        <w:t>Consolidations</w:t>
      </w:r>
      <w:r>
        <w:rPr>
          <w:rFonts w:ascii="Arial" w:cs="Arial" w:eastAsia="Arial" w:hAnsi="Arial"/>
          <w:sz w:val="17"/>
          <w:szCs w:val="17"/>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We believe that the adoption of this guidance will not have a material effect on our consolidated financial position, results of operations, comprehensive income, cash flows and disclosures.</w:t>
      </w:r>
    </w:p>
    <w:p>
      <w:pPr>
        <w:spacing w:after="0" w:line="74"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which amends FASB ASU Subtopic 835-30, </w:t>
      </w:r>
      <w:r>
        <w:rPr>
          <w:rFonts w:ascii="Arial" w:cs="Arial" w:eastAsia="Arial" w:hAnsi="Arial"/>
          <w:sz w:val="18"/>
          <w:szCs w:val="18"/>
          <w:i w:val="1"/>
          <w:iCs w:val="1"/>
          <w:color w:val="auto"/>
        </w:rPr>
        <w:t xml:space="preserve">Interest - Imputation of Interest. </w:t>
      </w:r>
      <w:r>
        <w:rPr>
          <w:rFonts w:ascii="Arial" w:cs="Arial" w:eastAsia="Arial" w:hAnsi="Arial"/>
          <w:sz w:val="18"/>
          <w:szCs w:val="18"/>
          <w:color w:val="auto"/>
        </w:rPr>
        <w:t>The new standard requires that all costs incurred to issue debt be presented in the balance sheet as a direct deduction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the debt. The standard is effective for interim and annual periods beginning after December 31, 2015 and is required to be applied on a retrospective basis. Early adoption is permitted. We expect that the adoption of this new guidance will result in a reclassification of debt issuance costs on our consolidated balance sheets.</w:t>
      </w:r>
    </w:p>
    <w:p>
      <w:pPr>
        <w:spacing w:after="0" w:line="80"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In April 2015, the FASB issued ASU No. 2015-04</w:t>
      </w:r>
      <w:r>
        <w:rPr>
          <w:rFonts w:ascii="Arial" w:cs="Arial" w:eastAsia="Arial" w:hAnsi="Arial"/>
          <w:sz w:val="17"/>
          <w:szCs w:val="17"/>
          <w:i w:val="1"/>
          <w:iCs w:val="1"/>
          <w:color w:val="auto"/>
        </w:rPr>
        <w:t>, Compensation-Retirement Benefits: Practical Expedient for the Measurement Date of an 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Defined Benefit Obligation and Plan Assets, </w:t>
      </w:r>
      <w:r>
        <w:rPr>
          <w:rFonts w:ascii="Arial" w:cs="Arial" w:eastAsia="Arial" w:hAnsi="Arial"/>
          <w:sz w:val="17"/>
          <w:szCs w:val="17"/>
          <w:color w:val="auto"/>
        </w:rPr>
        <w:t>which amends FASB ASU Topic 715</w:t>
      </w:r>
      <w:r>
        <w:rPr>
          <w:rFonts w:ascii="Arial" w:cs="Arial" w:eastAsia="Arial" w:hAnsi="Arial"/>
          <w:sz w:val="17"/>
          <w:szCs w:val="17"/>
          <w:i w:val="1"/>
          <w:iCs w:val="1"/>
          <w:color w:val="auto"/>
        </w:rPr>
        <w:t xml:space="preserve">, Compensation - Retirement Benefits. </w:t>
      </w:r>
      <w:r>
        <w:rPr>
          <w:rFonts w:ascii="Arial" w:cs="Arial" w:eastAsia="Arial" w:hAnsi="Arial"/>
          <w:sz w:val="17"/>
          <w:szCs w:val="17"/>
          <w:color w:val="auto"/>
        </w:rPr>
        <w:t>This ASU provides a practical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expedient that permits the entity to measure defined benefit plan assets and obligations using the month-end that is closest to the entity’s fiscal year-end and apply that practical expedient consistently from year to year. This ASU is effective for annual periods, including interim periods within those annual periods, beginning after December 15, 2015 with early adoption permitted. We anticipate that the adoption of this guidance will have minimal impact on our consolidated financial position, results of operations, comprehensive income, cash flows and disclosures.</w:t>
      </w:r>
    </w:p>
    <w:p>
      <w:pPr>
        <w:spacing w:after="0" w:line="70"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 xml:space="preserve">In April 2015, the FASB issued ASU No. 2015-06, </w:t>
      </w:r>
      <w:r>
        <w:rPr>
          <w:rFonts w:ascii="Arial" w:cs="Arial" w:eastAsia="Arial" w:hAnsi="Arial"/>
          <w:sz w:val="16"/>
          <w:szCs w:val="16"/>
          <w:i w:val="1"/>
          <w:iCs w:val="1"/>
          <w:color w:val="auto"/>
        </w:rPr>
        <w:t>Effects on Historical Earnings per Unit of Master Limited Partnership Dropdown Transactions</w:t>
      </w:r>
      <w:r>
        <w:rPr>
          <w:rFonts w:ascii="Arial" w:cs="Arial" w:eastAsia="Arial" w:hAnsi="Arial"/>
          <w:sz w:val="16"/>
          <w:szCs w:val="16"/>
          <w:color w:val="auto"/>
        </w:rPr>
        <w:t xml:space="preserve">, which amends FASB ASU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This ASU requires that for purposes of calculating earnings per share under the two-class method, the earnings or losses of a transferred business before the date of dropdown transaction should be allocated entirely to the general partner. In that circumstance, the previously reported earnings per unit of the limited partners would not change as a result of the drop down transaction. The guidance is effective for fiscal years beginning after December 15, 2015, and interim periods within those fiscal years. Earlier application is permitted. The adoption of this guidance will have no impact on our consolidated financial statements and footnote disclosures as we have historically allocated earnings or losses of a transferred business before the date of applicable dropdown transactions to the general partner for purposes of calculating earnings per share.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7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2014 and those set forth in this Report.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Information about our quantitative and qualitative disclosures about market risk for each of our segments discussed below did not differ materially from those disclosed in Part II, Item 7A of our 2014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June 30, 2015, we estimate that in the event of a 10% adverse change in the fair value of these investments, the fair values of securities owned, securities sold, not yet purchased and derivatives would decrease by approximately $1.4 billion, $98 million and $2.6 billion, respectively. However, as of June 30, 2015, we estimate that the impact to our share of the net gain from investment activities reported in our condensed consolidated statement of operations would be less than the change in fair value since we have an investment of approximately 46% in these Investment Funds, and the non-controlling interests in income would correspondingly offset approximately 54% of the change in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we monitor performance and counterparty risk.</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See Note 6, “Financial Instruments-Automotive,” to the condensed consolidated financial statements for discussion regarding Federal-Mogul's interest rate risk, commodity price risk and foreign currency risk. As discussed in Note 2, "Operating Units - Automotive," IEH Auto acquired substantially all of the auto parts assets in the United States of Uni-Select, Inc. during the second quarter. IEH Auto does not have significant exposure to interest rate, commodity or foreign currency risks.</w:t>
      </w:r>
    </w:p>
    <w:p>
      <w:pPr>
        <w:spacing w:after="0" w:line="7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translated values of revenue and expense from Federal-Mogul's international operations are subject to fluctuations due to changes in currency exchange rates. During the six months ended June 30, 2015, Federal-Mogul derived 37% of its sales in the United States and 63% internationally. Of these international sales, 56% were denominated in the euro, with no other single currency representing more than 11% of international sales. To minimize foreign currency risk, Federal-Mogul generally maintains natural hedges within its non-U.S. activities, including the matching of operational revenues and costs. Where natural hedges are not in place, Federal-Mogul may manage certain aspects of its foreign currency activities and larger transactions through the use of foreign currency options or forward contracts.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6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and interest rates. Our Energy segment is exposed to market pricing for all of the products sold in the future both at its petroleum business and the nitrogen fertilizer business, as all of the products manufactured in both businesses are commodities.</w:t>
      </w:r>
    </w:p>
    <w:p>
      <w:pPr>
        <w:spacing w:after="0" w:line="7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 timing of the relative movement of the prices, however, can impact profit margins, which could significantly affect our Energy segment's earnings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At June 30, 2015, CVR Refining had open commodity hedging instruments consisting of 8.1 million barrels of crack spreads primarily to fix the margin on a portion of our future gasoline and distillate production. The fair value of the outstanding contracts at June 30, 2015 was a net unrealized gain of $20 million. A change of $1.00 per barrel in the fair value of the crack spread swaps would result in an increase or decrease in the related fair values of commodity hedging instruments of approximately $8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00" w:firstLine="405"/>
        <w:spacing w:after="0" w:line="284" w:lineRule="auto"/>
        <w:rPr>
          <w:sz w:val="20"/>
          <w:szCs w:val="20"/>
          <w:color w:val="auto"/>
        </w:rPr>
      </w:pPr>
      <w:r>
        <w:rPr>
          <w:rFonts w:ascii="Arial" w:cs="Arial" w:eastAsia="Arial" w:hAnsi="Arial"/>
          <w:sz w:val="16"/>
          <w:szCs w:val="16"/>
          <w:color w:val="auto"/>
        </w:rPr>
        <w:t>On June 30 and July 1, 2011, Coffeyville Resources Nitrogen Fertilizers, LLC ("CRNF") entered into two floating-to-fixed interest rate swap agreements for the purpose of hedging the interest rate risk associated with a portion of CVR Partner's $125 million floating rate term debt which matures in April 2016. The aggregate notional amount covered under these agreements, which commenced on August 12, 2011 and expires on February 12, 2016, totals $62.5 million (split evenly between the two agreement dates). Under the terms of the interest rate swap agreement entered into on June 30, 2011, CRNF receives a floating rate based on three month LIBOR and pays a fixed rate of 1.94%. Under the terms of the interest rate swap agreement entered into on July 1, 2011, CRNF receives a floating rate based on three month LIBOR and pays a fixed rate of 1.975%. Both swap agreements will be settled every</w:t>
      </w:r>
    </w:p>
    <w:p>
      <w:pPr>
        <w:spacing w:after="0" w:line="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90 days. The effect of these swap agreements is to lock in a fixed rate of interest of approximately 1.96% plus the applicable margin paid to lenders over three month LIBOR as governed by the CRNF credit facility. The agreements were designated as cash flow hedges at inception and accordingly, the effective portion of the gain or loss on the swap is reported as a component of accumulated other comprehensive loss and will be reclassified into interest expense when the interest rate swap transaction affects earnings. The ineffective portion of the gain or loss will be recognized immediately in current interest expense.</w:t>
      </w:r>
    </w:p>
    <w:p>
      <w:pPr>
        <w:spacing w:after="0" w:line="53"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CVR Partners has exposure to interest rate risk on 50% of its $125 million floating rate term debt. A 1.0% increase over the Eurodollar floor spread of 3.5%, as specified in the credit facility, would increase interest cost to CVR Partners by less than $1 million on an annualized basis, thus decreasing CVR Partner's net income by the same amount.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Our Railcar segment is exposed to price risks associated with the purchase of raw materials, especially steel and heavy castings. The cost of steel, heavy castings and all other materials used in the production of railcars represents more than half of the direct manufacturing costs per railcar. Given the significant volatility in the price of raw materials, this exposure can affect the costs of production. Our Railcar segment believes that the risk to its margins and profitability has been somewhat reduced by the variable pricing provisions generally included in its railcar sales contracts. These provisions adjust the purchase prices of the railcars to reflect fluctuations in the cost of certain raw materials and components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76" w:right="239" w:bottom="1440" w:gutter="0" w:footer="0" w:header="0"/>
        </w:sectPr>
      </w:pPr>
    </w:p>
    <w:bookmarkStart w:id="90" w:name="page91"/>
    <w:bookmarkEnd w:id="90"/>
    <w:p>
      <w:pPr>
        <w:ind w:right="40" w:firstLine="405"/>
        <w:spacing w:after="0" w:line="264" w:lineRule="auto"/>
        <w:rPr>
          <w:sz w:val="20"/>
          <w:szCs w:val="20"/>
          <w:color w:val="auto"/>
        </w:rPr>
      </w:pPr>
      <w:r>
        <w:rPr>
          <w:rFonts w:ascii="Arial" w:cs="Arial" w:eastAsia="Arial" w:hAnsi="Arial"/>
          <w:sz w:val="18"/>
          <w:szCs w:val="18"/>
          <w:color w:val="auto"/>
        </w:rPr>
        <w:t>Our Railcar segment's financial results could be affected by changes in interest rates due to the impact those changes have on its variable rate debt obligation as of June 30, 2015. A one percentage point increase in the rate would have had a $11 million impact on our Railcar segment's interest expense on an annualized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Tropicana's primary exposure to market risk is interest rate risk associated with its Tropicana New Term Loan Facility that bears interest based on floating rates. Based on Tropicana's borrowings as of June 30, 2015, assuming a 1% increase over the 4% floor specified in its Tropicana New Term Loan Facility, Tropicana's annual interest cost would change by approximately $3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As discussed in Note 2, "Operating Units - Mining," we obtained control, and consolidated, the results of Ferrous Resources Limited ("Ferrous Resources") during the second quarter of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Ferrous Resources’ revenues are based on the sale of iron ore fines. Our Mining segment's financial results can vary significantly as a result of fluctuations in the market prices of iron ore. International prices for this commodity have fluctuated historically and are affected by numerous factors beyond Ferrous Resources' control. The price index that is utilized in our Mining segment's iron ore sales contracts is the Platts 62 percent Fe fines spot rate pricing, which can fluctuate widely due to numerous factors, such as global economic growth or contraction, change in demand for steel or changes in availability of supply. Our Mining segment estimates that a hypothetical 10% adverse movement in the international price of iron ore over the one month ended June 30, 2015 would have decreased net income attributable to Icahn Enterprises for our Mining segment by less than $1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Ferrous Resources' principal objective is to produce iron ore which is typically priced in U.S. dollars. The majority of its funding and cash balances are also denominated in U.S. dollars. A proportion of Ferrous Resources' costs are incurred in Brazilian Reals while the significant capital expenditure is expected to be incurred in U.S. dollars. Accordingly, our Mining segment's financial results may be impacted by exchange rate fluctuations between the U.S. dollar and the Brazilian Real. Our Mining segment estimates that a hypothetical 10% adverse movement of the Brazilian Real against the U.S. dollar over the one month ended June 30, 2015 would have decreased net income attributable to Icahn Enterprises for our Mining segment by less than $1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Based on sensitivity analysis for our equity price risks as of June 30, 2015, the effects of a 10% adverse change in the fair value of these investments would result in loss of approximately $17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As of June 30, 2015,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240" w:top="476" w:right="319" w:bottom="1440" w:gutter="0" w:footer="0" w:header="0"/>
        </w:sectPr>
      </w:pPr>
    </w:p>
    <w:bookmarkStart w:id="91" w:name="page92"/>
    <w:bookmarkEnd w:id="91"/>
    <w:p>
      <w:pPr>
        <w:ind w:right="240"/>
        <w:spacing w:after="0" w:line="277" w:lineRule="auto"/>
        <w:rPr>
          <w:sz w:val="20"/>
          <w:szCs w:val="20"/>
          <w:color w:val="auto"/>
        </w:rPr>
      </w:pPr>
      <w:r>
        <w:rPr>
          <w:rFonts w:ascii="Arial" w:cs="Arial" w:eastAsia="Arial" w:hAnsi="Arial"/>
          <w:sz w:val="18"/>
          <w:szCs w:val="18"/>
          <w:color w:val="auto"/>
        </w:rPr>
        <w:t>communicated to our management, including our Chief Executive Officer and Chief Financial Officer, as appropriate to allow timely decisions regarding required disclosure.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2015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80"/>
          </w:cols>
          <w:pgMar w:left="240" w:top="476" w:right="37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See Note 17, “Commitments and Contingencies” to the condensed consolidated financial statements located in Part I, Item I of this Report, which is incorporated by reference into this Part II, Item 1, for a description of the litigation, legal and administrative proceedings and environmental matters.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Except as disclosed below, there were no other material changes to our risk factors during the six months ended June 30, 2015 as compared to those reported in our Annual Report on Form 10-K for the year ended December 31,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Train derailments or other accidents involving our Railcar segment's products could subject it to legal claims and/or result in regulatory changes that may adversely impact our Railcar segment's business, financial condition and results of operations.</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Railcar segment manufactures railcars for our customers to transport a variety of commodities, including railcars that transport hazardous materials such as crude oil and other petroleum products. Our Railcar segment also manufactures railcar components as well as industrial components for use in several markets, including the trucking, construction, mining and oil and gas exploration markets. Our Railcar segment could be subject to various legal claims, including claims for negligence, personal injury, physical damage and product liability, as well as potential penalties and liability under environmental laws and regulations, in the event of a train derailment or other accident involving our products or services. If our Railcar segment becomes subject to any such claims and are unable successfully to resolve them, our Railcar segment's business, financial condition and results of operations could be materially adversely affected.</w:t>
      </w:r>
    </w:p>
    <w:p>
      <w:pPr>
        <w:spacing w:after="0" w:line="8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Recent derailments in North America of trains transporting crude oil have caused various U.S and Canadian regulatory agencies, industry organizations, as well as Class I Railroads and community governments, to focus attention on transportation by rail of flammable materials. For example, in April 2014, Transport Canada (TC), a federal department of the Canadian government that regulates rail transportation and safety within Canada, issued a protective order mandating that tank railcars with certain specifications must no longer transport certain designated dangerous goods, including certain flammable liquids, within Canada. Significantly, on May 1, 2015, TC and the Pipeline and Hazardous Materials Safety Administration (PHMSA) of the U.S. Department of Transportation released final rules related to rail transport of certain flammable liquids. In addition, railroads and other organizations may impose requirements for railcars that are more stringent than, or in addition to, any governmental regulations that may be adopted.</w:t>
      </w:r>
    </w:p>
    <w:p>
      <w:pPr>
        <w:spacing w:after="0" w:line="59"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Our Railcar segment is reviewing the tank railcar regulations in detail to assess their expected impact on its business, including their potential impact on the railcars and components it manufactures, the services it provides and the railcars that it leases, as well as our customers’ demand for these products and services. Our Railcar segment is unable to predict what impact these or other regulatory changes may have, if any, on its business or the railcar industry as a whole. These rules and the industry’s responsiveness in complying with these new rules may materially impact the rail industry as a whole; railroad operations; older and newer railcars that meet or exceed currently mandated standards; future railcar specifications; and the capability of the North American railcar manufacturing, repair and maintenance infrastructure to implement mandated retrofit configurations or new construction. As a result of such regulations, certain of our Railcar segment's railcars could be deemed unfit for further commercial use (which would diminish or eliminate future revenue generated from leased railcars) and/or require retrofits or modifications. The costs associated with any required retrofits or modifications could be substantial. While certain regulatory changes could result in increased demand for refurbishment and/or new railcar manufacturing activity, if our Railcar segment is unable to adapt its business to changing regulations or railroad standards, and/or take advantage of any increase in demand for its products and services, our Railcar segment's business, financial condition and results of operations could be materially adversely affected. Our Railcar segment cannot assure that costs incurred to comply with any new standards and regulations, including those released by PHMSA and TC, will not be material to our Railcar segment's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364"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Mining</w:t>
      </w:r>
    </w:p>
    <w:p>
      <w:pPr>
        <w:spacing w:after="0" w:line="12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discussed elsewhere in this Report, we obtained control of Ferrous Resources Limited ("Ferrous Resources") during the second quarter of 2015. The following risk factors pertain to Ferrous Resources, representing our Mining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segment's financial performance is dependent on the global price of iron ore and global demand levels for iron ore.</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economic viability of Ferrous Resources’ business is highly dependent on the market price of iron ore. Ferrous Resources’ longer-term strategy is to produce and sell iron ore products in the domestic Brazilian market, as well as to the export markets, principally China, Japan, Korea, the Middle East and potentially Europe. The future revenues Ferrous Resources will be able to achieve from the sale of iron ore products will depend on Brazilian and global demand levels for iron ore, iron ore international sales prices, the type of iron ore product it sells and the iron (Fe) content of those products. Iron ore prices (including sale prices in Brazil) are largely driven by global demand for crude steel, the primary driver for iron ore demand. Part of Ferrous Resources iron ore export sales are made pursuant to long-term supply contracts, the sales prices for which are determined based on market price indices and will be subject to certain discounts or premiums (depending on the quality of final product) and periodic price adjustments.</w:t>
      </w:r>
    </w:p>
    <w:p>
      <w:pPr>
        <w:spacing w:after="0" w:line="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Global demand for iron ore products and related sales prices have historically varied, and are expected to continue to vary according to the worldwide demand for iron ore and steel, which in turn, is likely to be heavily influenced by worldwide economic activity and global iron ore supply levels. Iron ore demand may also be impacted by regulatory tariffs in effect in major importing or exporting countries. Global iron ore price levels directly impact Ferrous Resources’ sales prices. Conversion of Ferrous Resources’ iron ore resources to reserves and the production of iron ore products are economically feasible only on the basis of relatively high global iron ore prices driven by worldwide demand for iron ore products. International iron ore prices have been volatile in recent years, falling from roughly US$135 per dry metric tonne (“dmt”) in average in 2013 to an average of US$96.70/dmt in 2014 and reached US$47.50/dmt in early April 2015. Iron ore was trading at an average of approximately US$58.40/dmt in the second quarter of 2015.</w:t>
      </w:r>
    </w:p>
    <w:p>
      <w:pPr>
        <w:spacing w:after="0" w:line="70" w:lineRule="exact"/>
        <w:rPr>
          <w:sz w:val="20"/>
          <w:szCs w:val="20"/>
          <w:color w:val="auto"/>
        </w:rPr>
      </w:pPr>
    </w:p>
    <w:p>
      <w:pPr>
        <w:ind w:right="760" w:firstLine="405"/>
        <w:spacing w:after="0" w:line="308" w:lineRule="auto"/>
        <w:rPr>
          <w:sz w:val="20"/>
          <w:szCs w:val="20"/>
          <w:color w:val="auto"/>
        </w:rPr>
      </w:pPr>
      <w:r>
        <w:rPr>
          <w:rFonts w:ascii="Arial" w:cs="Arial" w:eastAsia="Arial" w:hAnsi="Arial"/>
          <w:sz w:val="17"/>
          <w:szCs w:val="17"/>
          <w:color w:val="auto"/>
        </w:rPr>
        <w:t>Worldwide prices for iron ore have been mainly determined via a spot pricing mechanism and the sales prices for the products sold by Ferrous Resources are generally determined based on market price indices considered as reference for the seaborne iron ore market.</w:t>
      </w:r>
    </w:p>
    <w:p>
      <w:pPr>
        <w:spacing w:after="0" w:line="3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 number of factors beyond Ferrous Resources’ control will impact contract and spot iron ore prices and the price which Ferrous Resources may receive for its iron ore production, most notably the levels of worldwide steel production and demand for steel products, the level of worldwide production of iron ore products, the relationship between the major iron ore producers and consumers and government tariffs.</w:t>
      </w:r>
    </w:p>
    <w:p>
      <w:pPr>
        <w:spacing w:after="0" w:line="57" w:lineRule="exact"/>
        <w:rPr>
          <w:sz w:val="20"/>
          <w:szCs w:val="20"/>
          <w:color w:val="auto"/>
        </w:rPr>
      </w:pPr>
    </w:p>
    <w:p>
      <w:pPr>
        <w:jc w:val="both"/>
        <w:ind w:right="680" w:firstLine="405"/>
        <w:spacing w:after="0" w:line="312" w:lineRule="auto"/>
        <w:rPr>
          <w:sz w:val="20"/>
          <w:szCs w:val="20"/>
          <w:color w:val="auto"/>
        </w:rPr>
      </w:pPr>
      <w:r>
        <w:rPr>
          <w:rFonts w:ascii="Arial" w:cs="Arial" w:eastAsia="Arial" w:hAnsi="Arial"/>
          <w:sz w:val="16"/>
          <w:szCs w:val="16"/>
          <w:color w:val="auto"/>
        </w:rPr>
        <w:t>More recently, oversupply in the global markets for iron ore contributed to a steep decline in price levels for iron ore of the grades produced at Esperança and Santanense (two of Ferrous Resources’ properties) falling below the level necessary to make continuation of mining activities at these properties economically viable. In March 2015 the Esperança and Santanense mines ceased production and were put in care and maintenance.</w:t>
      </w:r>
    </w:p>
    <w:p>
      <w:pPr>
        <w:spacing w:after="0" w:line="39" w:lineRule="exact"/>
        <w:rPr>
          <w:sz w:val="20"/>
          <w:szCs w:val="20"/>
          <w:color w:val="auto"/>
        </w:rPr>
      </w:pPr>
    </w:p>
    <w:p>
      <w:pPr>
        <w:jc w:val="both"/>
        <w:ind w:right="120" w:firstLine="405"/>
        <w:spacing w:after="0" w:line="279" w:lineRule="auto"/>
        <w:rPr>
          <w:sz w:val="20"/>
          <w:szCs w:val="20"/>
          <w:color w:val="auto"/>
        </w:rPr>
      </w:pPr>
      <w:r>
        <w:rPr>
          <w:rFonts w:ascii="Arial" w:cs="Arial" w:eastAsia="Arial" w:hAnsi="Arial"/>
          <w:sz w:val="17"/>
          <w:szCs w:val="17"/>
          <w:color w:val="auto"/>
        </w:rPr>
        <w:t>If iron ore oversupply levels continue to keep prices at depressed levels or decline further or if transportation, port, agency or processing costs were to increase or fail to decline in proportion to the reduction in iron ore prices, Ferrous Resources may not be able to economically produce and sell iron ore from its Viga mine which could result in Ferrous Resources delaying, suspending, reducing or ceasing production activities, which would have a material adverse effect on our Mining segment’s business, results of operations, financial condition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Ferrous Resources has limited cash available and is currently not profitable.</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Ferrous Resources’ cash levels dropped from approximately US$56 million at December 31, 2014 to approximately US$47 million at June 30, 2015 primarily due to lower iron ore selling prices, costs associated with the suspension of operations at its Santanense and Esperança mines and essential capital expenditures at its Viga mine. Ferrous Resources’ Viga mine, which is currently its only operating mine, is operating at marginal levels of profitability that are not able to support Ferrous Resources’ care and maintenance costs at its other mines as well as its corporate overhead. There is no assurance that Ferrous Resources will not run out of cash in the near future resulting in a material adverse effect on our Mining segment's results of operations and financial condition.</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iron ore industry is intensely competitive and Ferrous Resources may experience pricing pressure and have difficulty effectively competing with other iron ore mining companies.</w:t>
      </w:r>
    </w:p>
    <w:p>
      <w:pPr>
        <w:spacing w:after="0" w:line="62"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The iron ore industry is characterized by intense competition and a high level of market concentration. Ferrous Resources competes with a number of large international mining companies, many of which have mineral and financial resources substantially greater than those of Ferrous Resources. Industry competitors may acquire additional exploration rights over iron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64" w:right="239" w:bottom="1440" w:gutter="0" w:footer="0" w:header="0"/>
        </w:sectPr>
      </w:pPr>
    </w:p>
    <w:bookmarkStart w:id="94" w:name="page95"/>
    <w:bookmarkEnd w:id="94"/>
    <w:p>
      <w:pPr>
        <w:spacing w:after="0" w:line="279" w:lineRule="auto"/>
        <w:rPr>
          <w:sz w:val="20"/>
          <w:szCs w:val="20"/>
          <w:color w:val="auto"/>
        </w:rPr>
      </w:pPr>
      <w:r>
        <w:rPr>
          <w:rFonts w:ascii="Arial" w:cs="Arial" w:eastAsia="Arial" w:hAnsi="Arial"/>
          <w:sz w:val="17"/>
          <w:szCs w:val="17"/>
          <w:color w:val="auto"/>
        </w:rPr>
        <w:t>ore deposits, with an added advantage of scale in their businesses, reduced costs and proprietary logistics systems and may engage in pricing or other financial or operational practices that will increase competitive pressure on Ferrous Resources. Competition from foreign direct investment in Ferrous Resources’ domestic competitors or continued market concentration could result in Ferrous Resource experiencing difficulty establishing or increasing market share and could have a material adverse effect on our Mining segment’s business, results of operations,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iron ore declines further, Ferrous Resources may be required to cease operations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If iron ore prices decline further or remain depressed for an extended period, Ferrous Resources may no longer be able to fund its current operations and be forced to suspend or cease operations. Any such suspension or termination in operations will require substantial suspension or shutdown costs including social, environmental remediation and contract breakage costs. Such costs may exceed the cash available to Ferrous Resources without sales of its core mining assets. Asset sales effected in a market downturn typically do not result in favorable prices and could result in the complete liquidation of Ferrous Resources without fully satisfying its remaining obligations.</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Exchange rate instability and changes in the value of the Brazilian real relative to the U.S. dollar and other foreign currencies may adversely affect our Mining segment's financial condition and results of operations.</w:t>
      </w:r>
    </w:p>
    <w:p>
      <w:pPr>
        <w:spacing w:after="0" w:line="62"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The Brazilian currency has been devalued frequently over the past four decades. Throughout this period, the Brazilian government has implemented various economic plans and exchange rate policies, including sudden devaluations, periodic small devaluations (during which the frequency of adjustments has ranged from daily to monthly), exchange controls, dual exchange rate markets and a floating exchange rate system. From time to time, there have been significant fluctuations in the exchange rate between the Brazilian currency and the U.S. dollar and other currencies. For example, the Brazilian real hit a 5-year high of R$1.5375 to US$1.00 in July 2011 and a 12-year low of R$3.2931 to US$1.00 in March 2015. There can be no assurance that the currency will not fall in value against the U.S. dollar in the future.</w:t>
      </w:r>
    </w:p>
    <w:p>
      <w:pPr>
        <w:spacing w:after="0" w:line="8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Depreciation of the Brazilian real against the U.S. dollar could create additional inflationary pressures in Brazil. Depreciation generally makes it more difficult to access foreign financial markets and may prompt government intervention, including recessionary economic policies. Conversely, appreciation of the Brazilian real against the U.S. dollar may lead to the deterioration of Brazil’s current account and balance of payments as well as hinder the growth of exports.</w:t>
      </w:r>
    </w:p>
    <w:p>
      <w:pPr>
        <w:spacing w:after="0" w:line="7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Ferrous Resources’ reporting currency is the U.S. dollar. Ferrous Resources expects that most of its revenues will be denominated in U.S. dollars, while most of its costs (other than expenses related to debt servicing, which are likely to be U.S. dollar-denominated) will be denominated in Brazilian reais. Ferrous Resources also expects to hold certain assets and incur certain liabilities in other foreign currencies. Consequently, increases in the value of the Brazilian real and other foreign currencies relative to the U.S. dollar may result in a reduction in Ferrous Resources’ reported profits. In addition, because Ferrous Resources’ functional currency is the U.S. dollar, both at a consolidated and operating company level, Ferrous Resources must translate Brazilian real denominated assets and liabilities into U.S. dollars. To do so, non-U.S. dollar denominated monetary assets and liabilities are translated into U.S. dollars using the closing exchange rate at the date of the balance sheets. Consequently, increases or decreases in the value of the U.S. dollar versus the Brazilian real and other foreign currencies may affect Ferrous Resources’ assets and liabilities in Ferrous Resources’ balance sheets. Depreciation of the U.S. dollar versus such foreign currencies will increase the value of assets and liabilities on Ferrous Resources’ balance sheets while appreciation of the U.S. dollar versus such foreign currencies will decrease the value of assets and liabilities on Ferrous Resources’ balance sheets. Appreciation of the Brazilian real against the U.S. dollar would cause Ferrous Resources’ projected capital and operating costs (as expressed in U.S. dollars) to increase. Any of the foregoing could adversely affect our Mining segment’s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Ferrous Resources may experience delays in implementing its Viga mining plan or may not be able to implement it in its current form.</w:t>
      </w:r>
    </w:p>
    <w:p>
      <w:pPr>
        <w:spacing w:after="0" w:line="129"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Ferrous Resources will need to raise a substantial amount of equity and debt financing to build both the Viga 4+ Project and the Viga 17 Project. Only if both projects are successfully financed and completed does Ferrous Resources’ business plan target production of iron ore at a rate of 21 million tonnes per year by the third quarter of 2018 from the Viga Property, at which time the Viga 4+ Project and the Viga 17 Project would be temporarily operating simultaneously until 2021. While Ferrous Resources currently either owns or has access to the required areas to develop the Viga 21 Project, which covers a total of approximately 2,671 hectacres, part of the project area is subject to judicial proceedings relating to challenges over possession rights in such areas. The disputed areas cover approximately 4.7 hectacres, which corresponds to approximately 0.46% of the total project area. Ferrous Resources intends to request the Brazilian National Department of Mineral Production (“DNPM”) to grant easements over the areas to Ferrous Resources and will seek other legal measures to retain possession of such areas. However, there can be no assurances that the DNPM will grant such easements or that Ferrous Resources will be successful in retaining possession of the areas within the timeframe required by Ferrous Resources’ business plan. If Ferrous Resources is unsuccessful in its efforts to secure such rights, it would limit its ability to mine approximately 9% of the otherwise mineable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76"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ore reserves at the Viga Property.</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Mining segment's business plans will require substantial capital investment. Actual capital expenditure requirements may be higher than expected and Ferrous Resources may have difficulty obtaining required financing.</w:t>
      </w:r>
    </w:p>
    <w:p>
      <w:pPr>
        <w:spacing w:after="0" w:line="62"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Ferrous Resources will need to make substantial capital investments in order to develop the Viga 17 Project and related processing and infrastructure. Ferrous Resources currently projects that implementing the Viga 17 Project will require total capital expenditures of approximately US$1.2 billion between 2016 and 2019. Ferrous Resources intends to make such capital investments in the Viga 17 Project only if it is successful in raising the necessary equity and debt financing to fund such capital expenditures.</w:t>
      </w:r>
    </w:p>
    <w:p>
      <w:pPr>
        <w:spacing w:after="0" w:line="7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Also, in order to fund capital expenditures required to complete the Viga 4+ Project, Ferrous Resources expects to require additional equity funding together with additional debt. Ferrous Resources may be unable to obtain equity or debt financing in the amounts required in a timely manner, on commercially acceptable terms or at all. If Ferrous Resources is unable to obtain sufficient equity and debt financing in a timely manner the Viga 4+ Project may not be completed.</w:t>
      </w:r>
    </w:p>
    <w:p>
      <w:pPr>
        <w:spacing w:after="0" w:line="7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As indicated above, Ferrous Resources will require additional equity and debt financing to fund the capital expenditures anticipated to be required to complete the Viga 17 Project. Ferrous Resources’ business plan for the development of the Viga 17 Project is in large part supported by the analysis performed and included in certain feasibility studies. Certain feasibility studies were prepared based on the construction work required to complete the Viga 17 Project commencing in March 2015. Ferrous Resources did not secure the necessary additional equity and debt financing to fund the capital expenditures by June 30, 2015.</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There can be no assurance that Ferrous Resources will be successful in raising the equity or debt financing necessary to complete the Viga 4+ Project or the Viga 17 Project in a timely manner, on commercially acceptable terms or at all. In addition, Ferrous Resources may also have to raise financing in excess of that anticipated to complete the Viga 4+ Project and the Viga 17 Project if there are cost overruns. There can be no assurance that Ferrous Resources will be successful in its efforts to raise such financing or that the terms of any such financing may not be materially less favorable to Ferrous Resources than currently anticipated.</w:t>
      </w:r>
    </w:p>
    <w:p>
      <w:pPr>
        <w:spacing w:after="0" w:line="8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Ferrous Resources is also actively considering a number of strategies to increase profitability. To the extent that Ferrous Resources decides to implement these or other projects, Ferrous Resources’ capital expenditure requirements could increase. To the extent the capital expenditures required to implement any of these projects exceed available cash flow, Ferrous Resources may have to maintain bank debt at higher levels or for a longer period of time than currently anticipated. Moreover, if bank debt is not available on acceptable terms, or at all, Ferrous Resources may be unable to undertake these projects.</w:t>
      </w:r>
    </w:p>
    <w:p>
      <w:pPr>
        <w:spacing w:after="0" w:line="46" w:lineRule="exact"/>
        <w:rPr>
          <w:sz w:val="20"/>
          <w:szCs w:val="20"/>
          <w:color w:val="auto"/>
        </w:rPr>
      </w:pPr>
    </w:p>
    <w:p>
      <w:pPr>
        <w:ind w:right="940" w:firstLine="405"/>
        <w:spacing w:after="0" w:line="277" w:lineRule="auto"/>
        <w:rPr>
          <w:sz w:val="20"/>
          <w:szCs w:val="20"/>
          <w:color w:val="auto"/>
        </w:rPr>
      </w:pPr>
      <w:r>
        <w:rPr>
          <w:rFonts w:ascii="Arial" w:cs="Arial" w:eastAsia="Arial" w:hAnsi="Arial"/>
          <w:sz w:val="18"/>
          <w:szCs w:val="18"/>
          <w:color w:val="auto"/>
        </w:rPr>
        <w:t>Ferrous Resources’ longer term capital expenditure requirements may prove to be significantly higher than its projected capital expenditure requirements, including due to the occurrence of identified potential contingencies.</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If Ferrous Resources’ capital expenditure requirements prove to be significantly higher than expected it could have a material adverse effect on our Mining segment’s ability to realize its business plan and on its business, results of operations and financial condition. In addition, if Ferrous Resources fails to generate or obtain sufficient capital resources to establish, develop and operate its business, its business could fail, or Ferrous Resources could be forced to reduce or delay capital expenditures, sell assets or re-structure future indebtedness, which could materially and adversely affect our Mining segment’s business, results of operations, financial condition.</w:t>
      </w:r>
    </w:p>
    <w:p>
      <w:pPr>
        <w:spacing w:after="0" w:line="13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Mining segment may not be able to maintain the mining, environmental or other licenses and authorizations necessary to conduct iron ore exploration, mining and production activities.</w:t>
      </w:r>
    </w:p>
    <w:p>
      <w:pPr>
        <w:spacing w:after="0" w:line="6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licensing regime in Brazil for the exploration, extraction and production of minerals is governed primarily by the Brazilian Mining Code (“Mining Code”) and regulations issued thereunder. The conduct of exploration, mining or mineral processing activities in Brazil requires numerous permits, licenses and authorizations from various Brazilian government agencies, including the DNPM, and relevant state environmental agencies at each phase of mining activity. Ferrous Resources holds all of the mining, environmental licenses and water extraction permits and/or authorizations required to conduct its current mining and processing activities, as well as the licenses, permits and authorizations required for the construction and implementation of its planned Viga 17 Project, but not all of the required licenses, permits or authorizations for the projects not included in Ferrous Resources’ immediate plans. Further, Ferrous Resources’ licenses, permits and/or authorizations may be revoked if Ferrous Resources fails to comply with certain prescribed requirements. There can be no assurance that Ferrous Resources will be able to obtain or maintain the necessary licenses, permits and/or authorizations to implement its business plan on a timely or favorable basis, or at all and any failure to do so could have a material adverse effect on our Mining segment’s business, results of operations,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76" w:right="259" w:bottom="1440" w:gutter="0" w:footer="0" w:header="0"/>
        </w:sectPr>
      </w:pPr>
    </w:p>
    <w:bookmarkStart w:id="96" w:name="page97"/>
    <w:bookmarkEnd w:id="96"/>
    <w:p>
      <w:pPr>
        <w:ind w:right="180"/>
        <w:spacing w:after="0" w:line="277" w:lineRule="auto"/>
        <w:rPr>
          <w:sz w:val="20"/>
          <w:szCs w:val="20"/>
          <w:color w:val="auto"/>
        </w:rPr>
      </w:pPr>
      <w:r>
        <w:rPr>
          <w:rFonts w:ascii="Arial" w:cs="Arial" w:eastAsia="Arial" w:hAnsi="Arial"/>
          <w:sz w:val="18"/>
          <w:szCs w:val="18"/>
          <w:b w:val="1"/>
          <w:bCs w:val="1"/>
          <w:i w:val="1"/>
          <w:iCs w:val="1"/>
          <w:color w:val="auto"/>
        </w:rPr>
        <w:t>Our Mining segment may experience difficulties or delays in accessing transportation infrastructure necessary in order for it to transport or export iron ore products at a commercially viable price, or at all.</w:t>
      </w:r>
    </w:p>
    <w:p>
      <w:pPr>
        <w:spacing w:after="0" w:line="62"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In order for Ferrous Resources to achieve its objective of becoming a large-scale iron ore producer and exporter, it will need to ensure it can transport iron ore product to a port at a commercially viable price for onward export by sea. Ferrous Resources currently has short-term access to certain port and rail facilities and is exporting some of its production, but this is not a guarantee that Ferrous Resources will continue to have such access to port and rail on a long-term basis. Ferrous Resources does not currently have long-term port and rail agreements in place and may not be able finalize such agreements to secure transport of its product to export markets at commercially viable costs or at all.</w:t>
      </w:r>
    </w:p>
    <w:p>
      <w:pPr>
        <w:spacing w:after="0" w:line="64"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Delays to Ferrous Resources’ ability to secure long-term port or rail agreements at commercially reasonable levels would likely result in delays to Ferrous Resources commencing large-scale export activities. Depending on international iron ore prices, this might have a corresponding adverse impact on revenue generation and cash flow from operating activities. Unforeseen difficulties in securing access to the planned transportation infrastructure owned by third parties could also result in our Mining segment’s operating expenditures being higher than projected.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Mining segment's operations are subject to extensive environmental risks inherent to the mining and iron ore processing industry.</w:t>
      </w:r>
    </w:p>
    <w:p>
      <w:pPr>
        <w:spacing w:after="0" w:line="129"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Ferrous Resources’ operations are or may become subject to potential risks and liabilities associated with pollution of the environment and the disposal of waste products that may occur as a result of its mineral exploration, development and production, including damage to preservation areas, over-development or extraction and accidental spills and leakages. Such potential liabilities include not only the obligation to remedy environmental damage and indemnify affected third parties, but also the imposition of court judgments, administrative penalties and criminal sanctions against Ferrous Resources and its employees and executive officers. Ferrous Resources has also conducted environmental reclamation work in certain of its properties as a result of inherited environmental problems caused by historic mining activities, and is required to conduct ongoing work agreed with Brazilian environmental authorities as a result of its current operations. As Ferrous Resources conducts this reclamation work, or if it is required to complete more extensive work as a result of new or revised regulatory requirements, Ferrous Resources may experience increased costs and limited production at these sites and may be required to complete such reclamation work before it receives any financial returns from its properties. In addition, if Ferrous Resources is unable to fully remedy an environmental problem, it may be required to suspend operations or enter into interim compliance measures pending completion of the required remedy which may result in increased costs and reduced production rates.</w:t>
      </w:r>
    </w:p>
    <w:p>
      <w:pPr>
        <w:spacing w:after="0" w:line="7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During the conduct of its operations, Ferrous Resources is subject to regular inspections and spot checks by various regulators, including the DNPM and environmental regulators, and reporting requirements for a range of issues relating to environmental pollution. Ferrous Resources must also comply with maximum acceptable concentrations, as determined by the Brazilian state authorities, for air quality, water quality, soils and sediments. Any issues identified in such inspections or reporting processes and/or any breach of these requirements could have a material adverse effect on our Mining segment’s business, results of operations,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Mining segment's mineral resources are based on estimates and it may not be able to convert them into reserves or actual production.</w:t>
      </w:r>
    </w:p>
    <w:p>
      <w:pPr>
        <w:spacing w:after="0" w:line="12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Ferrous Resources’ mineral resources are based on estimates only, and no assurance can be given that the estimated quantities or grades of iron ore will be converted into reserves at the anticipated conversion rates or at all, or that particular levels of recovery and production of iron ore will be realized. Calculation of mineral resource estimates is a subjective process of approximation of underground mineral deposits that cannot be measured in an exact manner, and the accuracy of any resource estimate is a function of the quality of available data and engineering and geological interpretation and judgment. The estimates of Ferrous Resources’ mineral resources have been derived on the basis of assays of drilled samples to which established methods of estimating measured, indicated and inferred mineral resources have been applied. However, there is uncertainty in any mineral resource estimate and subsequent results of actual mining and production operations may lead to revisions of initial estimates or to the realization that the mineral resource estimates do not convert into proven or probable reserves at the expected conversion rates or at all. Moreover, fluctuations in the market price of iron ore, reduced recovery rates or increased production costs due to inflation or other factors may render resources uneconomically viable to extract. The estimated mineral resources should not be interpreted as an assurance of reserves of the commercial viability, potential or profitability of any future operations. If the estimated mineral resources prove inaccurate, this would have a material adverse effect on our Mining segment’s business, operating results,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 may face uncertainties relating to the identification of viable ore bodies at future exploration sites.</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Ferrous Resources may need to identify, access and develop additional mineral deposits, resources and reserves in order to continue its mining activities beyond what is envisaged in its current business plan upon the depletion of the anticipated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30" w:right="239" w:bottom="1440" w:gutter="0" w:footer="0" w:header="0"/>
        </w:sectPr>
      </w:pPr>
    </w:p>
    <w:bookmarkStart w:id="97" w:name="page98"/>
    <w:bookmarkEnd w:id="97"/>
    <w:p>
      <w:pPr>
        <w:ind w:right="60"/>
        <w:spacing w:after="0" w:line="257" w:lineRule="auto"/>
        <w:rPr>
          <w:sz w:val="20"/>
          <w:szCs w:val="20"/>
          <w:color w:val="auto"/>
        </w:rPr>
      </w:pPr>
      <w:r>
        <w:rPr>
          <w:rFonts w:ascii="Arial" w:cs="Arial" w:eastAsia="Arial" w:hAnsi="Arial"/>
          <w:sz w:val="18"/>
          <w:szCs w:val="18"/>
          <w:color w:val="auto"/>
        </w:rPr>
        <w:t>mineral resources at its properties. Future exploration programs may fail to result in the development of resources and reserves or in the expansion or replacement of reserves depleted by production. Any mineral exploration program requires locating economically viable ore bodies, identifying appropriate metallurgical processes, obtaining required governmental permits and constructing mining and processing facilities. No assurance can be given that any mineral exploration program that Ferrous Resources may choose to develop will result in the discovery of new resources and reserves or the establishment or continuation of an economically viable mine.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Mining segment's ability to construct and implement its projects depends on the provision of important services and equipment by third parties.</w:t>
      </w:r>
    </w:p>
    <w:p>
      <w:pPr>
        <w:spacing w:after="0" w:line="14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Ferrous Resources depends heavily on third-party contractors and consultants for the provision of certain services, such as project management, engineering, construction, process design and planning, as well as third-party providers of mining equipment in order to develop its properties and conduct its operations. Ferrous Resources has entered into, or is in the process of negotiating, arrangements for certain of these services, such as process design and engineering; however, there can be no assurance that Ferrous Resources will be able to secure on a timely manner or on commercially acceptable terms or at all the provision of all the services that it will need to be successful or that the arrangements it does enter into will be sufficient for Ferrous Resources’ future needs or will not be interrupted or cease altogether. In particular, certain of Ferrous Resources’ equipment rental and other service contracts may be terminable at will by the service provider.</w:t>
      </w:r>
    </w:p>
    <w:p>
      <w:pPr>
        <w:spacing w:after="0" w:line="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addition, certain of the services required for Ferrous Resources’ operations and strategic developments are or may in the future be available on commercially reasonable terms only from a limited number of providers. In particular, Ferrous Resources may encounter difficulty in securing the services of specialized contractors due to high demand for those services resulting from significant competition from other mining companies operating in the Iron Ore Quadrangle in the State of Minas Gerais, Brazil. Ferrous Resources’ business may be negatively affected by the failure or delay of third parties in supplying these services, by any change to the terms on which these services are made available by third-party providers or by third-party providers failing to provide services that meet Ferrous Resources’ quality requirements.</w:t>
      </w:r>
    </w:p>
    <w:p>
      <w:pPr>
        <w:spacing w:after="0" w:line="8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If Ferrous Resources is forced to change a provider of such services, it may experience additional costs, interruptions to supply continuity or other adverse effects on its business. There also can be no assurance that Ferrous Resources would be able to find adequate replacement services on a timely basis or at all. Should Ferrous Resources be unable to acquire or retain providers of key services on favorable terms, or should there be interruptions to, or inadequacies with, any services provided, this could have a material adverse effect on our Mining segment’s business, results of operations, financial condition.</w:t>
      </w:r>
    </w:p>
    <w:p>
      <w:pPr>
        <w:spacing w:after="0" w:line="13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Mining segment's compliance with health and safety laws may require increased capital expenditures, and non-compliance may subject it to significant penalties.</w:t>
      </w:r>
    </w:p>
    <w:p>
      <w:pPr>
        <w:spacing w:after="0" w:line="62"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Ferrous Resources is required to comply with a range of health and safety laws and regulations in connection with its business activities. A violation of health and safety laws relating to a mine, or at a processing or other plant, or a failure to comply with the instructions of the relevant health and safety authorities, could lead to, amongst other things, a temporary shutdown of all or a portion of the mine or of a processing or other plant; a loss by Ferrous Resources of its right to mine or operate a processing or other plant, or the imposition of costly compliance measures. If health and safety authorities require Ferrous Resources to shut down all or a portion of a mine or a processing or other plant or to implement costly compliance measures, whether pursuant to existing or new health and safety laws and regulations, or the more stringent enforcement of existing laws and regulations, such measures could have a material adverse effect on our Mining segment’s business, results of operations, financial condition.</w:t>
      </w:r>
    </w:p>
    <w:p>
      <w:pPr>
        <w:spacing w:after="0" w:line="124"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Our Mining segment's surface rights, mineral rights or ownership rights to companies holding mineral rights or surface rights, have been and may in the future be challenged by prior owners, bankruptcy trustees and creditors of prior owners, among others, and may give rise to various successor liabilities.</w:t>
      </w:r>
    </w:p>
    <w:p>
      <w:pPr>
        <w:spacing w:after="0" w:line="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Some of Ferrous Resources’ surface rights and mineral rights which Ferrous Resources has acquired in the past have been the subject of disputes by third parties challenging Ferrous Resources’ or a previous owner’ ownership rights. Companies, surface rights and mineral rights that Ferrous Resources acquires in the future may be or become subject to similar claims. Third parties may have known or unknown valid claims relating to portions of Ferrous Resources’ interests, including prior unregistered liens, agreements, transfers or claims, and title may be affected by, among other things, undetected defects. In particular, Ferrous Resources has acquired, and may acquire, companies, surface rights or mineral rights that are the subject of debt restructuring or bankruptcy proceedings. Under Brazilian law, claims may be brought challenging subsequent transfers of assets or rights that were previously subject to or indirectly involved in debt restructuring or bankruptcy proceedings, or attempting to link the debt restructuring or bankruptcy proceedings and such subsequent transfers.</w:t>
      </w:r>
    </w:p>
    <w:p>
      <w:pPr>
        <w:spacing w:after="0" w:line="8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If historical transfers are successfully challenged or if Ferrous Resources is unsuccessful in defending against easement or adverse possession claims or other unknown successor liabilities, it risks losing its ownership interest in such assets or rights,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76" w:right="279" w:bottom="1440" w:gutter="0" w:footer="0" w:header="0"/>
        </w:sectPr>
      </w:pPr>
    </w:p>
    <w:bookmarkStart w:id="98" w:name="page99"/>
    <w:bookmarkEnd w:id="98"/>
    <w:p>
      <w:pPr>
        <w:ind w:right="160"/>
        <w:spacing w:after="0" w:line="277" w:lineRule="auto"/>
        <w:rPr>
          <w:sz w:val="20"/>
          <w:szCs w:val="20"/>
          <w:color w:val="auto"/>
        </w:rPr>
      </w:pPr>
      <w:r>
        <w:rPr>
          <w:rFonts w:ascii="Arial" w:cs="Arial" w:eastAsia="Arial" w:hAnsi="Arial"/>
          <w:sz w:val="18"/>
          <w:szCs w:val="18"/>
          <w:color w:val="auto"/>
        </w:rPr>
        <w:t>having its ability to use them impeded or becoming liable for unanticipated liabilities or penalties, each of which could have a material adverse effect on our Mining segment’s business, financial condition,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segment's business is subject to the risk of operational disruptions, damage to property or injury to persons.</w:t>
      </w:r>
    </w:p>
    <w:p>
      <w:pPr>
        <w:spacing w:after="0" w:line="117"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Ferrous Resources’ business operations, like those of other mining companies, are subject to a number of risks and hazards, including industrial and railway accidents, rock falls, environmental hazards, power outages, equipment failures, unusual or unexpected geological conditions, severe weather conditions and other natural phenomena or “acts of God.” Ferrous Resources already engages and intends to continue to engage primarily in open pit mining of its mineral rights areas. In conducting and developing its open pit mining operations, Ferrous Resources must from time to time take certain measures to prepare the mineral rights areas including environmental reclamation, excavation, clearing and pit wall support works. Hazards associated with preparatory mining works and open pit mining include accidents involving the operation of open pit mining and rock transportation equipment, the preparation and ignition of large-scale open pit blasting operations, the collapse of open pit walls and the flooding of open pits. Ferrous Resources’ operations currently require the removal of groundwater during mining, which may give rise to additional hazards including, but not limited to, accidents and flooding.</w:t>
      </w:r>
    </w:p>
    <w:p>
      <w:pPr>
        <w:spacing w:after="0" w:line="5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Ferrous Resources also faces risks with respect to its processing activities. Hazards associated with processing include the risk of accidents caused by operating crushing and concentrating plants and equipment.</w:t>
      </w:r>
    </w:p>
    <w:p>
      <w:pPr>
        <w:spacing w:after="0" w:line="6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Ferrous Resources may experience mine or plant shutdowns or periods of reduced production as a result of any of the above factors. Such factors could also result in material damage to, or the destruction of, mineral properties or production facilities, human exposure to pollution, personal injury or death, environmental and natural resource damage, delays in mining, delays in shipment, monetary losses and possible legal liability, each of which could have a material adverse effect on our Mining segment’s business, results of operations,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 may face uninsured costs and liabilities.</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Ferrous Resources, as a participant in exploration and mining programs, may become subject to liability for hazards for which it cannot be insured, which could exceed policy limits or against which it may elect not to be insured due to high premium costs. These risks include but are not limited to industrial accidents, railway accidents, rock falls, environmental hazards, power outages, equipment failures, unusual or unexpected geological conditions, severe weather conditions and other natural phenomena or “acts of God.” These events may damage or destroy mining properties, production facilities, transport facilities and equipment, as well as lead to personal injury or death, environmental damage, waste from intermediary products or resources, mining, production or transportation delays and monetary losses or legal liability. There is no assurance that Ferrous Resources will be able to rebuild damaged property in a timely manner or at all.</w:t>
      </w:r>
    </w:p>
    <w:p>
      <w:pPr>
        <w:spacing w:after="0" w:line="8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Ferrous Resources has limited insurance coverage for most of its plant and facilities, for business interruption, for third-party liability in respect of property and for environmental damage arising from accidents on its property or relating to its operations. Ferrous Resources intends to obtain additional comprehensive insurance coverage in the future in relation to its sites to the extent Ferrous Resources believes necessary as Ferrous Resources further develop its mining projects. However, there is no guarantee that Ferrous Resources will be able to secure adequate levels of insurance coverage on economically viable terms or at all. Moreover, there is no assurance that Ferrous Resources will be able to maintain existing levels of insurance in the future at rates it considers to be reasonable. To the extent that Ferrous Resources is unable, or elects not, to obtain full insurance coverage, there is a risk that losses and liabilities arising from such events could significantly increase its costs and have a material adverse effect on our Mining segment’s business, results of operations,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Mining segment's financial condition may be adversely affected by changes in applicable taxation regimes or in the taxation residence.</w:t>
      </w:r>
    </w:p>
    <w:p>
      <w:pPr>
        <w:spacing w:after="0" w:line="129"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board of directors of Ferrous Resources currently conducts and intends to continue to conduct the affairs of Ferrous Resources in a manner such that it is treated as resident in the Isle of Man for Isle of Man tax purposes. This means, broadly, that Ferrous Resources’ profits, income and gains will be subject to the Isle of Man tax regime. Any dividends paid Ferrous Resources will be regarded as Isle of Man dividends.</w:t>
      </w:r>
    </w:p>
    <w:p>
      <w:pPr>
        <w:spacing w:after="0" w:line="5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It is possible that in the future, whether as a result of a change of law or the practice of any relevant tax authority, or as a result of any change in the management or the conduct of Ferrous Resources’ affairs, it could become, or be treated as having become, resident in a jurisdiction other than the Isle of Man, therefore becoming subject to the tax regime of a jurisdiction other than the Isle of Man. This could materially adversely affect our Mining segment’s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global economy may have an adverse effect on the Brazilian economy and our Mining segment's operations.</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Brazil’s economy is influenced, to varying degrees, by economic and market conditions in the global economy, both in other emerging markets and in developed countries, and especially other Latin American countries. The reaction of investors to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76" w:right="239" w:bottom="1440" w:gutter="0" w:footer="0" w:header="0"/>
        </w:sectPr>
      </w:pPr>
    </w:p>
    <w:bookmarkStart w:id="99" w:name="page100"/>
    <w:bookmarkEnd w:id="99"/>
    <w:p>
      <w:pPr>
        <w:jc w:val="both"/>
        <w:ind w:right="40"/>
        <w:spacing w:after="0" w:line="257" w:lineRule="auto"/>
        <w:rPr>
          <w:sz w:val="20"/>
          <w:szCs w:val="20"/>
          <w:color w:val="auto"/>
        </w:rPr>
      </w:pPr>
      <w:r>
        <w:rPr>
          <w:rFonts w:ascii="Arial" w:cs="Arial" w:eastAsia="Arial" w:hAnsi="Arial"/>
          <w:sz w:val="18"/>
          <w:szCs w:val="18"/>
          <w:color w:val="auto"/>
        </w:rPr>
        <w:t>developments in one country may cause the capital markets in other countries to fluctuate. Continuing uncertainty can reduce the confidence of international investors and bring volatility to the markets. Recent economic uncertainty and volatility appears to have impaired parts of the global economy and, indirectly, the growth of emerging markets, including Brazil, which have recently experienced slower growth. Negative effects of the global economy and the Brazilian economy could lead to reduced liquidity, crashes in the credit markets and economic recession or decelerated growth in Brazil, which in turn could negatively affect our Mining segment's business, results of operations, financial condition.</w:t>
      </w:r>
    </w:p>
    <w:p>
      <w:pPr>
        <w:spacing w:after="0" w:line="8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addition, as Brazil is a major producer and exporter of metal and agricultural products, the Brazilian economy is especially vulnerable to declines in world commodity prices and the imposition of import tariffs by the United States, the European Union or other major export markets, such as China. An increase in import tariffs may decrease demand for products exported by Brazilian companies. Any such developments may have a negative effect on the Brazilian economy and thus on our Mining segment's business, results of operations, financial condition.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All of the operations of our Mining segment are in Brazil or are related to Brazilian assets, and therefore Brazilian economic and political conditions may adversely affect our Mining segment's financial condition and results of operations.</w:t>
      </w:r>
    </w:p>
    <w:p>
      <w:pPr>
        <w:spacing w:after="0" w:line="62"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All operations of Ferrous Resources are in Brazil or are related to Brazilian assets. Accordingly, its financial condition, results of operations and prospects are substantially dependent on Brazil’ economy, which in the past has been characterized by frequent and occasionally drastic intervention by the Brazilian government as well as volatile economic cycles. Ferrous Resources’ business, results of operations, financial condition and prospects may be adversely affected by, among others, the following economic, social and political conditions in Brazil:</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 and currency exchange rate fluctuations;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and price of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controls and restrictions (including restrictions on remittance of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monetary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policies impacting Brazil’ logistical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of domestic capital and lending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social and political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policies and actions to combat corruption and kickback practices;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political, diplomatic, social and economic developments in or affecting Brazil.</w:t>
      </w:r>
    </w:p>
    <w:p>
      <w:pPr>
        <w:spacing w:after="0" w:line="31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Brazilian government frequently intervenes to address various economic, social and political conditions occurring in Brazil and the Brazilian government has often changed monetary, taxation, credit, tariff and other policies to influence the Brazilian economy. For example, the Brazilian government actions to control inflation and stabilize the economy have in the past involved the setting of wage and price controls and fluctuation in the Brazilian Central Bank base interest rates, blocking access to bank accounts, imposing exchange controls and limiting imports into Brazil. Actions taken by the Brazilian government concerning the economy may have significant effects on Brazilian companies, including Ferrous Resources. For example, in the past, the Brazilian government maintained domestic price controls, and Ferrous Resources cannot assure you that price controls will not be re-imposed in the future, which could have a material adverse effect on our Mining segment. Our Mining segment's financial condition and results of operations may also be materially and adversely affected by the following factors and the Brazilian government actions in response to them:</w:t>
      </w:r>
    </w:p>
    <w:p>
      <w:pPr>
        <w:spacing w:after="0" w:line="1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 and currency exchange rate fluctuations;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and price of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 controls and restrictions (including restrictions on remittance of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monetary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environmental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policies impacting Brazil’ logistical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of domestic capital and lending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social and political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policies and actions to combat corruption and kickback practices;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political, diplomatic, social and economic developments in or affecting Brazil.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76" w:right="239" w:bottom="1440" w:gutter="0" w:footer="0" w:header="0"/>
        </w:sectPr>
      </w:pPr>
    </w:p>
    <w:bookmarkStart w:id="100" w:name="page101"/>
    <w:bookmarkEnd w:id="100"/>
    <w:p>
      <w:pPr>
        <w:ind w:right="140" w:firstLine="405"/>
        <w:spacing w:after="0" w:line="342" w:lineRule="auto"/>
        <w:rPr>
          <w:sz w:val="20"/>
          <w:szCs w:val="20"/>
          <w:color w:val="auto"/>
        </w:rPr>
      </w:pPr>
      <w:r>
        <w:rPr>
          <w:rFonts w:ascii="Arial" w:cs="Arial" w:eastAsia="Arial" w:hAnsi="Arial"/>
          <w:sz w:val="16"/>
          <w:szCs w:val="16"/>
          <w:color w:val="auto"/>
        </w:rPr>
        <w:t>Ferrous Resources has no control over these factors, and cannot predict what policies or actions the Brazilian government may take in the future and whether these policies will negatively affect the economy and our Mining segment's business, financial condition and results of operations.</w:t>
      </w:r>
    </w:p>
    <w:p>
      <w:pPr>
        <w:spacing w:after="0" w:line="1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Uncertainty over whether the Brazilian government will implement changes in policies or regulations affecting these or other factors in the future may contribute to economic uncertainty in Brazil and to heightened volatility of Brazilian companies. Historically, the political situation in Brazil has influenced the performance of the Brazilian economy. Past political crises have affected the confidence of investors and the public, generally resulting in an economic slowdown and volatility of securities offered by Brazilian companies. Recently, during 2013 and 2014, wide-scale protests throughout Brazil focused on economic and political reform and have led to heightened volatility. Following these protests, the Brazilian Central Bank cut its growth forecasts and cited volatility as a risk factor. This volatility was heightened by Standard &amp; Poor’s downgrade of Brazil’s long-term debt rating to BBB- on March 24, 2014. In addition, recent developments relating to allegations of corruption that affect Petróleo Brasileiro S.A., negatively impact the political situation and the economy of Brazil and contribute to increased volatility.</w:t>
      </w:r>
    </w:p>
    <w:p>
      <w:pPr>
        <w:spacing w:after="0" w:line="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Rating agencies could downgrade Brazil’s long-term debt rating in the future which could adversely impact the Brazilian economy. Any downgrade to Brazil's long-term credit rating could limit Ferrous Resources’ ability to access funding and increase its borrowing costs, thereby adversely impacting our Mining segment's business, results of operations,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76" w:right="4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Certification of Chief Executive Officer and Chief Financial Officer pursuant to Section 906 of the Sarbanes-Oxley Act of 2002 (18</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U.S.C. 1350) and Rule 13a-14(b) of the Securities Exchange Act of 1934.</w:t>
            </w: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Exhibit 101</w:t>
            </w:r>
          </w:p>
        </w:tc>
        <w:tc>
          <w:tcPr>
            <w:tcW w:w="9920" w:type="dxa"/>
            <w:vAlign w:val="bottom"/>
          </w:tcPr>
          <w:p>
            <w:pPr>
              <w:ind w:left="20"/>
              <w:spacing w:after="0"/>
              <w:rPr>
                <w:sz w:val="20"/>
                <w:szCs w:val="20"/>
                <w:color w:val="auto"/>
              </w:rPr>
            </w:pPr>
            <w:r>
              <w:rPr>
                <w:rFonts w:ascii="Arial" w:cs="Arial" w:eastAsia="Arial" w:hAnsi="Arial"/>
                <w:sz w:val="18"/>
                <w:szCs w:val="18"/>
                <w:color w:val="auto"/>
                <w:w w:val="95"/>
              </w:rPr>
              <w:t>The following financial information from Icahn Enterprises' and Icahn Enterprises Holdings' Quarterly Report on Form 10-Q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quarterly period ended June 30, 2015, formatted in XBRL (Extensible Business Reporting Language) includes: (i) the Condensed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89"/>
              </w:rPr>
              <w:t>Consolidated Balance Sheets as of June 30, 2015 and December 31, 2014, (ii) the Condensed Consolidated Statements of Operations for</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the three and six months ended June 30, 2015 and 2014, (iii) the Condensed Consolidated Statements of Comprehensive Income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three and six months ended June 30, 2015 and 2014, (iv) the Condensed Consolidated Statements of Changes in Equity for the six</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months ended June 30, 2015 and 2014, (v) the Condensed Consolidated Statements of Cash Flows for the six months ended June 30,</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2015 and 2014 and (vi) the Notes to the Condensed Consolidated Financial Statements.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64" w:right="239" w:bottom="1440" w:gutter="0" w:footer="0" w:header="0"/>
        </w:sectPr>
      </w:pPr>
    </w:p>
    <w:bookmarkStart w:id="102" w:name="page103"/>
    <w:bookmarkEnd w:id="10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364" w:right="4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June 30,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2015;</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June 30,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2015;</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June 30, 2015, the undersigned certify that, to the best of his knowledge, based upon a review of the Icahn Enterprises L.P. and Icahn Enterprises Holdings L.P. joint quarterly report on Form 10-Q for the period ended June 30, 2015:</w:t>
      </w:r>
    </w:p>
    <w:p>
      <w:pPr>
        <w:spacing w:after="0" w:line="181" w:lineRule="exact"/>
        <w:rPr>
          <w:sz w:val="20"/>
          <w:szCs w:val="20"/>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8"/>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2019-12-29T15:46:09Z</dcterms:created>
  <dcterms:modified xsi:type="dcterms:W3CDTF">2019-12-29T15:46:09Z</dcterms:modified>
</cp:coreProperties>
</file>