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360" w:type="dxa"/>
            <w:vAlign w:val="bottom"/>
            <w:vMerge w:val="restart"/>
          </w:tcPr>
          <w:p>
            <w:pPr>
              <w:jc w:val="center"/>
              <w:ind w:left="11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166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ind w:left="143"/>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(Commission File Number)</w:t>
            </w:r>
          </w:p>
        </w:tc>
        <w:tc>
          <w:tcPr>
            <w:tcW w:w="5360" w:type="dxa"/>
            <w:vAlign w:val="bottom"/>
          </w:tcPr>
          <w:p>
            <w:pPr>
              <w:jc w:val="center"/>
              <w:ind w:left="95"/>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66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vMerge w:val="continue"/>
          </w:tcPr>
          <w:p>
            <w:pPr>
              <w:spacing w:after="0"/>
              <w:rPr>
                <w:sz w:val="16"/>
                <w:szCs w:val="16"/>
                <w:color w:val="auto"/>
              </w:rPr>
            </w:pP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14"/>
                <w:szCs w:val="14"/>
                <w:color w:val="auto"/>
              </w:rPr>
              <w:t>(Telephone Number)</w:t>
            </w:r>
          </w:p>
        </w:tc>
        <w:tc>
          <w:tcPr>
            <w:tcW w:w="1660" w:type="dxa"/>
            <w:vAlign w:val="bottom"/>
          </w:tcPr>
          <w:p>
            <w:pPr>
              <w:jc w:val="center"/>
              <w:ind w:left="185"/>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ind w:left="143"/>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0"/>
        </w:trPr>
        <w:tc>
          <w:tcPr>
            <w:tcW w:w="2260" w:type="dxa"/>
            <w:vAlign w:val="bottom"/>
          </w:tcPr>
          <w:p>
            <w:pPr>
              <w:jc w:val="right"/>
              <w:ind w:right="1162"/>
              <w:spacing w:after="0"/>
              <w:rPr>
                <w:sz w:val="20"/>
                <w:szCs w:val="20"/>
                <w:color w:val="auto"/>
              </w:rPr>
            </w:pPr>
            <w:r>
              <w:rPr>
                <w:rFonts w:ascii="Times New Roman" w:cs="Times New Roman" w:eastAsia="Times New Roman" w:hAnsi="Times New Roman"/>
                <w:sz w:val="16"/>
                <w:szCs w:val="16"/>
                <w:b w:val="1"/>
                <w:bCs w:val="1"/>
                <w:color w:val="auto"/>
              </w:rPr>
              <w:t>1-9516</w:t>
            </w: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13-3398766</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8"/>
        </w:trPr>
        <w:tc>
          <w:tcPr>
            <w:tcW w:w="226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333-118021-01</w:t>
            </w: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13-3398767</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Large Accelerated Filer x</w:t>
            </w:r>
          </w:p>
        </w:tc>
        <w:tc>
          <w:tcPr>
            <w:tcW w:w="3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Accelerated Filer o</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Large Accelerated Filer o</w:t>
            </w:r>
          </w:p>
        </w:tc>
        <w:tc>
          <w:tcPr>
            <w:tcW w:w="2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Non-accelerated Filer o</w:t>
            </w:r>
          </w:p>
        </w:tc>
        <w:tc>
          <w:tcPr>
            <w:tcW w:w="3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Smaller Reporting Company o</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Non-accelerated Filer x</w:t>
            </w:r>
          </w:p>
        </w:tc>
        <w:tc>
          <w:tcPr>
            <w:tcW w:w="25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bl>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Times New Roman" w:cs="Times New Roman" w:eastAsia="Times New Roman" w:hAnsi="Times New Roman"/>
          <w:sz w:val="18"/>
          <w:szCs w:val="18"/>
          <w:color w:val="auto"/>
        </w:rPr>
        <w:t>Icahn Enterprises L.P. Yes o No x</w:t>
      </w:r>
      <w:r>
        <w:rPr>
          <w:sz w:val="20"/>
          <w:szCs w:val="20"/>
          <w:color w:val="auto"/>
        </w:rPr>
        <w:tab/>
      </w:r>
      <w:r>
        <w:rPr>
          <w:rFonts w:ascii="Times New Roman" w:cs="Times New Roman" w:eastAsia="Times New Roman" w:hAnsi="Times New Roman"/>
          <w:sz w:val="17"/>
          <w:szCs w:val="17"/>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2016, there were 134,990,612 of Icahn Enterprises' depositary units outstanding.</w:t>
      </w:r>
    </w:p>
    <w:p>
      <w:pPr>
        <w:sectPr>
          <w:pgSz w:w="11900" w:h="16838" w:orient="portrait"/>
          <w:cols w:equalWidth="0" w:num="1">
            <w:col w:w="11420"/>
          </w:cols>
          <w:pgMar w:left="240" w:top="46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9540" w:type="dxa"/>
            <w:vAlign w:val="bottom"/>
            <w:gridSpan w:val="9"/>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2.</w:t>
              </w:r>
            </w:hyperlink>
          </w:p>
        </w:tc>
        <w:tc>
          <w:tcPr>
            <w:tcW w:w="9540" w:type="dxa"/>
            <w:vAlign w:val="bottom"/>
            <w:gridSpan w:val="9"/>
          </w:tcPr>
          <w:p>
            <w:pPr>
              <w:ind w:left="32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49</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3.</w:t>
              </w:r>
            </w:hyperlink>
          </w:p>
        </w:tc>
        <w:tc>
          <w:tcPr>
            <w:tcW w:w="9540" w:type="dxa"/>
            <w:vAlign w:val="bottom"/>
            <w:gridSpan w:val="9"/>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66</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4.</w:t>
              </w:r>
            </w:hyperlink>
          </w:p>
        </w:tc>
        <w:tc>
          <w:tcPr>
            <w:tcW w:w="9540" w:type="dxa"/>
            <w:vAlign w:val="bottom"/>
            <w:gridSpan w:val="9"/>
          </w:tcPr>
          <w:p>
            <w:pPr>
              <w:ind w:left="32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Controls and Procedures.</w:t>
              </w:r>
            </w:hyperlink>
          </w:p>
        </w:tc>
        <w:tc>
          <w:tcPr>
            <w:tcW w:w="540" w:type="dxa"/>
            <w:vAlign w:val="bottom"/>
            <w:gridSpan w:val="4"/>
          </w:tcPr>
          <w:p>
            <w:pPr>
              <w:jc w:val="center"/>
              <w:ind w:left="274"/>
              <w:spacing w:after="0" w:line="202"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w:t>
              </w:r>
            </w:hyperlink>
          </w:p>
        </w:tc>
        <w:tc>
          <w:tcPr>
            <w:tcW w:w="9540" w:type="dxa"/>
            <w:vAlign w:val="bottom"/>
            <w:gridSpan w:val="9"/>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70</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1A.</w:t>
              </w:r>
            </w:hyperlink>
          </w:p>
        </w:tc>
        <w:tc>
          <w:tcPr>
            <w:tcW w:w="9540" w:type="dxa"/>
            <w:vAlign w:val="bottom"/>
            <w:gridSpan w:val="9"/>
          </w:tcPr>
          <w:p>
            <w:pPr>
              <w:ind w:left="32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Risk Factors.</w:t>
              </w:r>
            </w:hyperlink>
          </w:p>
        </w:tc>
        <w:tc>
          <w:tcPr>
            <w:tcW w:w="540" w:type="dxa"/>
            <w:vAlign w:val="bottom"/>
            <w:gridSpan w:val="4"/>
          </w:tcPr>
          <w:p>
            <w:pPr>
              <w:jc w:val="center"/>
              <w:ind w:left="274"/>
              <w:spacing w:after="0" w:line="202"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70</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6.</w:t>
              </w:r>
            </w:hyperlink>
          </w:p>
        </w:tc>
        <w:tc>
          <w:tcPr>
            <w:tcW w:w="9540" w:type="dxa"/>
            <w:vAlign w:val="bottom"/>
            <w:gridSpan w:val="9"/>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71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360"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9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80"/>
          </w:cols>
          <w:pgMar w:left="240" w:top="522"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 except unit amounts)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Limited partners: Depositary units: 132,166,426 and 131,481,059 units issued and outstanding at March 31,</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2016 and December 31, 2015, respectively</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6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(In millions, except per unit amounts)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1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LP units outstanding</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declared per LP unit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60" w:top="360"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9"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allocable to:</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$1,404 million and $1,457 million at March 31,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ind w:left="370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 unit issuance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360"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0"/>
                <w:szCs w:val="20"/>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cash held at consolidated affiliated partnerships and 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business dispositions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the sale and disposition of assets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contributions by non-controlling interests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offering of subsidiary equity</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of assets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r>
      <w:tr>
        <w:trPr>
          <w:trHeight w:val="109"/>
        </w:trPr>
        <w:tc>
          <w:tcPr>
            <w:tcW w:w="8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675"/>
        </w:trPr>
        <w:tc>
          <w:tcPr>
            <w:tcW w:w="81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cash payments (refunds) for income taxes</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payable to Icahn Enterprises unitholders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Investment in Pep Boys prior to acquiring a controlling interest</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Trump prior to acquiring a controlling interest</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LP unit issuance for remaining 25% interest in ARL</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additions included in accrued expenses and other liabilities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 additions included in accounts payable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22"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380" w:type="dxa"/>
            <w:vAlign w:val="bottom"/>
            <w:gridSpan w:val="2"/>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36,427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 Holdings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48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8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9"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 Holdings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Holdings allocable to:</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$1,404 million and $1,457 million at March 31,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12" w:name="page13"/>
    <w:bookmarkEnd w:id="12"/>
    <w:p>
      <w:pPr>
        <w:ind w:left="320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Equity Attributable to Icahn Enterprises Holdings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LP unit issuance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Attributable to Icahn Enterprises Holdings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0"/>
                <w:szCs w:val="20"/>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cash held at consolidated affiliated partnerships and 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business dispositions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the sale and disposition of assets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contribution by non-controlling interests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offering of subsidiary equity</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to non-controlling interests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cash of assets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r>
      <w:tr>
        <w:trPr>
          <w:trHeight w:val="109"/>
        </w:trPr>
        <w:tc>
          <w:tcPr>
            <w:tcW w:w="8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675"/>
        </w:trPr>
        <w:tc>
          <w:tcPr>
            <w:tcW w:w="81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cash payments (refunds) for income taxes</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payable to Icahn Enterprises unitholders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Investment in Pep Boys prior to acquiring a controlling interest</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Trump prior to acquiring a controlling interest</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LP unit issuance for remaining 25% interest in ARL</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additions included in accrued expenses and other liabilities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 additions included in accounts payable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22" w:right="2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2016.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approximately 89.1% of Icahn Enterprises' outstanding depositary units as of March 31, 2016.</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reporting segments is contained in Note 2, “Operating Units,” and Note 13, “Segment Reporting.”</w:t>
      </w:r>
    </w:p>
    <w:p>
      <w:pPr>
        <w:spacing w:after="0" w:line="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76"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2015.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2016, our condensed consolidated financial statements include the accounts of (i) Icahn Enterprises and Icahn Enterprises Holdings and</w:t>
      </w:r>
    </w:p>
    <w:p>
      <w:pPr>
        <w:spacing w:after="0" w:line="27" w:lineRule="exact"/>
        <w:rPr>
          <w:sz w:val="20"/>
          <w:szCs w:val="20"/>
          <w:color w:val="auto"/>
        </w:rPr>
      </w:pPr>
    </w:p>
    <w:p>
      <w:pPr>
        <w:ind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and which are collectively referred to as "kick-out" rights) held through voting interests of partnerships and similar entities that are not VIEs are considered the equivalent of the equity interests of corporations that are not VIEs. All material intercompany accounts and transactions have been eliminated in consolidation.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As further discussed below, the Financial Statement Accounting Standards Board's ("FASB") Accounting Standards Update ("ASU") No. 2015-02 became effective during the first quarter of 2016. ASU No. 2015-02 amends the current consolidation guidance, including introducing a separate consolidation analysis specific to limited partnerships and other similar entities. Specifically, under the revised consolidation analysis, limited partnerships and other similar entities are considered VIEs unless the limited partners hold substantive kick-out rights or participating rights. Although ASU No. 2015-02 changed the status of certain of our limited partnership entities as VIEs (as discussed below), we continue to consolidate these entities because we are the primary beneficiaries of such entities.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See Note 2, "Operating Unit - Investment," for further discussion regarding our Investment segment's business.</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determined that each of the Investment Funds are considered VIEs because these limited partnerships lack both substantive kick-out and participating rights. Because we are the general partner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 Substantially all of the assets and liabilities of our Investment segment pertain to the Investment Funds . See Note 13, "Segment Reporting," for details of our condensed balance sheets for our Investment segment.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Energy Inc. ("CVR"). CVR owns petroleum refining and nitrogen fertilizer manufacturing businesses held through CVR Refining, LP (“CVR Refining”) and CVR Partners, LP (“CVR Partners”), respectively, and each are considered VIEs. See Note 2, "Operating Unit - Energy," for further discussion regarding our Energy segment's business.</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Energy segment determined that CVR Refining and CVR Partners are each considered VIEs because each of these limited partnerships lack both substantive kick-out and participating rights. In addition, our Energy segment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CVR determined that it is the primary beneficiary of both CVR Refining and CVR Partners. Based upon this evaluation, CVR continues to consolidate both CVR Refining and CVR Partners. The assets and liabilities of our Energy segment that are directly related to CVR Refining and CVR Partners included in our condensed consolidated balance sheets are as follows: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2,667</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11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discussed above, Icahn Enterprises Holdings and its subsidiaries own substantially all of our assets and liabilities and conduct substantially all of our operations. 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2016 was approximately $12.5 billion and $12.1 billion, respectively. The carrying value and estimated fair value of our long-term debt as of December 31, 2015 was approximately $12.6 billion and $12.2 billion,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restricted cash balance was $564 million and $966 million as of March 31, 2016 and December 31, 2015,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further discussed in Note 2, "Operating Units - Automotive," we acquired Pep Boys - Manny, Moe and Jack ("Pep Boys") on February 3, 2016. Pep Boys' inventories are valued at lower of cost or market and cost of goods sold is determined using the last-in, first-out ("LIFO") method. Pep Boys is currently the only subsidiary of ours that uses LIFO in determining cost of goods sold. As inventories of Pep Boys have been revalued to fair value as a result of our acquisition on February 3, 2016, there are immaterial differences between inventory balances calculated using LIFO as compared to inventory balances calculated using first-in, first-out as of March 31, 2016.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ind w:right="1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which amends FASB ASC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As a result of adopting this guidance in the first quarter of 2016, while certain of our limited partnership entities are now considered VIEs, we continue to consolidate these limited partnerships. See above for further discussion regarding our VIEs.</w:t>
      </w:r>
    </w:p>
    <w:p>
      <w:pPr>
        <w:spacing w:after="0" w:line="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which amends FASB ASC Subtopic 835-30, </w:t>
      </w:r>
      <w:r>
        <w:rPr>
          <w:rFonts w:ascii="Times New Roman" w:cs="Times New Roman" w:eastAsia="Times New Roman" w:hAnsi="Times New Roman"/>
          <w:sz w:val="18"/>
          <w:szCs w:val="18"/>
          <w:i w:val="1"/>
          <w:iCs w:val="1"/>
          <w:color w:val="auto"/>
        </w:rPr>
        <w:t xml:space="preserve">Interest - Imputation of Interest. </w:t>
      </w:r>
      <w:r>
        <w:rPr>
          <w:rFonts w:ascii="Times New Roman" w:cs="Times New Roman" w:eastAsia="Times New Roman" w:hAnsi="Times New Roman"/>
          <w:sz w:val="18"/>
          <w:szCs w:val="18"/>
          <w:color w:val="auto"/>
        </w:rPr>
        <w:t>The new standard requires that all costs incurred to issue debt be presented in the balance sheet as a direct deduction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amortizing the deferred issuance costs ratably over the term of the line-of-credit arrangement. The standard is effective for interim and annual periods beginning after December 15, 2015 and is required to be applied on a retrospective basis. Early adoption is permitted. The adoption of this guidance resulted in a reclassification of debt issuance costs on our condensed consolidated balance sheets to debt in the amount of $39 million as of December 31, 2015.</w:t>
      </w:r>
    </w:p>
    <w:p>
      <w:pPr>
        <w:spacing w:after="0" w:line="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xml:space="preserve">, which amends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The adoption of this guidance in the first quarter of 2016 did not have a material impact on our condensed consolidated financial position, results of operations, comprehensive income, cash flows and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creating a new topic,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superseding revenue recognition requirements in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Early adoption is permitted only as of the annual reporting periods beginning after December 15, 2016, including interim reporting periods within that reporting period. We are currently evaluating the impact of this guidance on our consolidated financial position, results of operations, comprehensive income, cash flows and disclosures.</w:t>
      </w:r>
    </w:p>
    <w:p>
      <w:pPr>
        <w:spacing w:after="0" w:line="8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xml:space="preserve">, which amends FASB ASC Topic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75"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w:t>
      </w:r>
      <w:r>
        <w:rPr>
          <w:rFonts w:ascii="Times New Roman" w:cs="Times New Roman" w:eastAsia="Times New Roman" w:hAnsi="Times New Roman"/>
          <w:sz w:val="18"/>
          <w:szCs w:val="18"/>
          <w:color w:val="auto"/>
        </w:rPr>
        <w:t xml:space="preserve">, which amends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position, results of operations, comprehensive income, cash flows and disclosures.</w:t>
      </w:r>
    </w:p>
    <w:p>
      <w:pPr>
        <w:spacing w:after="0" w:line="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FASB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ASU requires the recognition of lease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are currently evaluating the impact of this guidance on our consolidated financial position, results of operations, comprehensive income, cash flows and disclosures.</w:t>
      </w:r>
    </w:p>
    <w:p>
      <w:pPr>
        <w:spacing w:after="0" w:line="75"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Simplifying the transition to equity method of accounting</w:t>
      </w:r>
      <w:r>
        <w:rPr>
          <w:rFonts w:ascii="Times New Roman" w:cs="Times New Roman" w:eastAsia="Times New Roman" w:hAnsi="Times New Roman"/>
          <w:sz w:val="18"/>
          <w:szCs w:val="18"/>
          <w:color w:val="auto"/>
        </w:rPr>
        <w:t xml:space="preserve">, which amends FASB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This ASU eliminates the retroactive adjustment of an investment that qualifies for the equity method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an increase in the level of ownership or degree of influence as if the equity method had been in effect during all previous periods that the investment had been held. The amendments in this ASU are effective for interim and annual fiscal years beginning after December 15, 2016. Earlier application is permitted. We anticipate that the adoption of this guidance will have minimal impact on our consolidated financial position, results of operations, comprehensive income, cash flows and disclosures.</w:t>
      </w:r>
    </w:p>
    <w:p>
      <w:pPr>
        <w:spacing w:after="0" w:line="75"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2016-08, </w:t>
      </w:r>
      <w:r>
        <w:rPr>
          <w:rFonts w:ascii="Times New Roman" w:cs="Times New Roman" w:eastAsia="Times New Roman" w:hAnsi="Times New Roman"/>
          <w:sz w:val="18"/>
          <w:szCs w:val="18"/>
          <w:i w:val="1"/>
          <w:iCs w:val="1"/>
          <w:color w:val="auto"/>
        </w:rPr>
        <w:t>Principal versus agent considerations (reporting revenue gross versus net),</w:t>
      </w:r>
      <w:r>
        <w:rPr>
          <w:rFonts w:ascii="Times New Roman" w:cs="Times New Roman" w:eastAsia="Times New Roman" w:hAnsi="Times New Roman"/>
          <w:sz w:val="18"/>
          <w:szCs w:val="18"/>
          <w:color w:val="auto"/>
        </w:rPr>
        <w:t xml:space="preserve"> which amends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This ASU clarifies the implementation guidance on principal versus agent considerations, including providing guidance on indicators to assist in the evaluation as to whether an entity controls a specified good or service before it is transferred to the customers. The amendments in this ASU is effective the same time that FASB ASU No. 2014-09 becomes effective. We are currently evaluating the impact of this guidance on our consolidated financial position, results of operations, comprehensive income, cash flows and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Filing Status of Subsidiaries</w:t>
      </w:r>
    </w:p>
    <w:p>
      <w:pPr>
        <w:spacing w:after="0" w:line="121"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7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had interests in the Investment Funds with a fair value of approximately $1.8 billion and $3.4 billion as of March 31, 2016 and December 31, 2015,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jc w:val="both"/>
        <w:ind w:right="240" w:firstLine="378"/>
        <w:spacing w:after="0" w:line="266" w:lineRule="auto"/>
        <w:rPr>
          <w:sz w:val="20"/>
          <w:szCs w:val="20"/>
          <w:color w:val="auto"/>
        </w:rPr>
      </w:pPr>
      <w:r>
        <w:rPr>
          <w:rFonts w:ascii="Times New Roman" w:cs="Times New Roman" w:eastAsia="Times New Roman" w:hAnsi="Times New Roman"/>
          <w:sz w:val="18"/>
          <w:szCs w:val="18"/>
          <w:color w:val="auto"/>
        </w:rPr>
        <w:t>We conduct our Automotive segment through our majority ownership in Federal-Mogul Holdings Corporation ("Federal-Mogul"), our wholly owned subsidiary IEH Auto Parts Holding LLC ("IEH Auto"), effective June 1, 2015, and our wholly owned subsidiary Pep Boys, effective February 3, 2016 (see acquisition below).</w:t>
      </w:r>
    </w:p>
    <w:p>
      <w:pPr>
        <w:spacing w:after="0" w:line="68"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2"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owned approximately 82.0% of the total outstanding common stock of Federal-Mogul.</w:t>
      </w:r>
    </w:p>
    <w:p>
      <w:pPr>
        <w:spacing w:after="0" w:line="117"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On February 28, 2016, Icahn Enterprises issued a proposal to the board of directors of Federal-Mogul to purchase the remaining shares of Federal-Mogul common stock not owned by us in a merger transaction pursuant to which Federal-Mogul shareholders would receive $7.00 per share in cash for their shares of Federal-Mogul common stock. Federal-Mogul’s board of directors subsequently authorized the formation of a special committee consisting of three of the four independent members of Federal-Mogul's board of directors to review and evaluate this proposal and any alternative transactions involving Federal-Mogul. Following its formation, the special committee engaged Houlihan Lokey Capital, Inc. as its financial advisor and Richards, Layton &amp; Finger as its legal counsel. The special committee, working with its advisors, has commenced its review and evaluation of Icahn Enterprises' proposal and alternatives thereto. Subsequent to submitting its proposal, Icahn Enterprises advised Federal-Mogul's board of directors that it was not considering selling its stake in Federal-Mogul at the current time.</w:t>
      </w:r>
    </w:p>
    <w:p>
      <w:pPr>
        <w:spacing w:after="0" w:line="77"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80"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IEH Auto has 32 distribution centers and satellite locations and 274 corporate-owned jobber stores in the United States and supports a network of more than 2,000 independent wholesalers. Through its banner and technical support programs as well as its offering of premium auto parts, IEH Auto has built its reputation on being the partner of choice for independent entrepreneurs eager to tap into the strength of large network.</w:t>
      </w:r>
    </w:p>
    <w:p>
      <w:pPr>
        <w:spacing w:after="0" w:line="68" w:lineRule="exact"/>
        <w:rPr>
          <w:sz w:val="20"/>
          <w:szCs w:val="20"/>
          <w:color w:val="auto"/>
        </w:rPr>
      </w:pPr>
    </w:p>
    <w:p>
      <w:pPr>
        <w:jc w:val="both"/>
        <w:ind w:right="140" w:firstLine="378"/>
        <w:spacing w:after="0" w:line="266" w:lineRule="auto"/>
        <w:rPr>
          <w:sz w:val="20"/>
          <w:szCs w:val="20"/>
          <w:color w:val="auto"/>
        </w:rPr>
      </w:pPr>
      <w:r>
        <w:rPr>
          <w:rFonts w:ascii="Times New Roman" w:cs="Times New Roman" w:eastAsia="Times New Roman" w:hAnsi="Times New Roman"/>
          <w:sz w:val="18"/>
          <w:szCs w:val="18"/>
          <w:color w:val="auto"/>
        </w:rPr>
        <w:t>Pep Boys and IEH Auto are being operated together in order to grow their sales to do-it-for-me ("DIFM") distributors and DIFM service professionals, to grow their automotive service business, and to maintain their do-it-yourself customer bases by offering the newest and broadest product assortment in the automotive aftermarket.</w:t>
      </w:r>
    </w:p>
    <w:p>
      <w:pPr>
        <w:spacing w:after="0" w:line="68"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In addition, Federal-Mogul is operated independently from Pep Boys and IEH Auto. Transactions among Federal-Mogul, Pep Boys and IEH Auto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Pep Boys Acquisition</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February 3, 2016, pursuant to a tender offer, Icahn Enterprises acquired a majority of the outstanding shares of Pep Boys.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total value for the acquisition of Pep Boys was approximately $1.2 billion, including the fair value of our equity interest in Pep Boys just prior to our acquisition of a controlling interest.</w:t>
      </w:r>
    </w:p>
    <w:p>
      <w:pPr>
        <w:spacing w:after="0" w:line="7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Prior to obtaining a controlling interest, we remeasured our equity interest in Pep Boys to its acquisition-date fair value of $121 million. The difference between the carrying value and the acquisition-date fair value of our equity interest in Pep Boys was immaterial.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33" w:right="2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preliminary valuation of the net assets of the Pep Boys acquisition resulted in $943 million allocated to tangible net assets and $293 million allocated to goodwill and other intangible net assets as of the acquisition date. Our allocation to other intangible net assets includes $69 million allocated to unfavorable leases liability which is included in accrued expenses and other liabilities on the condensed consolidated balance sheets. We are in the process of valuing the Pep Boys acquisition and have recorded provisional amounts based on preliminary estimates of fair value of net assets acquired, including goodwill. The provisional measurements of net assets are subject to change as we finalize the purchase price allocation. The acquisition of Pep Boys was not material, individually or in the aggregate with the Trump (as defined below) business acquisition, to our condensed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right="300" w:firstLine="405"/>
        <w:spacing w:after="0" w:line="255"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$491 million and $408 million as of March 31, 2016 and December 31, 2015, respectively. Of those gross amounts, $479 million and $401 million, respectively, qualify as sales as defined in FASB ASC Topic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within accounts receivable, net and debt. Under the terms of these facilities, Federal-Mogul is not obligated to draw cash immediately upon the transfer of accounts receivable. As of March 31, 2016 and December 31, 2015, Federal-Mogul had withdrawn cash related to such transferred receivables of $1 million and $1 million, respectively. Proceeds from the transfers of accounts receivable qualifying as sales were $413 million and $390 million for the three months ended March 31, 2016 and 2015, respectively.</w:t>
      </w:r>
    </w:p>
    <w:p>
      <w:pPr>
        <w:spacing w:after="0" w:line="7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2016 and 2015, expenses associated with transfers of receivables were $3 million and $2 million,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2" w:lineRule="exact"/>
        <w:rPr>
          <w:sz w:val="20"/>
          <w:szCs w:val="20"/>
          <w:color w:val="auto"/>
        </w:rPr>
      </w:pPr>
    </w:p>
    <w:p>
      <w:pPr>
        <w:jc w:val="both"/>
        <w:ind w:right="180" w:firstLine="405"/>
        <w:spacing w:after="0" w:line="282" w:lineRule="auto"/>
        <w:rPr>
          <w:sz w:val="20"/>
          <w:szCs w:val="20"/>
          <w:color w:val="auto"/>
        </w:rPr>
      </w:pPr>
      <w:r>
        <w:rPr>
          <w:rFonts w:ascii="Times New Roman" w:cs="Times New Roman" w:eastAsia="Times New Roman" w:hAnsi="Times New Roman"/>
          <w:sz w:val="18"/>
          <w:szCs w:val="18"/>
          <w:color w:val="auto"/>
        </w:rPr>
        <w:t>Certain of the facilities contain terms that require Federal-Mogul to share in the credit risk of the sold receivables. The maximum exposure to Federal-Mogul associated with certain of these facilities' terms were $4 million and $11 million as of March 31, 2016 and December 31, 2015,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and 2015, Federal-Mogul recorded $15 million and $12 million, respectively, in restructuring charges. These restructuring charges,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Federal-Mogul's restructuring expenses for the three months ended March 31,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charges of approximately $5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280" w:firstLine="405"/>
        <w:spacing w:after="0" w:line="255"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and CVR Partners, respectively. CVR Refining is an independent petroleum refiner and marketer of high value transportation fuels. CVR Partners produces and markets nitrogen fertilizers in the form of urea ammonium nitrate ("UAN") and ammonia. As of March 31, 2016, CVR owned 100% of the general partners of CVR Refining and CVR Partners and approximately 66% of the common units of CVR Refining and approximately 53% of the common units of CVR Partners. Immediately subsequent to the completion of the mergers, as discussed below, CVR held approximately 34% of the outstanding common units of CVR Partners and 100% of the general partner interest.</w:t>
      </w:r>
    </w:p>
    <w:p>
      <w:pPr>
        <w:spacing w:after="0" w:line="81" w:lineRule="exact"/>
        <w:rPr>
          <w:sz w:val="20"/>
          <w:szCs w:val="20"/>
          <w:color w:val="auto"/>
        </w:rPr>
      </w:pPr>
    </w:p>
    <w:p>
      <w:pPr>
        <w:ind w:right="260" w:firstLine="405"/>
        <w:spacing w:after="0" w:line="279" w:lineRule="auto"/>
        <w:rPr>
          <w:sz w:val="20"/>
          <w:szCs w:val="20"/>
          <w:color w:val="auto"/>
        </w:rPr>
      </w:pPr>
      <w:r>
        <w:rPr>
          <w:rFonts w:ascii="Times New Roman" w:cs="Times New Roman" w:eastAsia="Times New Roman" w:hAnsi="Times New Roman"/>
          <w:sz w:val="18"/>
          <w:szCs w:val="18"/>
          <w:color w:val="auto"/>
        </w:rPr>
        <w:t>As of March 31, 2016, we owned approximately 82.0% of the total outstanding common stock of CVR. In addition, as of March 31, 2016, we owned approximately 4.0% of the total outstanding common units of CVR Refining directly.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CVR Partners - Rentech Mergers</w:t>
      </w:r>
    </w:p>
    <w:p>
      <w:pPr>
        <w:spacing w:after="0" w:line="162" w:lineRule="exact"/>
        <w:rPr>
          <w:sz w:val="20"/>
          <w:szCs w:val="20"/>
          <w:color w:val="auto"/>
        </w:rPr>
      </w:pPr>
    </w:p>
    <w:p>
      <w:pPr>
        <w:ind w:right="720" w:firstLine="378"/>
        <w:spacing w:after="0" w:line="282" w:lineRule="auto"/>
        <w:rPr>
          <w:sz w:val="20"/>
          <w:szCs w:val="20"/>
          <w:color w:val="auto"/>
        </w:rPr>
      </w:pPr>
      <w:r>
        <w:rPr>
          <w:rFonts w:ascii="Times New Roman" w:cs="Times New Roman" w:eastAsia="Times New Roman" w:hAnsi="Times New Roman"/>
          <w:sz w:val="18"/>
          <w:szCs w:val="18"/>
          <w:color w:val="auto"/>
        </w:rPr>
        <w:t>On April 1, 2016, CVR Partners completed its merger with Rentech Nitrogen Partners, L.P., now known as East Dubuque Nitrogen, L.P. ("East Dubuque"), a publicly traded partnership whose common units were formerly listed on the New York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Stock Exchange under the ticker symbol "RNF", and Rentech Nitrogen GP, LLC, now known as East Dubuque Nitrogen GP, LLC ("East Dubuque GP"), pursuant to which CVR Partners acquired East Dubuque and East Dubuque GP.</w:t>
      </w:r>
    </w:p>
    <w:p>
      <w:pPr>
        <w:spacing w:after="0" w:line="54" w:lineRule="exact"/>
        <w:rPr>
          <w:sz w:val="20"/>
          <w:szCs w:val="20"/>
          <w:color w:val="auto"/>
        </w:rPr>
      </w:pPr>
    </w:p>
    <w:p>
      <w:pPr>
        <w:ind w:right="460" w:firstLine="378"/>
        <w:spacing w:after="0" w:line="282" w:lineRule="auto"/>
        <w:rPr>
          <w:sz w:val="20"/>
          <w:szCs w:val="20"/>
          <w:color w:val="auto"/>
        </w:rPr>
      </w:pPr>
      <w:r>
        <w:rPr>
          <w:rFonts w:ascii="Times New Roman" w:cs="Times New Roman" w:eastAsia="Times New Roman" w:hAnsi="Times New Roman"/>
          <w:sz w:val="18"/>
          <w:szCs w:val="18"/>
          <w:color w:val="auto"/>
        </w:rPr>
        <w:t>In connection with the merger, CVR Partners issued approximately 40.2 million common units to East Dubuque common unitholders and paid $99 million in cash consideration.</w:t>
      </w:r>
    </w:p>
    <w:p>
      <w:pPr>
        <w:spacing w:after="0" w:line="54"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East Dubuque’s debt arrangements that remained in place until the closing date of the mergers included $320 million of Second Lien Notes due 2021 ("Second Lien Notes"). East Dubuque is required under the change of control provision within the indenture governing the Second Lien Notes to offer to purchase, within 90 days of the mergers, all outstanding Second Lien Notes at a price equal to 101% of the principal amount thereof, plus accrued and unpaid interest thereon to the date of purchase. On April 1, 2016, in connection with the closing of the mergers, CVR Partners entered into a new $320 million senior term loan facility with AEPC, a wholly owned subsidiary of Icahn Enterprises, as the lender, which (i) may be used by CVR to provide funds to East Dubuque to make a change of control offer and, and if applicable, a "clean-up" redemption in accordance with the indenture governing the Second Lien Notes or (ii) may be used by CVR Partners or East Dubuque to make a tender offer for the Second Lien Notes and, in each case, pay fees and expenses thereto.</w:t>
      </w:r>
    </w:p>
    <w:p>
      <w:pPr>
        <w:spacing w:after="0" w:line="8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East Dubuque, located in East Dubuque, Illinois, owns and operates two fertilizer facilities, producing primarily ammonia and UAN using natural gas as its facility's primary feedstock. The primary reasons for the mergers were to expand CVR Partners geographical footprint, diversify its raw material feedstocks, widen its customer reach and increase its potential cash-flow generation.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Petroleum Business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refineries, CVR's petroleum business owns and operates the following: (i) a crude oil gathering system with a gathering capacity of over 65,000 barrels per day ("bpd") serving Kansas, Oklahoma, Missouri, Nebraska, Colorado and Texas; (ii) a 170,000 bpd pipeline system (supported by approximately 336 miles of active owned and leased pipeline) that transports crude oil to its Coffeyville refinery from its Broome Station facility near Caney, Kansas; (iii) approximately 6.4 million barrels of company owned and leased crude oil storage capacity; (iv)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(v) over 4.5 million barrels of combined refinery related storage capacity.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Nitrogen Fertilizer Business</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CVR Partners' nitrogen fertilizer business consists of a nitrogen fertilizer manufacturing facility that utilizes a petroleum coke, or pet coke, gasification process to produce nitrogen fertilizer. The facility includes a 1,300 ton-per-day ammonia unit, a 3,000 ton-per-day UAN unit and a gasifier complex having a capacity of 89 million standard cubic feet per day of hydrogen. The gasifier is a dual-train facility, with each gasifier able to function independently of the other, thereby providing redundancy and improving reliability.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 PSC Metals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1100"/>
        <w:spacing w:after="0" w:line="375" w:lineRule="auto"/>
        <w:rPr>
          <w:sz w:val="20"/>
          <w:szCs w:val="20"/>
          <w:color w:val="auto"/>
        </w:rPr>
      </w:pPr>
      <w:r>
        <w:rPr>
          <w:rFonts w:ascii="Times New Roman" w:cs="Times New Roman" w:eastAsia="Times New Roman" w:hAnsi="Times New Roman"/>
          <w:sz w:val="18"/>
          <w:szCs w:val="18"/>
          <w:color w:val="auto"/>
        </w:rPr>
        <w:t xml:space="preserve">also purchases end of life vehicles, dismantles those vehicles, resells valuable parts, and ships the resulting vehicle hulks to our shredder yards. </w:t>
      </w:r>
      <w:r>
        <w:rPr>
          <w:rFonts w:ascii="Times New Roman" w:cs="Times New Roman" w:eastAsia="Times New Roman" w:hAnsi="Times New Roman"/>
          <w:sz w:val="18"/>
          <w:szCs w:val="18"/>
          <w:b w:val="1"/>
          <w:bCs w:val="1"/>
          <w:i w:val="1"/>
          <w:iCs w:val="1"/>
          <w:color w:val="auto"/>
        </w:rPr>
        <w:t>Railcar</w:t>
      </w:r>
    </w:p>
    <w:p>
      <w:pPr>
        <w:spacing w:after="0" w:line="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interest in ARI and our wholly owned subsidiary American Railcar Leasing, LLC ("ARL").</w:t>
      </w:r>
    </w:p>
    <w:p>
      <w:pPr>
        <w:spacing w:after="0" w:line="5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ARI manufactures railcars that are offered for sale or lease, custom and standard railcar components and other industrial products, primarily aluminum and special alloy steel castings. These products are sold to various types of companies including shippers, leasing companies, industrial companies, and Class I railroads. ARI leases railcars that it manufactures to certain markets that include the energy, food and agriculture, chemical, minerals and petrochemical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76"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owned approximately 60.7% of the total outstanding common stock of ARI.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and our wholly owned subsidiary, Trump Entertainment Resorts, Inc. (“Trump”) which owns and operates Trump Taj Mahal Casino Resort. As discussed below, we obtained control and began consolidating the results of Trump upon its emergence from bankruptcy on February 26, 2016.</w:t>
      </w:r>
    </w:p>
    <w:p>
      <w:pPr>
        <w:spacing w:after="0" w:line="6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Tropicana owns and operates a diversified, multi-jurisdictional collection of casino gaming properties. The eight casino facilities it operates feature approximately 392,000 square feet of gaming space with 7,900 slot machines, 270 table games and 5,500 hotel rooms with two casino facilities located in Nevada and one in each of Mississippi, Missouri, Indiana, Louisiana, New Jersey and Aruba.</w:t>
      </w:r>
    </w:p>
    <w:p>
      <w:pPr>
        <w:spacing w:after="0" w:line="6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Trump owns and operates Trump Taj Mahal Casino Resort ("Trump Taj Mahal") which is located in Atlantic City, New Jersey. Trump Taj Mahal features approximately 160,000 square feet of gaming space with 2,500 slot machines, 130 table games and 2,000 hotel rooms. In addition, Trump also owns an idled casino property in Atlantic City, New Jersey, Trump Plaza Hotel and Casino, which ceased operations in September 2014.</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owned approximately 68.5% of the total outstanding common stock of Tropicana.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Trump Acquisition</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September 9, 2014, Trump and its subsidiaries filed voluntary Chapter 11 petitions in the United States Bankruptcy Court for the District of Delaware in Wilmington, Delaware. On February 26, 2016 (the "Effective Date"), Trump emerged from bankruptcy. Icahn Enterprises was the sole holder of Trump's senior secured debt. On the Effective Date, among other things, the existing pre-petition senior secured debt with a face amount of $286 million held by Icahn Enterprises was extinguished and converted into 100% of Trump’s New Common Stock (as defined in the bankruptcy plan). As a result, we became the 100% owner of Trump after reorganization and accordingly, obtained control and began consolidating the results of Trump on February 26, 2016. We accounted for this this acquisition as a business combination under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Prior to obtaining a controlling interest in Trump upon its emergence from bankruptcy, we remeasured our interest in Trump to its acquisition-date fair value of $126 million, resulting in a $16 million gain on investment activities.</w:t>
      </w:r>
    </w:p>
    <w:p>
      <w:pPr>
        <w:spacing w:after="0" w:line="1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preliminary valuation of the net assets of the Trump business resulted in $109 million allocated to tangible net assets and $17 million to trademarks and brand names. We are in the process of valuing the Trump acquisition and have recorded provisional amounts based on preliminary estimates of fair value of net assets acquired. The provisional measurements of net assets are subject to change as we finalize the purchase price allocation. Additionally, at the acquisition date, Trump had a full valuation allowance on its deferred tax assets. We are in the process of obtaining the information necessary for evaluating the valuation allowance and deferred tax assets acquired. It is possible that a portion of the valuation allowance on the Trump deferred tax assets will be adjusted in future periods. The acquisition of Trump was not material, individually or in the aggregate with the Pep Boys acquisition, to our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conduct our Mining segment through our majority ownership in Ferrous Resources. We obtained control of and consolidated the results of Ferrous Resources during the second quarter of 2015.</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76" w:lineRule="exact"/>
        <w:rPr>
          <w:sz w:val="20"/>
          <w:szCs w:val="20"/>
          <w:color w:val="auto"/>
        </w:rPr>
      </w:pPr>
    </w:p>
    <w:p>
      <w:pPr>
        <w:ind w:right="400" w:firstLine="392"/>
        <w:spacing w:after="0" w:line="266" w:lineRule="auto"/>
        <w:rPr>
          <w:sz w:val="20"/>
          <w:szCs w:val="20"/>
          <w:color w:val="auto"/>
        </w:rPr>
      </w:pPr>
      <w:r>
        <w:rPr>
          <w:rFonts w:ascii="Times New Roman" w:cs="Times New Roman" w:eastAsia="Times New Roman" w:hAnsi="Times New Roman"/>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owned approximately 77.2% of the total outstanding common stock of Ferrous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six distribution centers and three service centers throughout North America, Europe, South America and Asia and derives approximately 69% of its total net sales from customers located outside the United States for the three months ended March 31, 2016.</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owned approximately 73.3% of the total outstanding common stock of Viskase.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Real Estate segment consists of rental real estate, property development and club activities.</w:t>
      </w:r>
    </w:p>
    <w:p>
      <w:pPr>
        <w:spacing w:after="0" w:line="11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of March 31, 2016, we owned 15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 units of residential housing, respectively. Both our developments operate golf and club operations as well. In addition, our Real Estate segment owns an unfinished development property which is located on approximately 23 acres in Las Vegas, Nevada.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8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3" w:right="2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During the three months ended March 31, 2016 and 2015, affiliates of Mr. Icahn made investments aggregating $490 million and $245 million, respectively, in the Investment Funds. As of March 31, 2016 and December 31, 2015, the total fair market value of investments in the Investment Funds made by Mr. Icahn and his affiliates (excluding Icahn Enterprises and Icahn Enterprises Holdings) was approximately $4.1 billion and $4.1 billion, respectively, representing approximately 69% and 55%, respectively, of the Investment Funds' assets under management.</w:t>
      </w:r>
    </w:p>
    <w:p>
      <w:pPr>
        <w:spacing w:after="0" w:line="7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Icahn Capital LP ("Icahn Capital") pays for expenses pertaining to the operation, administration and investment activities of our Investment segment for the benefit of the Investment Funds (including salaries, benefits and rent). Effective April 1, 2011, based on an expense-sharing arrangement, certain expenses borne by Icahn Capital are reimbursed by the Investment Funds. For the three months ended March 31, 2016 and 2015, $(12) million and $98 million, respectively, was allocated to the Investment Funds based on this expense-sharing arrangement. The expense reversal for the three months ended March 31, 2016 was primarily due to a reversal of performance related compensation expense accrual.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ARL Acquisition</w:t>
      </w:r>
    </w:p>
    <w:p>
      <w:pPr>
        <w:spacing w:after="0" w:line="119"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On February 29, 2016, Icahn Enterprises entered into a contribution agreement with IRL Holding, LLC ("IRL"), an affiliate of Mr. Icahn, to acquire the remaining 25% economic interest in ARL not already owned by us. Pursuant to this contribution agreement, we contributed 685,367 newly issued depositary units of Icahn Enterprises to IRL in exchange for the remaining 25% economic interest in ARL. As a result of the transaction, we own a 100.0% economic interest in 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ACF Industries LLC</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76"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customers. ARI may provide designs, engineering and purchasing support, including all materials and components to ACF. Subject to certain early termination events, the agreement terminates on December 31, 2020.</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2016 and 2015, ARI purchased $2 million and $3 million, respectively, of components from ACF.</w:t>
      </w:r>
    </w:p>
    <w:p>
      <w:pPr>
        <w:spacing w:after="0" w:line="11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November 2015, ARI and ACF amended this agreement to, among other provisions, extend the termination date to December 31, 2016 from December 31, 2015, subject to certain early termination events.</w:t>
      </w:r>
    </w:p>
    <w:p>
      <w:pPr>
        <w:spacing w:after="0" w:line="77"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7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7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ARI's revenues under this agreement were $1 million and $2 million for the three months ended March 31, 2016 and 2015, respectively, and were recorded for sales of railcar components to ACF and for royalties and profits on railcars sold by ACF.</w:t>
      </w:r>
    </w:p>
    <w:p>
      <w:pPr>
        <w:spacing w:after="0" w:line="5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April 2013, AEP Leasing entered into an agreement (the "ACF Agreement") with ACF whereby AEP Leasing would purchase railcars from ACF. The ACF Agreement was assumed by ARL in connection with our purchase of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$9 million for the three months ended March 31, 2015. There were no purchase of railcars from ACF under this agreement for the three months ended March 31, 2016.</w:t>
      </w:r>
    </w:p>
    <w:p>
      <w:pPr>
        <w:spacing w:after="0" w:line="80"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above purchases, on a contract-by-contract basis, ARL purchased $12 million and $5 million of railcars from ACF for the three months ended March 31, 2016 and 2015,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 Portfolio Group LLC</w:t>
      </w:r>
    </w:p>
    <w:p>
      <w:pPr>
        <w:spacing w:after="0" w:line="121"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2013,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PSC Metals, ARI, ARL, Tropicana, Viskase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three months ended March 31, 2016 and 2015, immaterial amounts were paid in respect to certain of Insight Portfolio Group's operating expenses.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 Investment." The carrying value and detail of security type and business sector with respect to investments and securities sold, not yet purchased held by our Investment segment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35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22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560" w:type="dxa"/>
            <w:vAlign w:val="bottom"/>
          </w:tcPr>
          <w:p>
            <w:pPr>
              <w:spacing w:after="0"/>
              <w:rPr>
                <w:sz w:val="20"/>
                <w:szCs w:val="20"/>
                <w:color w:val="auto"/>
              </w:rPr>
            </w:pPr>
          </w:p>
        </w:tc>
        <w:tc>
          <w:tcPr>
            <w:tcW w:w="4560" w:type="dxa"/>
            <w:vAlign w:val="bottom"/>
          </w:tcPr>
          <w:p>
            <w:pPr>
              <w:jc w:val="right"/>
              <w:ind w:right="3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Borders>
              <w:top w:val="single" w:sz="8" w:color="auto"/>
            </w:tcBorders>
          </w:tcPr>
          <w:p>
            <w:pPr>
              <w:spacing w:after="0"/>
              <w:rPr>
                <w:sz w:val="20"/>
                <w:szCs w:val="20"/>
                <w:color w:val="auto"/>
              </w:rPr>
            </w:pPr>
          </w:p>
        </w:tc>
      </w:tr>
      <w:tr>
        <w:trPr>
          <w:trHeight w:val="25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4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 materials</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Diversified</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Technology</w:t>
            </w:r>
          </w:p>
        </w:tc>
        <w:tc>
          <w:tcPr>
            <w:tcW w:w="4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14,324</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Sovereign debt</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Utilities</w:t>
            </w:r>
          </w:p>
        </w:tc>
        <w:tc>
          <w:tcPr>
            <w:tcW w:w="4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60" w:type="dxa"/>
            <w:vAlign w:val="bottom"/>
          </w:tcPr>
          <w:p>
            <w:pPr>
              <w:spacing w:after="0"/>
              <w:rPr>
                <w:sz w:val="19"/>
                <w:szCs w:val="19"/>
                <w:color w:val="auto"/>
              </w:rPr>
            </w:pPr>
          </w:p>
        </w:tc>
        <w:tc>
          <w:tcPr>
            <w:tcW w:w="4720" w:type="dxa"/>
            <w:vAlign w:val="bottom"/>
            <w:gridSpan w:val="2"/>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4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portion of trading gains (loss) that relates to trading securities still held by our Investment segment for the three months ended March 31, 2016 and 2015 was $(174) million and $458 million, respectively.</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 of investments held by our other segments and our Holding Company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and non-financial assets and/or liabilities measured and reported at fair value are classified and disclosed in one of the following categories:</w:t>
      </w:r>
    </w:p>
    <w:p>
      <w:pPr>
        <w:spacing w:after="0" w:line="117" w:lineRule="exact"/>
        <w:rPr>
          <w:sz w:val="20"/>
          <w:szCs w:val="20"/>
          <w:color w:val="auto"/>
        </w:rPr>
      </w:pPr>
    </w:p>
    <w:p>
      <w:pPr>
        <w:ind w:left="420" w:right="140"/>
        <w:spacing w:after="0" w:line="313" w:lineRule="auto"/>
        <w:rPr>
          <w:sz w:val="20"/>
          <w:szCs w:val="20"/>
          <w:color w:val="auto"/>
        </w:rPr>
      </w:pPr>
      <w:r>
        <w:rPr>
          <w:rFonts w:ascii="Times New Roman" w:cs="Times New Roman" w:eastAsia="Times New Roman" w:hAnsi="Times New Roman"/>
          <w:sz w:val="17"/>
          <w:szCs w:val="17"/>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30"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72" w:lineRule="exact"/>
        <w:rPr>
          <w:sz w:val="20"/>
          <w:szCs w:val="20"/>
          <w:color w:val="auto"/>
        </w:rPr>
      </w:pPr>
    </w:p>
    <w:p>
      <w:pPr>
        <w:ind w:left="420" w:right="140"/>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investments, derivative contracts, securities sold not yet purchased and other liabilities by the above fair value hierarchy levels measured on a recurring and non-recurring basis as of March 31, 2016 and 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180" w:hanging="172"/>
        <w:spacing w:after="0" w:line="23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are classified within other assets in our condensed consolidated balance sheets.</w:t>
      </w:r>
    </w:p>
    <w:p>
      <w:pPr>
        <w:spacing w:after="0" w:line="17"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are classified within accrued expenses and other liabilities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-241300</wp:posOffset>
            </wp:positionV>
            <wp:extent cx="513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 for Which We Use Level 3 Inputs to Determine Fair Value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unrealized gains (losses)</w:t>
            </w:r>
          </w:p>
        </w:tc>
        <w:tc>
          <w:tcPr>
            <w:tcW w:w="10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(out) in</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we transferred out a Level 3 corporate debt investment in the amount of $126 million. See Note 2, "Operating Units - Gaming," for further discussion regarding this transaction.</w:t>
      </w:r>
    </w:p>
    <w:p>
      <w:pPr>
        <w:spacing w:after="0" w:line="54"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During 2015, the Holding Company made a certain investment classified as trading securities, which is considered a Level 3 investment due to unobservable market data and is measured at fair value on a recurring basis. We purchased an additional $50 million of this investment during the three months ended March 31, 2016. We determined the fair value of this investment using internally developed models and other valuation techniques. As of March 31, 2016 and December 31, 2015, the fair value of this investment was $207 million and $157 million, respectively.</w:t>
      </w:r>
    </w:p>
    <w:p>
      <w:pPr>
        <w:spacing w:after="0" w:line="7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included in earnings for the three months ended March 31, 2016 related to Level 3 investments still held at March 31, 2016 by our Investment and Gaming segments and the Holding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 for Which We Use Level 3 Inputs to Determine Fair Value</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have certain investments in debt securities classified as held-to-maturity within our Gaming segment since we have the ability and intent to hold the bonds to maturity. The debt securities are classified as Level 3 investments measured at fair value on a non-recurring basis and therefore are excluded from the roll forward of Level 3 investments measured on a recurring basis above. As of March 31, 2016 and December 31, 2015, the fair value of these debt securities was $22 million and $9 million, respectively, with the increase resulting from our acquisition of Trump during the first quarter of 2016.</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our Energy segment recorded a goodwill impairment charge of 574 million, which represented the full amount of the remaining goodwill allocated to this segment. Refer to Note 8, "Goodwill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Intangible Assets, Net," for further discussion. Additionally, during the three months ended March 31, 2016, our Automotive segment recorded $3 million of impairment relating to property, plant and equipment.</w:t>
      </w:r>
    </w:p>
    <w:p>
      <w:pPr>
        <w:spacing w:after="0" w:line="1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and Holding Company</w:t>
      </w:r>
    </w:p>
    <w:p>
      <w:pPr>
        <w:spacing w:after="0" w:line="121"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 investments in securities and amounts due from brokers are partially restricted until we satisfy the obligation to deliver the securities sold, not yet purchased.</w:t>
      </w:r>
    </w:p>
    <w:p>
      <w:pPr>
        <w:spacing w:after="0" w:line="7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6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8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March 31, 2016, the maximum payout amounts relating to certain put options written by the Investment Funds were $830 million, of which $830 million related to covered put options on existing short positions on certain stock and credit indices. At December 31, 2015, the maximum payout amounts relating to certain put options written by the Investment Funds were approximately $5.9 billion, of which approximately $5.9 billion related to covered put options on existing short positions on certain stock and credit indices. As of March 31, 2016 and December 31, 2015, there were unrealized gains of $10 million and $67 million, respectively, with respect to these put options.</w:t>
      </w:r>
    </w:p>
    <w:p>
      <w:pPr>
        <w:spacing w:after="0" w:line="8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March 31, 2016 and December 31, 2015 was $467 million and $33 million, respectively.</w:t>
      </w:r>
    </w:p>
    <w:p>
      <w:pPr>
        <w:spacing w:after="0" w:line="7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At March 31, 2016 and December 31, 2015, the Investment Funds had approximately $476 million and $883 million,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68"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80"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2"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Investment Funds and the Holding Company seek to mitigate these risks by actively monitoring exposures, collateral requirements and the creditworthiness of our counterparties.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333" w:right="2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copper, nickel, tin, zinc, high-grade aluminum and aluminum alloy. Forward contracts are used to mitigate commodity price risk associated with raw materials, generally related to purchases forecast for up to 15 months in the future.</w:t>
      </w:r>
    </w:p>
    <w:p>
      <w:pPr>
        <w:spacing w:after="0" w:line="7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Federal-Mogul had commodity price hedge contracts outstanding with combined notional values of $21 million and $28 million at March 31, 2016 and December 31, 2015, respectively, substantially all of which mature within one year in each of the respective periods and all of which were designated as hedging instruments for accounting purposes. Federal-Mogul had a net liability balance of $2 million and $3 million as of March 31, 2016 and December 31, 2015, respectively, with respect to these hedging positions. Unrealized net losses of $2 million and $2 million were recorded in accumulated other comprehensive loss as of March 31, 2016 and December 31, 2015,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7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March 31, 2016 or December 31, 2015.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Financial instruments including cash equivalents, derivative contracts, and accounts receivable, expose Federal-Mogul to counter-party credit risk for non-performance. Federal-Mogul’s counterparties for cash equivalents and derivative contracts are banks and financial institutions that meet its requirement of high credit standing. Federal-Mogul's counterparties for derivative contracts are substantial investment and commercial banks with significant experience using such derivatives. Federal-Mogul manages its credit risk through policies requiring minimum credit standing and limiting credit exposure to any one counter-party and through monitoring counter-party credit risks. Federal-Mogul's concentration of credit risk related to derivative contracts at March 31, 2016 and December 31, 2015 was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condensed consolidated statements of operations.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333" w:right="2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Swaps</w:t>
      </w:r>
    </w:p>
    <w:p>
      <w:pPr>
        <w:spacing w:after="0" w:line="11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At December 31, 2015, CVR had open commodity hedging instruments consisting of 2.5 million barrels of crack spreads primarily to fix the margin on a portion of its future gasoline and distillate production. During the first quarter of 2016, CVR Refining settled a number of the open crack spread positions and entered into offsetting positions to effectively lock in the gain on the remaining positions to be settled in 2016. At March 31, 2016, CVR had open commodity hedging instruments consisting of 0.6 million barrels net of crack spreads and 1.0 million barrels of price and basis swaps. The fair value of the outstanding contracts at March 31, 2016 and December 31, 2015 was a net asset of $22 million and $45 million, respectively. For the three months ended March 31, 2016 and 2015, CVR recognized a net loss of $1 million and $50 million, respectively, which is included in other income (loss), net in the condensed consolidated statements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Coffeyville Resources Nitrogen Fertilizers, LLC ("CRNF") had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agreements) and commenced on August 12, 2011 and expired on February 12, 2016. The interest rate swaps agreements terminated in February 2016. The realized losses on the interest rate swaps reclassified from accumulated other comprehensive loss into interest expense was less than $1 million for each of the three months ended March 31, 2016 and 2015.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Derivative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volume of our derivative activities based on their notional exposure, categorized by primary underlying risk,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line="275" w:lineRule="exact"/>
              <w:rPr>
                <w:sz w:val="20"/>
                <w:szCs w:val="20"/>
                <w:color w:val="auto"/>
              </w:rPr>
            </w:pPr>
            <w:r>
              <w:rPr>
                <w:rFonts w:ascii="Times New Roman" w:cs="Times New Roman" w:eastAsia="Times New Roman" w:hAnsi="Times New Roman"/>
                <w:sz w:val="18"/>
                <w:szCs w:val="18"/>
                <w:color w:val="auto"/>
              </w:rPr>
              <w:t>Credit swaps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1,343</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9"/>
        </w:trPr>
        <w:tc>
          <w:tcPr>
            <w:tcW w:w="4700" w:type="dxa"/>
            <w:vAlign w:val="bottom"/>
          </w:tcPr>
          <w:p>
            <w:pPr>
              <w:ind w:left="280"/>
              <w:spacing w:after="0" w:line="278"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53" w:lineRule="auto"/>
        <w:tabs>
          <w:tab w:leader="none" w:pos="1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our credit default swap positions is approximately $4.1 billion and $10.0 billion as of March 31, 2016 and December 31, 2015, respectively. However, because credit spreads cannot compress below zero, our downside short notional exposure to loss is approximately $0.9 billion and $2.3 billion as of March 31, 2016 and December 31, 2015, respectively.</w:t>
      </w:r>
    </w:p>
    <w:p>
      <w:pPr>
        <w:ind w:left="180" w:right="140" w:hanging="172"/>
        <w:spacing w:after="0" w:line="258" w:lineRule="auto"/>
        <w:tabs>
          <w:tab w:leader="none" w:pos="1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certain of our interest rate contracts with a three month duration is approximately $16.0 billion as of December 31, 2015. We assume that interest rates will not fall below zero and therefore our downside short notional exposure to loss on these contracts is $74 million (of the total $137 million disclosed in the above table) as of December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consolidated fair values of our derivatives that are not designated as hedging instruments: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 Derivatives</w:t>
            </w:r>
            <w:r>
              <w:rPr>
                <w:rFonts w:ascii="Times New Roman" w:cs="Times New Roman" w:eastAsia="Times New Roman" w:hAnsi="Times New Roman"/>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Liability Derivatives</w:t>
            </w:r>
            <w:r>
              <w:rPr>
                <w:rFonts w:ascii="Times New Roman" w:cs="Times New Roman" w:eastAsia="Times New Roman" w:hAnsi="Times New Roman"/>
                <w:sz w:val="25"/>
                <w:szCs w:val="25"/>
                <w:b w:val="1"/>
                <w:bCs w:val="1"/>
                <w:color w:val="auto"/>
                <w:vertAlign w:val="superscript"/>
              </w:rPr>
              <w:t>(2)</w:t>
            </w:r>
          </w:p>
        </w:tc>
        <w:tc>
          <w:tcPr>
            <w:tcW w:w="600" w:type="dxa"/>
            <w:vAlign w:val="bottom"/>
            <w:tcBorders>
              <w:bottom w:val="single" w:sz="8" w:color="auto"/>
            </w:tcBorders>
          </w:tcPr>
          <w:p>
            <w:pPr>
              <w:spacing w:after="0"/>
              <w:rPr>
                <w:sz w:val="24"/>
                <w:szCs w:val="24"/>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Netting across contract types</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4"/>
        </w:trPr>
        <w:tc>
          <w:tcPr>
            <w:tcW w:w="470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asset derivatives are located within other assets in our condensed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liability derivatives are located within accrued expenses and other liabilities in our condensed consolidated balance sheets.</w:t>
      </w:r>
    </w:p>
    <w:p>
      <w:pPr>
        <w:spacing w:after="0" w:line="1" w:lineRule="exact"/>
        <w:rPr>
          <w:rFonts w:ascii="Times New Roman" w:cs="Times New Roman" w:eastAsia="Times New Roman" w:hAnsi="Times New Roman"/>
          <w:sz w:val="9"/>
          <w:szCs w:val="9"/>
          <w:color w:val="auto"/>
        </w:rPr>
      </w:pPr>
    </w:p>
    <w:p>
      <w:pPr>
        <w:ind w:left="180" w:right="560" w:hanging="172"/>
        <w:spacing w:after="0" w:line="258" w:lineRule="auto"/>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netting of cash collateral received and posted. The total collateral posted at March 31, 2016 and December 31, 2015 was $476 million and $883 million, respectively, across all counterparties.</w:t>
      </w:r>
    </w:p>
    <w:p>
      <w:pPr>
        <w:spacing w:after="0" w:line="74"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derivatives not designated as hedging instruments: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217170</wp:posOffset>
            </wp:positionV>
            <wp:extent cx="718629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36830</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Equity contracts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71862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Credit contracts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71862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Commodity contracts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(Loss) Gain Recognized in Income</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366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2366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4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400" w:type="dxa"/>
            <w:vAlign w:val="bottom"/>
          </w:tcPr>
          <w:p>
            <w:pPr>
              <w:spacing w:after="0"/>
              <w:rPr>
                <w:sz w:val="22"/>
                <w:szCs w:val="22"/>
                <w:color w:val="auto"/>
              </w:rPr>
            </w:pPr>
          </w:p>
        </w:tc>
        <w:tc>
          <w:tcPr>
            <w:tcW w:w="20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Pr>
          <w:p>
            <w:pPr>
              <w:spacing w:after="0"/>
              <w:rPr>
                <w:sz w:val="22"/>
                <w:szCs w:val="22"/>
                <w:color w:val="auto"/>
              </w:rPr>
            </w:pPr>
          </w:p>
        </w:tc>
      </w:tr>
      <w:tr>
        <w:trPr>
          <w:trHeight w:val="253"/>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40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6940" w:space="720"/>
            <w:col w:w="3760"/>
          </w:cols>
          <w:pgMar w:left="240" w:top="333" w:right="239" w:bottom="1440" w:gutter="0" w:footer="0" w:header="0"/>
          <w:type w:val="continuous"/>
        </w:sectPr>
      </w:pPr>
    </w:p>
    <w:p>
      <w:pPr>
        <w:ind w:left="180" w:right="300" w:hanging="172"/>
        <w:spacing w:after="0" w:line="282" w:lineRule="auto"/>
        <w:tabs>
          <w:tab w:leader="none" w:pos="1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 Net.</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p>
      <w:pPr>
        <w:ind w:left="420" w:right="8280" w:hanging="412"/>
        <w:spacing w:after="0" w:line="412" w:lineRule="auto"/>
        <w:tabs>
          <w:tab w:leader="none" w:pos="33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color w:val="auto"/>
        </w:rPr>
        <w:t>Goodwill consists of the following: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920</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Energy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645</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633</w:t>
            </w: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810</w:t>
            </w:r>
          </w:p>
        </w:tc>
      </w:tr>
      <w:tr>
        <w:trPr>
          <w:trHeight w:val="73"/>
        </w:trPr>
        <w:tc>
          <w:tcPr>
            <w:tcW w:w="26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1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1,108</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for the three months ended March 31, 2016 and 2015 was $23 million and $22 million, respectively. We utilize the straight-line method of amortization, recognized over the estimated useful lives of the assets.</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For our segments discussed below, the fair values of our reporting units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3"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further discussed in Note 2, "Operating Units - Automotive," during the first quarter of 2016, we acquired Pep Boys and allocated $85 million to trademarks and brand names, $25 million to customer relationships and $252 million to goodwill as of the acquisition date. We are in the process of valuing the Pep Boys acquisition and have recorded provisional amounts based on preliminary estimates of fair value of net assets acquired, including goodwill. The provisional measurements of net assets are subject to change as we finalize the purchase price allocation. The Pep Boys acquisition is not material to our condensed consolidated financial statements.</w:t>
      </w:r>
    </w:p>
    <w:p>
      <w:pPr>
        <w:spacing w:after="0" w:line="7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perform the annual goodwill impairment test for our Automotive segment as of October 1 of each year, or more frequently if impairment indicators exist. Based on "Step 2" of the goodwill impairment analysis of our Automotive segment's Motorparts reporting unit, we recorded a goodwill impairment charge of $312 million for the year ended December 31, 2015. Due to the complexity in the "Step 2" goodwill impairment analysis, we are currently expecting to finalize our Automotive segment's goodwill impairment for the Motorparts reporting unit during the second quarter of 2016 and any resulting difference in the amount of the impairment will be adjusted at that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 reporting unit. Due to the complexity in the "Step 2" goodwill impairment test performed during the first quarter of 2016, we expect to finalize the assessment of our Energy segment's goodwill impairment during the second quarter of 2016 and any resulting difference in the amount of the impairment will be adjusted at that time.</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perform the annual goodwill impairment test for our Energy segment as of April 30 of each year, or more frequently if impairment indicators exist. Due to worsening sales trends for our Energy segment's Fertilizer reporting unit, we performed an interim goodwill impairment analysis during the fourth quarter of 2015. Based on "Step 2" of the goodwill impairment analysis of our Energy segment's Fertilizer reporting unit, we recorded a goodwill impairment charge of $253 million for the year ended December 31, 2015, which represented the full amount of the remaining goodwill allocated to the Fertilizer reporting unit. Due to the complexity in the "Step 2" goodwill impairment test performed during the fourth quarter of 2015, we finalized the assessment of our Energy segment's goodwill impairment for the Fertilizer reporting unit during the first quarter of 2016 and noted that no additional adjustments to goodwill were required for the first quarter of 2016.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perform the annual goodwill impairment test as of November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further discussed in Note 2, "Operating Units - Gaming," during the first quarter of 2016, we acquired Trump and allocated $17 million to trademarks and brand names as of the acquisition date. We are in the process of valuing the Trump acquisition and have recorded provisional amounts based on preliminary estimates of fair value of net assets acquired. The provisional measurements of net assets are subject to change as we finalize the purchase price allocation. The Trump acquisition is not 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708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 years)</w:t>
            </w:r>
          </w:p>
        </w:tc>
        <w:tc>
          <w:tcPr>
            <w:tcW w:w="160" w:type="dxa"/>
            <w:vAlign w:val="bottom"/>
          </w:tcPr>
          <w:p>
            <w:pPr>
              <w:spacing w:after="0"/>
              <w:rPr>
                <w:sz w:val="21"/>
                <w:szCs w:val="21"/>
                <w:color w:val="auto"/>
              </w:rPr>
            </w:pPr>
          </w:p>
        </w:tc>
        <w:tc>
          <w:tcPr>
            <w:tcW w:w="22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21"/>
                <w:szCs w:val="2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4 - 40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leased to others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15 - 39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37"/>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13,644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Assets leased to others are related to our Railcar and Real Estate segments. Included in assets leased to others in the table above are our Railcar segment's railcars for lease in the amount of approximately $3.6 billion and $3.6 billion as of March 31, 2016 and December 31, 2015, respectively. Additionally, included in assets leased to others in the table above are our Real Estate segment's properties on lease in the amount of $422 million and $423 million as of March 31, 2016 and December 31, 2015, respectively. Aggregate accumulated depreciation pertaining to assets leased to others is approximately $1.1 billion and $1.1 billion as of March 31, 2016 and December 31, 2015, respectively.</w:t>
      </w:r>
    </w:p>
    <w:p>
      <w:pPr>
        <w:spacing w:after="0" w:line="7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for the three months ended March 31, 2016 and 2015 was $207 million and $182 million,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 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 senior unsecured notes due 2020 - Icahn Enterprises/Icahn Enterprises Holdings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 Enterprises Holdings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 Enterprises Holdings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facilities - Energy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 - 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Except for those described below, there were no other significant changes to our consolidated debt during the three months ended March 31, 2016 as compared to that reported in our Annual Report on Form 10-K for the year ended December 31, 2015. Additionally, where applicable, we or our subsidiaries were in compliance with all covenants for their respective debt instruments as of March 31, 2016 and December 31, 2015.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3"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00" w:lineRule="exact"/>
        <w:rPr>
          <w:sz w:val="20"/>
          <w:szCs w:val="20"/>
          <w:color w:val="auto"/>
        </w:rPr>
      </w:pPr>
    </w:p>
    <w:p>
      <w:pPr>
        <w:spacing w:after="0" w:line="246" w:lineRule="exact"/>
        <w:rPr>
          <w:sz w:val="20"/>
          <w:szCs w:val="20"/>
          <w:color w:val="auto"/>
        </w:rPr>
      </w:pPr>
    </w:p>
    <w:p>
      <w:pPr>
        <w:ind w:right="5700"/>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 Icahn Enterprises and Icahn Enterprises Holdings </w:t>
      </w:r>
      <w:r>
        <w:rPr>
          <w:rFonts w:ascii="Times New Roman" w:cs="Times New Roman" w:eastAsia="Times New Roman" w:hAnsi="Times New Roman"/>
          <w:sz w:val="18"/>
          <w:szCs w:val="18"/>
          <w:i w:val="1"/>
          <w:iCs w:val="1"/>
          <w:color w:val="auto"/>
        </w:rPr>
        <w:t>Senior Unsecured Notes Covenants</w:t>
      </w:r>
    </w:p>
    <w:p>
      <w:pPr>
        <w:spacing w:after="0" w:line="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2016 and December 31, 2015, we were in compliance with all covenants, including maintaining certain minimum financial ratios, as defined in the indentures. Additionally, as of March 31, 2016, based on covenants in the indentures governing our senior unsecured notes, we are not permitted to incur additional indebtedness.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Facilities - Automotive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Federal-Mogul</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2016, Federal-Mogul increased its borrowing capacity under its revolving credit facility by $50 million to $600 million. As of March 31, 2016 and December 31, 2015, the outstanding balance on Federal-Mogul's revolving credit facility was $390 million and $340 million, respectively. As of March 31, 2016 and December 31, 2015, the borrowing availability under Federal-Mogul's revolving credit facility was $170 million and $170 million, respectively. Federal-Mogul had $40 million and $40 million of letters of credit outstanding as of March 31, 2016 and December 31, 2015, respectively, pertaining to Federal-Mogul's term loan credit facility. To the extent letters of credit associated with the Federal-Mogul's revolving credit facility are issued, there will be a corresponding decrease in borrowings available under this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IEH Auto and Pep Boys</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November 25, 2015, IEH Auto entered into a senior secured asset based revolving credit facility (the "IEH Auto Credit Facility") with Bank of America as agent, sole lead arranger, and sole bookrunner for $125 million. On January 25, 2016, the IEH Auto Credit Facility was amended and restated to include Citizens Bank as the documentation agent and to increase the revolver commitments to $210 million.</w:t>
      </w:r>
    </w:p>
    <w:p>
      <w:pPr>
        <w:spacing w:after="0" w:line="6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and December 31, 2015, the IEH Auto Credit Facility had an outstanding balance of $100 million and $75 million, respectively, and $3 million and $3 million, respectively, in letters of credit. As of March 31, 2016, the availability on the IEH Auto Credit Facility was $42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Pep Boys has a revolving credit agreement with Bank of America, N.A., as Administrative Agent, and other parties thereto providing for borrowings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$300 million and having a maturity of July 2016. The interest rate on this facility is LIBOR plus a margin of 2.00% to 2.50% for LIBOR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or Prime plus 1.00% to 1.50% for Prime rate borrowings. The margin is based upon the then current availability under the facility.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Pep Boys had $60 million outstanding under the facility and $41 million of availability was utilized to support outstanding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Taking into account the borrowing base requirements (including reduction for amounts outstanding under the trade payable program), as of March 31,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$81 million of availability remaining under the facility.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Asset Backed (ABL) Credit Facility</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2016, CVR Refining and its subsidiaries had availability under its existing amended and restated asset backed credit facility (the "CVR Refining Credit Facility") of $245 million and had letters of credit outstanding of $28 million. There were no borrowings outstanding under the CVR Refining Credit Facility as of March 31, 2016. Availability under the CVR Refining Credit Facility was limited by borrowing base conditions as of March 31,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Partners Credit Facility</w:t>
      </w:r>
    </w:p>
    <w:p>
      <w:pPr>
        <w:spacing w:after="0" w:line="1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CVR Partners' credit facility includes a term loan in the amount of $125 million and a revolving credit facility. No amounts were outstanding under the revolving credit facility at March 31, 2016. On April 1, 2016, CVR Partners repaid all amounts outstanding with respect to its term loan under the credit facility and the credit facility was terminated.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Railcar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Revolving Credit Facility</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December 2015, ARI completed a financing of its railcar lease fleet with availability of up to $200 million under a credit agreement. The initial amount drawn from the revolving credit facility ("ARI Revolving Loan") obtained at closing amounted to $100 million, net of fees and expenses. In February 2016, ARI repaid amounts outstanding under the ARI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3"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 in full and as of March 31, 2016, ARI had borrowing availability of $200 million under the ARI Revolving Loan.</w:t>
      </w:r>
    </w:p>
    <w:p>
      <w:pPr>
        <w:spacing w:after="0" w:line="117"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and December 31, 2015, the net book value of the railcars that were pledged as part of ARI's credit facilities was $558 million and $564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Other Post-employment Benefits and Employee Benefit Plans.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net periodic benefit cost for the three months ended March 31, 2016 and 2015 are as follows:</w:t>
      </w:r>
    </w:p>
    <w:p>
      <w:pPr>
        <w:spacing w:after="0" w:line="275" w:lineRule="exact"/>
        <w:rPr>
          <w:sz w:val="20"/>
          <w:szCs w:val="20"/>
          <w:color w:val="auto"/>
        </w:rPr>
      </w:pPr>
    </w:p>
    <w:p>
      <w:pPr>
        <w:ind w:left="5740"/>
        <w:spacing w:after="0"/>
        <w:tabs>
          <w:tab w:leader="none" w:pos="9520" w:val="left"/>
        </w:tabs>
        <w:rPr>
          <w:sz w:val="20"/>
          <w:szCs w:val="20"/>
          <w:color w:val="auto"/>
        </w:rPr>
      </w:pPr>
      <w:r>
        <w:rPr>
          <w:rFonts w:ascii="Times New Roman" w:cs="Times New Roman" w:eastAsia="Times New Roman" w:hAnsi="Times New Roman"/>
          <w:sz w:val="18"/>
          <w:szCs w:val="18"/>
          <w:b w:val="1"/>
          <w:bCs w:val="1"/>
          <w:color w:val="auto"/>
        </w:rPr>
        <w:t>Pension Benefits</w:t>
      </w:r>
      <w:r>
        <w:rPr>
          <w:sz w:val="20"/>
          <w:szCs w:val="20"/>
          <w:color w:val="auto"/>
        </w:rPr>
        <w:tab/>
      </w:r>
      <w:r>
        <w:rPr>
          <w:rFonts w:ascii="Times New Roman" w:cs="Times New Roman" w:eastAsia="Times New Roman" w:hAnsi="Times New Roman"/>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36830</wp:posOffset>
            </wp:positionV>
            <wp:extent cx="4271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7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44450</wp:posOffset>
            </wp:positionV>
            <wp:extent cx="2109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8" w:lineRule="exact"/>
        <w:rPr>
          <w:sz w:val="20"/>
          <w:szCs w:val="20"/>
          <w:color w:val="auto"/>
        </w:rPr>
      </w:pPr>
    </w:p>
    <w:p>
      <w:pPr>
        <w:ind w:left="532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36830</wp:posOffset>
            </wp:positionV>
            <wp:extent cx="42710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44450</wp:posOffset>
            </wp:positionV>
            <wp:extent cx="2092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8"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130" w:lineRule="exact"/>
        <w:rPr>
          <w:sz w:val="20"/>
          <w:szCs w:val="20"/>
          <w:color w:val="auto"/>
        </w:rPr>
      </w:pPr>
    </w:p>
    <w:p>
      <w:pPr>
        <w:sectPr>
          <w:pgSz w:w="11900" w:h="16838" w:orient="portrait"/>
          <w:cols w:equalWidth="0" w:num="2">
            <w:col w:w="7840" w:space="720"/>
            <w:col w:w="286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7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LP Unit.</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27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520" w:type="dxa"/>
            <w:vAlign w:val="bottom"/>
          </w:tcPr>
          <w:p>
            <w:pPr>
              <w:spacing w:after="0"/>
              <w:rPr>
                <w:sz w:val="21"/>
                <w:szCs w:val="2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 limited partners (98.01% allocation)</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311"/>
        </w:trPr>
        <w:tc>
          <w:tcPr>
            <w:tcW w:w="8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unit distribution declared:</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LP units outstanding</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 Issuance</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disclosed in Note 3, "Related Party Transactions," pursuant to a certain contribution agreement, on February 29, 2016, we contributed 685,367 newly issued depositary units of Icahn Enterprises to IRL in exchange for the remaining 25% economic interest in ARL.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 Distributions</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Icahn and his affiliates elected to receive a majority of their proportionate share of these distributions in depositary units. As of May 5, 2016,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and his affiliates owned 89.3% of Icahn Enterprises outstanding depositary units.</w:t>
      </w:r>
    </w:p>
    <w:p>
      <w:pPr>
        <w:spacing w:after="0" w:line="9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Because the depositary unit holder has the election to receive the distribution either in cash or additional depositary units, we recorded a unit distribution liability of $202 million on our condensed consolidated balance sheets as the unit distribution had not been made as of March 31, 2016.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However, as their effect would be anti-dilutive, 1 million weighted average units have been excluded from the calculation of diluted income per LP unit for the three months ended March 31, 2016. Any difference between the liability recorded and the amount representing the aggregate value of the number of depositary units distributed and cash paid would be charged to equity.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3"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and investment activity and expenses associated with the Holding Company.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2, “Operating Units,” for a detailed description of each of our reporting segments.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Icahn Enterprises' condensed statements of operations by reporting segment for the three months ended March 31, 2016 and 2015 are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3,548</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(936)</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(908)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2,426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259</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3,127</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246</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241</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2,395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4,720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9"/>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(1,593)</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(1,609)</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loss (income)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(837)</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230</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457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457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457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9"/>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3,565</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591</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4,511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3,125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155</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270</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1,850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4,040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471</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422</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162</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363</w:t>
            </w:r>
          </w:p>
        </w:tc>
      </w:tr>
      <w:tr>
        <w:trPr>
          <w:trHeight w:val="27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1457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457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1457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1457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-2935605</wp:posOffset>
            </wp:positionV>
            <wp:extent cx="1457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81" w:lineRule="auto"/>
        <w:tabs>
          <w:tab w:leader="none" w:pos="1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amounts related to the amortization of deferred financing costs and debt discounts and premiums included in interest expense in the amounts of $4 million and $3 million for the three months ended March 31, 2016 and 2015,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Icahn Enterprises' condensed balance sheets by reporting segment as of March 31, 2016 and December 31, 2015 are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5"/>
              </w:rPr>
              <w:t>March 31,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color w:val="auto"/>
                <w:w w:val="98"/>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1,876</w:t>
            </w:r>
          </w:p>
        </w:tc>
        <w:tc>
          <w:tcPr>
            <w:tcW w:w="0" w:type="dxa"/>
            <w:vAlign w:val="bottom"/>
          </w:tcPr>
          <w:p>
            <w:pPr>
              <w:spacing w:after="0"/>
              <w:rPr>
                <w:sz w:val="1"/>
                <w:szCs w:val="1"/>
                <w:color w:val="auto"/>
              </w:rPr>
            </w:pPr>
          </w:p>
        </w:tc>
      </w:tr>
      <w:tr>
        <w:trPr>
          <w:trHeight w:val="135"/>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751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10,026</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1,839</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2,896</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2,772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10,572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2,406</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1,916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10,576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32,282</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6,252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1,052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2,710</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1,230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2,461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12,530</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4,686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7,451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2,766</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5,875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23,774</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2,516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5,992</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2,835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636</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649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(5,276)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8,508</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10,576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32,282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6"/>
              </w:rPr>
              <w:t>December 31, 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color w:val="auto"/>
                <w:w w:val="98"/>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2,078</w:t>
            </w:r>
          </w:p>
        </w:tc>
        <w:tc>
          <w:tcPr>
            <w:tcW w:w="0" w:type="dxa"/>
            <w:vAlign w:val="bottom"/>
          </w:tcPr>
          <w:p>
            <w:pPr>
              <w:spacing w:after="0"/>
              <w:rPr>
                <w:sz w:val="1"/>
                <w:szCs w:val="1"/>
                <w:color w:val="auto"/>
              </w:rPr>
            </w:pPr>
          </w:p>
        </w:tc>
      </w:tr>
      <w:tr>
        <w:trPr>
          <w:trHeight w:val="135"/>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15,351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1,685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2,259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9,535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2,612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1,601</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4,441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7,317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2,671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12,594</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8,599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2,978</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5,426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26,370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3,987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6,046</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7,541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703</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(4,697)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10,033</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3" w:right="239" w:bottom="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 Holdings</w:t>
      </w:r>
    </w:p>
    <w:p>
      <w:pPr>
        <w:spacing w:after="0" w:line="121"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Due to the structure of our business, the consolidated results of operations for Icahn Enterprises and Icahn Enterprises Holdings are substantially the same. Differences primarily relate to non-cash portions of interest expense as well as due to/due from balances between Icahn Enterprises and Icahn Enterprises Holdings and are only reflected in the results of operations for the Holding Company. Segment information for Icahn Enterprises Holdings is presented below for significant financial statement line items affected by these differences.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2015</w:t>
            </w:r>
          </w:p>
        </w:tc>
      </w:tr>
      <w:tr>
        <w:trPr>
          <w:trHeight w:val="142"/>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Net (Loss) Income</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Icahn Enterprises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6"/>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3"/>
                <w:szCs w:val="13"/>
                <w:color w:val="auto"/>
              </w:rPr>
              <w:t>(in millions)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Times New Roman" w:cs="Times New Roman" w:eastAsia="Times New Roman" w:hAnsi="Times New Roman"/>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10,576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16,140</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7,943</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4,888</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215</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3,681</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1,281</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Mining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203</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Food Packaging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416</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Real Estate</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701</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 Fashion</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206</w:t>
            </w:r>
          </w:p>
        </w:tc>
      </w:tr>
      <w:tr>
        <w:trPr>
          <w:trHeight w:val="27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Holding Company</w:t>
            </w: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753</w:t>
            </w:r>
          </w:p>
        </w:tc>
      </w:tr>
      <w:tr>
        <w:trPr>
          <w:trHeight w:val="24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Consolidated</w:t>
            </w: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(1,609)</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32,306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36,427</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Amounts related to the amortization of debt discounts and premiums included in interest expense for the consolidated results of Icahn Enterprises Holdings were $4 million and $3 million for the three months ended March 31, 2016 and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each of Icahn Enterprises and Icahn Enterprises Holdings recorded an income tax expense of $16 million on pre-tax loss of $1.6 billion compared to an income tax expense of $49 million on pre-tax income of $471 million for the three months ended March 31, 2015. Our effective income tax rate was (1.0)% and 10.4% for the three months ended March 31, 2016 and 2015, respectively.</w:t>
      </w:r>
    </w:p>
    <w:p>
      <w:pPr>
        <w:spacing w:after="0" w:line="6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5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the effective tax rate was lower than the statutory federal rate of 35%, primarily due to partnership income not subject to taxation, as such taxes are the responsibility of the partners.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3"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Post-Employment</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Adjustments and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 Net of Tax</w:t>
            </w:r>
          </w:p>
        </w:tc>
        <w:tc>
          <w:tcPr>
            <w:tcW w:w="4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(in millions)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w:t>
            </w: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Other Income (Loss), Net.</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(loss), net consists of the following:</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and unrealized loss on derivatives, net (Note 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7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Total environmental liabilities, determined on an undiscounted basis, were $14 million and $14 million as of March 31, 2016 and December 31, 2015, respectively, and are included in accrued expenses and other liabilities in our condensed consolidated balance sheets.</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March 31, 2016, Federal-Mogul estimates reasonably possible material additional losses, above and beyond its best estimate of required remediation costs as recorded, to approximate $43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Federal-Mogul has identified sites with contractual obligations and several sites that are closed or expected to be closed and sold. In connection with these sites, Federal-Mogul has accrued $16 million and $16 million as of March 31, 2016 and December 31, 2015,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CVR leases various equipment, including railcars, and real properties under long-term operating leases expiring at various dates. For each of the three months ended March 31, 2016 and 2015 lease expense was $2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Supply Agreement</w:t>
      </w:r>
    </w:p>
    <w:p>
      <w:pPr>
        <w:spacing w:after="0" w:line="11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On August 31, 2012, Coffeyville Resources Refining &amp; Marketing, LLC ("CRRM"), and Vitol Inc. ("Vitol") entered into an Amended and Restated Crude Oil Supply Agreement (the "Vitol Agreement"). Under the Vitol Agreement, Vitol supplies the petroleum business with crude oil and intermediation logistics, which helps to reduce the Refining Partnership's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 The Vitol Agreement currently extends through December 31,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333" w:right="2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2015. In the opinion of CVR's management, the ultimate resolution of any other 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 Matters ("EHS")</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83"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previously reported in our 2015 Form 10-K,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2015 Form 10-K. CRRM, CRNF, CRCT, WRC and CRT each believe it is in substantial compliance with existing EHS rules and regulations. 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of both March 31, 2016 and December 31, 2015, our Energy segment had environmental accruals of $4 million.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Environmental expenditures are capitalized when such expenditures are expected to result in future economic benefits. For the three months ended March 31, 2016 and 2015, capital expenditures were $4 million and $11 million, respectively, and were incurred for environmental compliance and efficiency of the operations.</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cost of RINs for three months ended March 31, 2016 and 2015 was $43 million and $37 million, respectively. As of March 31, 2016 and December 31, 2015, the petroleum business' biofuel blending obligation was $24 million and $10 million, respectively, which was recorded in accrued expenses and other liabilities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March 31, 2016 and December 31, 2015,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March 31, 2016 and December 31, 2015. If it is determined that PSC Metals has liability to remediate those sites and that more expensive remediation approaches are required in the future, PSC Metals could incur additional obligations, which could be material.</w:t>
      </w:r>
    </w:p>
    <w:p>
      <w:pPr>
        <w:spacing w:after="0" w:line="7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 associated with its Festus yard and the residential areas near the yard. However, PSC Metals cannot assess its liability with</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certainty at this time. Additionally, PSC Metals believes that liability for off-site contamination was retained by the prior owner of the Festus yard and accordingly, it would have a claim for indemnification against the prior owner.</w:t>
      </w:r>
    </w:p>
    <w:p>
      <w:pPr>
        <w:spacing w:after="0" w:line="54"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In late February 2016, the PSC Metals shredder in Beaver Falls, Pennsylvania unknowingly processed scrap obtained from a third party containing radioactive material. Processing and transfer of that material resulted in the contamination of equipment there, and two other PSC Metals facilities. PSC Metals notified the appropriate governmental authorities and is working with those agencies and qualified specialist companies to properly remediate the contaminated facilities and dispose of the contaminated material. PSC Metals believes that the cost of the remediation effort and any business interruption costs are covered by insurance and its financial exposure would be immaterial.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On September 12, 2015, the court denied ARI's motion to dismiss the wrongful termination counterclaim. A trial date has been tentatively scheduled for September 16, 2016. However, ARI believes that Gyansys' counterclaims lack merit and will continue to vigorously defend against these counterclaims.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89.1% of Icahn Enterprises' outstanding depositary units as of March 31, 2016.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March 31, 2016 and December 31, 2015. If the plans were voluntarily terminated, they would be underfunded by approximately $584 million and $589 million as of March 31, 2016 and December 31, 2015,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68"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3" w:right="23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2016 (Unaudited)</w:t>
      </w:r>
    </w:p>
    <w:p>
      <w:pPr>
        <w:spacing w:after="0" w:line="34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April 29, 2016,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June 16, 2016 to depositary unit holders of record at the close of business on May 12, 2016. Depositary unit holders have until June 6,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June 13,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further discussed in Note 2, "Operating Units - Energy" on April 1, 2016, CVR Partners completed its previously announced merger with East Dubuque and East Dubuque GP.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333"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March 31, 2016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2016.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and to the allocation of the general partner interest, which is reflected as an aggregate 1.99% general partner interest in the financial statements of Icahn Enterprises. In addition to the above, Mr. Icahn and his affiliates owned approximately 89.1% of Icahn Enterprises' outstanding depositary units as of March 31, 2016.</w:t>
      </w:r>
    </w:p>
    <w:p>
      <w:pPr>
        <w:spacing w:after="0" w:line="8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360"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revenues, net income (loss) and net income (loss) attributable to Icahn Enterprises and Icahn Enterprises Holdings for each of our reporting segments and the Holding Company for the three months ended March 31, 2016 and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Net (Loss) Income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Enterprises/</w:t>
            </w:r>
          </w:p>
        </w:tc>
        <w:tc>
          <w:tcPr>
            <w:tcW w:w="980" w:type="dxa"/>
            <w:vAlign w:val="bottom"/>
          </w:tcPr>
          <w:p>
            <w:pPr>
              <w:spacing w:after="0"/>
              <w:rPr>
                <w:sz w:val="17"/>
                <w:szCs w:val="17"/>
                <w:color w:val="auto"/>
              </w:rPr>
            </w:pPr>
          </w:p>
        </w:tc>
      </w:tr>
      <w:tr>
        <w:trPr>
          <w:trHeight w:val="212"/>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Icahn Enterprises Holdings</w:t>
            </w: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5"/>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Food Packaging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Fashion</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Holding Company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196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3,127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0"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As of March 31, 2016 and December 31, 2015, the total fair market value of investments in the Investment Funds made by Mr. Icahn and his affiliates was approximately $4.1 billion and $4.1 billion, respectively, representing approximately 69% and 55%, respectively, of the Investment Funds' assets under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Interests in the Investment Funds</w:t>
      </w:r>
    </w:p>
    <w:p>
      <w:pPr>
        <w:spacing w:after="0" w:line="11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and December 31, 2015, we had investments with a fair market value of approximately $1.8 billion and $3.4 billion, respectively, in the Investment Funds.</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Our share of the Investment Funds' net income (loss) through our interests in the Investment Funds was $(450) million and $184 million for the three months ended March 31, 2016 and 2015,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60"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1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04"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36830</wp:posOffset>
            </wp:positionV>
            <wp:extent cx="218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36830</wp:posOffset>
            </wp:positionV>
            <wp:extent cx="2186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9040" w:type="dxa"/>
            <w:vAlign w:val="bottom"/>
            <w:gridSpan w:val="2"/>
            <w:shd w:val="clear" w:color="auto" w:fill="CCEEFF"/>
          </w:tcPr>
          <w:p>
            <w:pPr>
              <w:jc w:val="right"/>
              <w:ind w:right="7720"/>
              <w:spacing w:after="0"/>
              <w:rPr>
                <w:sz w:val="20"/>
                <w:szCs w:val="20"/>
                <w:color w:val="auto"/>
              </w:rPr>
            </w:pPr>
            <w:r>
              <w:rPr>
                <w:rFonts w:ascii="Times New Roman" w:cs="Times New Roman" w:eastAsia="Times New Roman" w:hAnsi="Times New Roman"/>
                <w:sz w:val="18"/>
                <w:szCs w:val="18"/>
                <w:color w:val="auto"/>
              </w:rPr>
              <w:t>Investment Funds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-12.8 %</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Attribution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4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Attribution</w:t>
            </w:r>
          </w:p>
        </w:tc>
      </w:tr>
      <w:tr>
        <w:trPr>
          <w:trHeight w:val="27"/>
        </w:trPr>
        <w:tc>
          <w:tcPr>
            <w:tcW w:w="794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34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9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9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positions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positions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7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7"/>
        </w:trPr>
        <w:tc>
          <w:tcPr>
            <w:tcW w:w="794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
        </w:trPr>
        <w:tc>
          <w:tcPr>
            <w:tcW w:w="79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aggregate return was -12.8% for the three months ended March 31, 2016. During the first quarter of 2016, the Investment Funds' performance was driven by losses in their short exposure, including broad market hedges, coupled with losses in long equity positions, primarily in a few of their largest core holdings.</w:t>
      </w:r>
    </w:p>
    <w:p>
      <w:pPr>
        <w:spacing w:after="0" w:line="68"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aggregate return was 4.3% for the three months ended March 31, 2015. During the first quarter of 2015, the Investment Funds' performance was driven by gains in long equity positions, primarily in a few of their largest core holdings, partially offset by losses in their short exposure, including broad market hedges.</w:t>
      </w:r>
    </w:p>
    <w:p>
      <w:pPr>
        <w:spacing w:after="0" w:line="6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From inception in November 2004 through March 31, 2016, the Investment Funds' return was approximately 136%, representing an annualized rate of return of approximately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conduct our Automotive segment through our majority ownership in Federal-Mogul Holdings Corporation ("Federal-Mogul"), our wholly owned subsidiary, IEH Auto Parts Holding LLC ("IEH Auto"), which acquired substantially all of the auto parts assets in the United States of Uni-Select, Inc. through an acquisition that was consummated during the second quarter of 2015, and effective February 3, 2016, through our wholly owned subsidiary Pep Boys - Manny, Moe &amp; Jack ("Pep Boys"). See Note 2, "Operating Units - Automotive," to the consolidated financial statements for further discussion regarding the Pep Boys acquisition. Intercompany transactions among Federal-Mogul, Pep Boys and IEH Auto have been eliminated in consolidation.</w:t>
      </w:r>
    </w:p>
    <w:p>
      <w:pPr>
        <w:spacing w:after="0" w:line="76"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On February 28, 2016, Icahn Enterprises issued a proposal to the board of directors of Federal-Mogul to purchase the remaining shares of Federal-Mogul common stock not owned by us in a merger transaction. pursuant to which Federal-Mogul shareholders would receive $7.00 per share in cash for their shares of Federal-Mogul common stock. See Note 2, "Operating Units - Automotive," for further discussion regarding this proposed transaction.</w:t>
      </w:r>
    </w:p>
    <w:p>
      <w:pPr>
        <w:spacing w:after="0" w:line="68"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including Pep Boys and IEH Auto.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70" w:right="239" w:bottom="1440" w:gutter="0" w:footer="0" w:header="0"/>
        </w:sectPr>
      </w:pPr>
    </w:p>
    <w:bookmarkStart w:id="54" w:name="page55"/>
    <w:bookmarkEnd w:id="54"/>
    <w:p>
      <w:pPr>
        <w:ind w:firstLine="378"/>
        <w:spacing w:after="0" w:line="266"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businesses.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w:t>
      </w:r>
    </w:p>
    <w:p>
      <w:pPr>
        <w:spacing w:after="0" w:line="6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80" w:lineRule="exact"/>
        <w:rPr>
          <w:sz w:val="20"/>
          <w:szCs w:val="20"/>
          <w:color w:val="auto"/>
        </w:rPr>
      </w:pPr>
    </w:p>
    <w:p>
      <w:pPr>
        <w:jc w:val="both"/>
        <w:ind w:right="80" w:firstLine="378"/>
        <w:spacing w:after="0" w:line="266" w:lineRule="auto"/>
        <w:rPr>
          <w:sz w:val="20"/>
          <w:szCs w:val="20"/>
          <w:color w:val="auto"/>
        </w:rPr>
      </w:pPr>
      <w:r>
        <w:rPr>
          <w:rFonts w:ascii="Times New Roman" w:cs="Times New Roman" w:eastAsia="Times New Roman" w:hAnsi="Times New Roman"/>
          <w:sz w:val="18"/>
          <w:szCs w:val="18"/>
          <w:color w:val="auto"/>
        </w:rPr>
        <w:t>IEH Auto has 32 distribution centers and satellite locations and 274 corporate-owned jobber stores in the United States and supports a network of more than 2,000 independent wholesalers. Through its locations, IEH Auto sells predominantly to commercial aftermarket customers in the do-it-for-me ("DIFM") market as well as retail and do-it-yourself ("DIY") customers.</w:t>
      </w:r>
    </w:p>
    <w:p>
      <w:pPr>
        <w:spacing w:after="0" w:line="68"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Pep Boys and IEH Auto are being operated together in order to grow their sales to DIFM distributors and DIFM service professionals, to grow their automotive service business, and to maintain their DIY customer bases by offering the newest and broadest product assortment in the automotive aftermarket.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is operated independently from Pep Boys and IEH Auto.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Influences Impacting 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Automotive segment is affected by the following trends and market conditions: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vehicle production levels</w:t>
      </w:r>
    </w:p>
    <w:p>
      <w:pPr>
        <w:spacing w:after="0" w:line="119"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Global vehicle production increased by 0.7% in the first quarter of 2016. European vehicle production rose 1.6% and North American vehicle production increased 4%, with positive growth in Canada and the United States. Vehicle production in the Asia-Pacific region increased just over 1% during the first quarter of 2016, reaching another record high. Among the major regions, only South America posted a decline during the first quarter of 2016, which was down 30.8%.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vehicle sales levels</w:t>
      </w:r>
    </w:p>
    <w:p>
      <w:pPr>
        <w:spacing w:after="0" w:line="119"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Global vehicle sales increased by 2.3% in first quarter of 2016. European vehicle sales rose 3.2% and North American vehicles sales increased 4.5%, with positive growth in Canada, Mexico and the United States. Vehicle sales in the Asia-Pacific region increased 3%, reaching another record high. Among the major regions, only South America posted a decline during the first quarter of 2016, which was down 19.7%.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 replacement trends</w:t>
      </w:r>
    </w:p>
    <w:p>
      <w:pPr>
        <w:spacing w:after="0" w:line="119" w:lineRule="exact"/>
        <w:rPr>
          <w:sz w:val="20"/>
          <w:szCs w:val="20"/>
          <w:color w:val="auto"/>
        </w:rPr>
      </w:pPr>
    </w:p>
    <w:p>
      <w:pPr>
        <w:jc w:val="both"/>
        <w:ind w:right="280" w:firstLine="378"/>
        <w:spacing w:after="0" w:line="266" w:lineRule="auto"/>
        <w:rPr>
          <w:sz w:val="20"/>
          <w:szCs w:val="20"/>
          <w:color w:val="auto"/>
        </w:rPr>
      </w:pPr>
      <w:r>
        <w:rPr>
          <w:rFonts w:ascii="Times New Roman" w:cs="Times New Roman" w:eastAsia="Times New Roman" w:hAnsi="Times New Roman"/>
          <w:sz w:val="18"/>
          <w:szCs w:val="18"/>
          <w:color w:val="auto"/>
        </w:rPr>
        <w:t>The strength of our Automotive segment's aftermarket business is influenced by several key drivers. These include the vehicle population (or "parc"), average vehicle age, fuel prices and vehicle distance traveled. The vehicle parc is estimated to have expanded in most major markets, including the United States, Japan, China, and Germany. Average vehicle ages also increased, despite growth in new vehicle sales, in most regions.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decline in oil prices</w:t>
      </w:r>
    </w:p>
    <w:p>
      <w:pPr>
        <w:spacing w:after="0" w:line="119"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The volatility in recent oil prices, which are generally at historic lows, results in lower fuel prices for consumers. However, on an aggregate level, the losses from these lower prices have been larger and quicker than expected as energy companies cut back on investment and lay off workers, while the gains are smaller and slower to materialize, as the majority of this extra discretionary income has been applied to debt reduction, precautionary saving, and offset by slower income growth. But for some households, lower fuel prices do provide more discretionary income for a variety of purchases, including new vehicle sales, which increases demand for production parts from OEMs. That additional income can also support vehicle repairs which tends to encourage more driving miles, which in turn accelerates wear on vehicle components, thereby accelerating the need for replacements.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119"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Our Automotive segment's operations are subject to fluctuations in foreign exchanges rates given the nature of their global operations and there has been significant volatility in foreign currency rates.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72"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2016 and 2015</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sales for our Automotive segment for the three months ended March 31, 2016 increased by $486 million (26%) as compared to the comparable prior year period. As discussed above, we acquired Pep Boys on February 3, 2016 and IEH Auto during the second quarter of 2015, resulting in an aggregate $424 million in additional consolidated net sales within our Automotive segment during the first quarter of 2016. Federal-Mogul's net sales, before eliminations, increased $62 million over the comparable periods. Federal-Mogul's net sales were negatively impacted by the strengthening of the U.S. dollar against several global currencies which resulted in an unfavorable foreign currency impact of $52 million. Excluding the impact of foreign currency, Federal-Mogul's sales increased by $114 million, including $50 million from acquisitions. Including the impact of sales from acquisitions, the Powertrain business' sales volumes in North America, Europe, the Middle East and Africa ("EMEA") and the Rest of the World ("ROW) grew by 2.1%, 1.0% and 1.1%, respectively, and the Motorparts business' sales in North America, EMEA and ROW grew (decreased) by 8.1%, (0.4)% and 0.6%, respectively.</w:t>
      </w:r>
    </w:p>
    <w:p>
      <w:pPr>
        <w:spacing w:after="0" w:line="7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March 31, 2016 increased by $328 million (21%) as compared to the comparable prior year period. The increase in cost of goods sold was primarily due to the inclusion of the acquisitions of IEH Auto during the second quarter of 2015 and Pep Boys in February 2016.</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Gross margin on net sales for the three months ended March 31, 2016 increased by $158 million (63%) as compared to the comparable prior year period. Gross margin as a percentage of net sales was 18% and 14% for the three months ended March 31, 2016 and 2015, respectively. The increase in gross margin as a percentage of net sales over the respective periods was due to the inclusion of the acquisitions of IEH Auto during the second quarter of 2015 and Pep Boys in February 2016.</w:t>
      </w:r>
    </w:p>
    <w:p>
      <w:pPr>
        <w:spacing w:after="0" w:line="7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In addition to net sales, our Automotive segment had $80 million of services revenue and $76 million of related expenses (included in other revenues from operations and other expenses from operations, respectively, in the condensed consolidated statements of operations) during the three months ended March 31, 2016 due to our acquisition of Pep Boys during the first quarter of 2016. Prior to the acquisition of Pep Boys, our Automotive segment did not have any services revenues or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4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5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4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56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4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45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45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56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4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4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4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56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4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0" w:right="239" w:bottom="1440" w:gutter="0" w:footer="0" w:header="0"/>
        </w:sectPr>
      </w:pPr>
    </w:p>
    <w:bookmarkStart w:id="56" w:name="page57"/>
    <w:bookmarkEnd w:id="56"/>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Energy segment's petroleum business' gross margin to refining margin and refining margin adjusted for FIFO impacts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color w:val="auto"/>
              </w:rPr>
              <w:t>(in millions, except barrels metrics)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 operating expenses and turnaround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Refining margin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FIFO impacts, unfavorable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Refining margin adjusted for FIFO impacts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per barrel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Refining margin per barrel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Refining margin per barrel adjusted for FIFO impacts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crude oil throughput (barrels per day)</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184,155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201,664</w:t>
            </w:r>
          </w:p>
        </w:tc>
      </w:tr>
      <w:tr>
        <w:trPr>
          <w:trHeight w:val="27"/>
        </w:trPr>
        <w:tc>
          <w:tcPr>
            <w:tcW w:w="8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Times New Roman" w:cs="Times New Roman" w:eastAsia="Times New Roman" w:hAnsi="Times New Roman"/>
          <w:sz w:val="18"/>
          <w:szCs w:val="18"/>
          <w:i w:val="1"/>
          <w:iCs w:val="1"/>
          <w:color w:val="auto"/>
        </w:rPr>
        <w:t>www.sec.gov.</w:t>
      </w:r>
    </w:p>
    <w:p>
      <w:pPr>
        <w:spacing w:after="0" w:line="5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we owned 82% of the total outstanding common stock of CVR. In addition, as of March 31, 2016, we owned approximately 4.0% of the total outstanding common stock of CVR Refining, LP ("CVR Refining").</w:t>
      </w:r>
    </w:p>
    <w:p>
      <w:pPr>
        <w:spacing w:after="0" w:line="5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6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As further discussed in Note 2, "Operating Units - Energy," on April 1, 2016, CVR Partners completed its previously announced merger with East Dubuque (formerly known as Rentech Nitrogen Partners, LP.) and East Dubuque GP (formerly known as Rentech Nitrogen GP, LLC). Pursuant to the mergers, CVR Partners issued approximately 40.2 million common units to East Dubuque common unitholders and paid $99 million in cash consideration.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Influences on Results of Operations</w:t>
      </w:r>
    </w:p>
    <w:p>
      <w:pPr>
        <w:spacing w:after="0" w:line="1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6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72" w:right="239" w:bottom="1440" w:gutter="0" w:footer="0" w:header="0"/>
        </w:sectPr>
      </w:pPr>
    </w:p>
    <w:bookmarkStart w:id="57" w:name="page58"/>
    <w:bookmarkEnd w:id="57"/>
    <w:p>
      <w:pPr>
        <w:ind w:firstLine="405"/>
        <w:spacing w:after="0" w:line="254" w:lineRule="auto"/>
        <w:rPr>
          <w:sz w:val="20"/>
          <w:szCs w:val="20"/>
          <w:color w:val="auto"/>
        </w:rPr>
      </w:pPr>
      <w:r>
        <w:rPr>
          <w:rFonts w:ascii="Times New Roman" w:cs="Times New Roman" w:eastAsia="Times New Roman" w:hAnsi="Times New Roman"/>
          <w:sz w:val="18"/>
          <w:szCs w:val="18"/>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78"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On December 14, 2015, the EPA published in the Federal Register a final rule establishing the renewable fuel volume mandates for 2014, 2015 and 2016, and the biomass-based diesel mandate for 2017. The volumes included in the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 In addition, in the final rule establishing the renewable volume obligations for 2014-2016 and biomass based diesel for 2017, the EPA articulated a policy to incentivize additional investments in renewable fuel blending and distribution infrastructure by increasing the price of RINs.</w:t>
      </w:r>
    </w:p>
    <w:p>
      <w:pPr>
        <w:spacing w:after="0" w:line="8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cost of RINs for the three months ended March 31, 2016 and 2015 was $43 million and $37 million, respectively. The price of RINs has been extremely volatile and has increased over the last year.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Based upon recent market prices of RINs and current estimates related to the other variable factors, the petroleum business currently estimates that the total cost of RINs will be approximately $160 million to $190 million for the year ending December 31, 2016.</w:t>
      </w:r>
    </w:p>
    <w:p>
      <w:pPr>
        <w:spacing w:after="0" w:line="8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If sufficient RINs are unavailable for purchase at times when the petroleum business seeks to purchase RINs,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6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0"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72" w:right="239" w:bottom="1440" w:gutter="0" w:footer="0" w:header="0"/>
        </w:sectPr>
      </w:pPr>
    </w:p>
    <w:bookmarkStart w:id="58" w:name="page59"/>
    <w:bookmarkEnd w:id="58"/>
    <w:p>
      <w:pPr>
        <w:ind w:right="700"/>
        <w:spacing w:after="0" w:line="282" w:lineRule="auto"/>
        <w:rPr>
          <w:sz w:val="20"/>
          <w:szCs w:val="20"/>
          <w:color w:val="auto"/>
        </w:rPr>
      </w:pPr>
      <w:r>
        <w:rPr>
          <w:rFonts w:ascii="Times New Roman" w:cs="Times New Roman" w:eastAsia="Times New Roman" w:hAnsi="Times New Roman"/>
          <w:sz w:val="18"/>
          <w:szCs w:val="18"/>
          <w:color w:val="auto"/>
        </w:rPr>
        <w:t>relative percentage of sold gate versus sold delivered can change period to period. The product pricing at gate provides a measure that is consistently comparable period to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2016 and 2015</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Net sales for the petroleum business, before eliminations, for the three months ended March 31, 2016 decreased to $834 million from approximately $1.3 billion for the three months ended March 31, 2015. The decrease in net sales for the petroleum business was primarily due to significantly lower sales prices for the petroleum business' transportation fuels and by-products. For the three months ended March 31, 2016, CVR's petroleum business sold approximately 10.8 million and 7.4 million barrels of gasoline and distillate, respectively, with an average sales price per gallon for gasoline and distillate of $1.04 and $1.05, respectively. For the three months ended March 31, 2015, CVR's petroleum business sold approximately 10.7 million and 8.2 million barrels of gasoline and distillate, respectively, with an average sales price per gallon for gasoline and distillate of $1.48 and $1.69, respectively.</w:t>
      </w:r>
    </w:p>
    <w:p>
      <w:pPr>
        <w:spacing w:after="0" w:line="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sales for the fertilizer business, before eliminations, for the three months ended March 31, 2016 decreased to $73 million from $93 million for the three months ended March 31, 2015. The decrease in net sales for the fertilizer business was primarily due to a lower sales prices of UAN and ammonia. For the three months ended March 31, 2016, CVR sold 267,049 and 24,397 tons of UAN and ammonia, respectively, with a sales price per ton of $234 and $373, respectively. For the three months ended March 31, 2015, CVR sold 274,540 and 12,821 tons of UAN and ammonia, respectively, with a sales price per ton of $288 and $562, respectively. On-stream factors (total number of hours operated divided by total hours in the reporting period) for the gasification, ammonia and UAN units were 97.7%, 97.2% and 91.4%, respectively, for the three months ended March 31, 2016 and 99.4%, 94.4% and 97.8% for the three months ended March 31, 2015.</w:t>
      </w:r>
    </w:p>
    <w:p>
      <w:pPr>
        <w:spacing w:after="0" w:line="8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Cost of goods sold for the petroleum business for the three months ended March 31, 2016 and 2015 was $880 million and approximately $1.2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decrease in cost of sales for the petroleum business was primarily due to a decrease in cost of consumed crude oil and products purchased for resale. The average cost per barrel of crude oil consumed for the three months ended March 31, 2016 was $31.72 compared to $47.51 for the comparable period in 2015, a decrease of approximately 33%.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March 31, 2016, the petroleum business had an unfavorable FIFO inventory impact of $9 million compared to an unfavorable FIFO inventory impact of $25 million for the corresponding prior year period.</w:t>
      </w:r>
    </w:p>
    <w:p>
      <w:pPr>
        <w:spacing w:after="0" w:line="81"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Refining margin per barrel of crude oil throughput decreased to $6.67 for the three months ended March 31, 2016 from $13.68 for the three months ended March 31, 2015. Refining margin adjusted for FIFO impact decreased to $7.19 per crude oil throughput barrel for the three months ended March 31, 2016 from $15.03 per crude oil throughput barrel for the three months ended March 31, 2015. Gross margin per barrel was a loss of $2.74 for the three months ended March 31, 2016 as compared to gross margin per barrel of $6.56 in the corresponding prior year period. The decrease in refining margin and gross margin per barrel was primarily due to a weaker spread between crude oil and transportation fuels.</w:t>
      </w:r>
    </w:p>
    <w:p>
      <w:pPr>
        <w:spacing w:after="0" w:line="7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fertilizer business' cost of goods sold for the three months ended March 31, 2016 decreased to $49 million from $60 million, respectively. The decrease was primarily due to a decrease in purchased ammonia and lower pet coke costs. Cost of goods sold for the fertilizer business is primarily comprised of pet coke expense, freight expense, distribution expense, purchased ammonia costs, direct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7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ferrous tons and non-ferrous pounds sold for the three and three months ended March 31, 2016 and 2015 are as follows:</w:t>
      </w:r>
    </w:p>
    <w:p>
      <w:pPr>
        <w:spacing w:after="0" w:line="16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36830</wp:posOffset>
            </wp:positionV>
            <wp:extent cx="2101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(in 000s)</w:t>
            </w:r>
          </w:p>
        </w:tc>
        <w:tc>
          <w:tcPr>
            <w:tcW w:w="1180" w:type="dxa"/>
            <w:vAlign w:val="bottom"/>
          </w:tcPr>
          <w:p>
            <w:pPr>
              <w:spacing w:after="0"/>
              <w:rPr>
                <w:sz w:val="21"/>
                <w:szCs w:val="2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Non-ferrous pounds sold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33,394</w:t>
            </w:r>
          </w:p>
        </w:tc>
      </w:tr>
      <w:tr>
        <w:trPr>
          <w:trHeight w:val="20"/>
        </w:trPr>
        <w:tc>
          <w:tcPr>
            <w:tcW w:w="8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2016 and 2015</w:t>
      </w:r>
    </w:p>
    <w:p>
      <w:pPr>
        <w:spacing w:after="0" w:line="1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March 31, 2016 decreased by $48 million (45%) compared to the comparable prior year period. The decrease was due to lower shipment volumes and selling prices for all product types for the three months ended March 31, 2016 as compared to the corresponding prior year period.</w:t>
      </w:r>
    </w:p>
    <w:p>
      <w:pPr>
        <w:spacing w:after="0" w:line="6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Ferrous shipments decreased by 33,000 gross tons (16%) while the average price decreased by $111 per gross ton (39%) during the three months ended March 31, 2016 as compared to the comparable prior year period. The shipment decrease was attributable to reduced demand from domestic steel mills and to the slow flow of raw materials into the recycling yards. Low priced iron ore and reduced demand from steel mills during the current quarter continued to hold market prices below the comparable prior year level.</w:t>
      </w:r>
    </w:p>
    <w:p>
      <w:pPr>
        <w:spacing w:after="0" w:line="7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Non-ferrous shipment volumes decreased by 9.5 million pounds (28%) and average selling prices for non-ferrous decreased $0.11 per pound (15%) during the three months ended March 31, 2016 as compared to the comparable prior year period reflecting lower market pricing and its unfavorable impact on raw material availability.</w:t>
      </w:r>
    </w:p>
    <w:p>
      <w:pPr>
        <w:spacing w:after="0" w:line="68"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Cost of goods sold for the three months ended March 31, 2016 decreased by $52 million (45%) compared to the comparable prior year period. The decrease was primarily due to lower shipment volumes, lower material costs and lower processing costs. Gross margin as a percentage of net sales was a loss of 10% and 9% for the three months ended March 31, 2016 and 2015, respectively. The material margin component of gross margin, as a percentage of net sales, improved during the first three months of 2016 as compared to the same period in 2015, reflecting a continued focus on disciplined buying in the face of strong competition for shredder feedstock and lower pricing for non-ferrous auto shredder residue. In addition, while processing costs were lower in the three months ended March 31, 2016 than in the comparable prior year period, those costs increased as a percentage of net sales due to decreased revenues. PSC Metals continued to expend considerable effort to bring costs in line with volumes and market pricing. PSC Metals closed nine feeder yards after March 31, 2015 in order to better align its cost structure to the current market environment.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6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Sales/Other Revenues From Operations:</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Sold/Other Expenses From Operations: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Railcar segment includes the results of American Railcar Industries, Inc. ("ARI") and American Railcar Leasing, LLC ("ARL"). On February 29, 2016, we entered into a contribution agreement with an affiliate of Mr. Icahn to acquire the remaining 25% economic interest in ARL not already owned by us. See Note 3, "Related Party Transactions - Railcar," for further discussion regarding this transaction. Manufacturing net sales and cost of goods sold above include intra-segment net sales and related cost of goods sold for railcars sold by our Railcar segment to its railcar leasing business. Elimination amounts primarily represent eliminations of intra-segment net sales and related cost of goods sold and gross margin for our Railcar segment.</w:t>
      </w:r>
    </w:p>
    <w:p>
      <w:pPr>
        <w:spacing w:after="0" w:line="7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Railcar shipments for the three months ended March 31, 2016 were 1,330 railcars, including 200 railcars to leasing customers, as compared to 2,668 railcars for the comparable prior year period, including 1,777 railcars to leasing customers.</w:t>
      </w:r>
    </w:p>
    <w:p>
      <w:pPr>
        <w:spacing w:after="0" w:line="5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our Railcar segment had a backlog of 5,958 railcars, including 1,359 railcars for lease customers. In response to changes in customer demand, our Railcar segment continues to adjust production rates at its railcar manufacturing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2016 and 2015</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Total manufacturing revenues, before elimination of estimated railcar sales to our Railcar segment's leasing business, for the three months ended March 31, 2016 decreased by $159 million (52%) over the comparable prior year period. The decrease was primarily due to lower volume of shipments and a higher mix of hopper railcars, which generally sell at lower prices than tank railcars due to less material and labor content combined with a decrease in revenue from certain material cost changes that ARI generally passes through to its customers.</w:t>
      </w:r>
    </w:p>
    <w:p>
      <w:pPr>
        <w:spacing w:after="0" w:line="7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Gross margin from manufacturing operations, before eliminations relating to railcar sales to our Railcar segment's leasing business, for the three months ended March 31, 2016 decreased to $25 million from $73 million as compared to the prior year period. Gross margin from manufacturing operations as a percentage of manufacturing revenues decreased to 17% for the three months ended March 31, 2016 from 24% as compared to the corresponding prior year period. The decrease in gross margin percentage over the respective period was primarily due to a higher mix of hopper railcar shipments, which generally sell at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lower prices than tank railcars due to less material and labor content, in addition to more competitive pricing of both railcar types.</w:t>
      </w:r>
    </w:p>
    <w:p>
      <w:pPr>
        <w:spacing w:after="0" w:line="11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Railcar leasing revenues increased for the three months ended March 31, 2016 as compared to the corresponding prior year period due to an increase in number of railcars leased to customers and an increase in the average lease rate. The lease fleet grew to 45,272 railcars at March 31, 2016 from 41,601 railcars at March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and our wholly owned subsidiary, Trump Entertainment Resorts, Inc. (“Trump”) which currently owns and operates Trump Taj Mahal Casino Resort ("Trump Taj Mahal"). As discussed further in Note 2, "Operating Units - Gaming," we obtained control and consolidated the results of Trump upon its emergence from bankruptcy on February 26, 2016. Trump owns and operates Trump Taj Mahal which is located in Atlantic City, New Jersey. Trump Taj Mahal adds approximately 160,000 square feet of gaming space with 2,500 slot machines, 130 table games and 2,000 hotel rooms to our existing gaming operations.</w:t>
      </w:r>
    </w:p>
    <w:p>
      <w:pPr>
        <w:spacing w:after="0" w:line="76"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Times New Roman" w:cs="Times New Roman" w:eastAsia="Times New Roman" w:hAnsi="Times New Roman"/>
          <w:sz w:val="18"/>
          <w:szCs w:val="18"/>
          <w:i w:val="1"/>
          <w:iCs w:val="1"/>
          <w:color w:val="auto"/>
        </w:rPr>
        <w:t>www.sec.gov.</w:t>
      </w:r>
    </w:p>
    <w:p>
      <w:pPr>
        <w:spacing w:after="0" w:line="5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Gaming revenues and expenses are classified in other revenues from operations and other expenses from operations, respectively, in our condensed consolidated financial statements.</w:t>
      </w:r>
    </w:p>
    <w:p>
      <w:pPr>
        <w:spacing w:after="0" w:line="54"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Casino revenues are one of our gaming segment's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casino revenues for the three months ended March 31, 2016 as compared to the comparable prior year period was primarily due to an increase in consolidated gaming volumes of 10.1%, primarily due to the inclusion of results from Trump upon its emergence from bankruptcy on February 26, 2016, coupled with higher gaming volumes at Tropicana Casino and Resort, Atlantic City ("Tropicana AC"). Our Gaming segment's consolidated slot hold percentage was 9.6% and 9.4% for the three months ended March 31, 2016 and 2015, respectively. Our Gaming segment's consolidated table game hold percentage was 18.6% and 17.5% for the three months ended March 31, 2016 and 2015, respectively.</w:t>
      </w:r>
    </w:p>
    <w:p>
      <w:pPr>
        <w:spacing w:after="0" w:line="7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Net revenues from Tropicana AC comprise approximately 34% and 35% of our Gaming segment's net revenues for the three months ended March 31, 2016 and 2015, respectively. Based on market data, the Atlantic City market experienced year-over-year increases in casino win (including internet gaming win) of 3.1% for the three months ended March 31, 2016. Tropicana AC casino revenues increased in the three months ended March 31, 2016 as compared to the corresponding prior year period as a result of increased customer volumes, primarily from unusually mild weather in the region during the first three months of 2016 as compared to the corresponding prior year period. In addition, revenues were impacted by a capital renovation project that was completed in the middle of 2015, including hotel room and casino floor renovations, the opening of a new fitness center and boardwalk facade renovations. Tropicana AC's slot revenues increased 7.5%, driven by a 3.5% increase in slot handle during the first quarter of 2016 as compared to the first quarter of 2015. Tropicana AC's table game revenues increased 12.7% in the first quarter of 2016, due to a 10.5% increase in table game drop, combined with an increase in table game hold, to 16.5% in the three months ended March 31, 2016, compared to 16.2% in the same period of 2015. In addition, internet gaming revenues also increased 13.3% during the three months ended March 31, 2016 as compared to the corresponding prior year period.</w:t>
      </w:r>
    </w:p>
    <w:p>
      <w:pPr>
        <w:spacing w:after="0" w:line="7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Revenues from rooms increased for the three months ended March 31, 2016 as compared to the corresponding prior year period, primarily due to the inclusion of results from the Trump casino upon its emergence from bankruptcy on February 26, 2016. The average daily room rate and occupancy across all of our Gaming segment's properties were $81 and 66%, respectively, for the three months ended March 31, 2016 as compared to $79 and 67%, respectively, for the comparable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conducting our Mining segment through Ferrous Resources Limited ("Ferrous Resources"), which we consolidated during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9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For our Mining segment, the key performance driver has historically been from demand for raw materials from Chinese steelmakers. For the three months ended March 31, 2016, our Mining segment has been concentrating on sales in its domestic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72" w:right="239" w:bottom="1440" w:gutter="0" w:footer="0" w:header="0"/>
        </w:sectPr>
      </w:pPr>
    </w:p>
    <w:bookmarkStart w:id="62" w:name="page63"/>
    <w:bookmarkEnd w:id="62"/>
    <w:p>
      <w:pPr>
        <w:ind w:right="140"/>
        <w:spacing w:after="0" w:line="266" w:lineRule="auto"/>
        <w:rPr>
          <w:sz w:val="20"/>
          <w:szCs w:val="20"/>
          <w:color w:val="auto"/>
        </w:rPr>
      </w:pPr>
      <w:r>
        <w:rPr>
          <w:rFonts w:ascii="Times New Roman" w:cs="Times New Roman" w:eastAsia="Times New Roman" w:hAnsi="Times New Roman"/>
          <w:sz w:val="18"/>
          <w:szCs w:val="18"/>
          <w:color w:val="auto"/>
        </w:rPr>
        <w:t>market, Brazil, where the best margins are being captured. Although international iron ore prices have slightly improved to an average of $60 per metric ton during the first quarter of 2016, our Mining segment expects 2016 to be a challenging year for the steel industry as it contends with slowing growth, overcapacity and increased competition.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three months ended March 31, 2016 was $10 million. Cost of goods sold for the three months ended March 31, 2016 was 14 million.</w:t>
      </w:r>
    </w:p>
    <w:p>
      <w:pPr>
        <w:spacing w:after="0" w:line="11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our Mining segment focused its sales efforts exclusively within its domestic market, Brazil. During the three months ended March 31, 2016, 868,815 metric tons of iron ore were sold, of which 603,399 metric tons were sold to a single customer, a multinational diversified trading corporation, and 265,416 metric tons were sold to a Brazilian multinational diversified metals and mining corporation and one of the largest logistics operators in Brazil. The average sales price was $12 per metric ton. Our Mining segment continues to evaluate the best alternatives to sell its products in light of the challenging markets for iron ore.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1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Viskase currently operates nine manufacturing facilities and six distribution centers throughout North America, Europe, South America and Asia and derives approximately 69% of its total net sales from customers located outside the United States during the three months ended March 31, 2016.</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March 31, 2016 decreased by $8 million (9%) as compared to the corresponding prior year period, with the decrease due to $4 million due to unfavorable foreign currency translation, $3 million due to lower sales volume and $1 million due to unfavorable price and product mix.</w:t>
      </w:r>
    </w:p>
    <w:p>
      <w:pPr>
        <w:spacing w:after="0" w:line="6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March 31, 2016 decreased by $5 million as compared to the corresponding prior year period. Gross margin as a percent of net sales was 21% and 22% for the three months ended March 31, 2016 and 2015, respectively. The decline in the gross margin as a percent of net sales over the comparable period was due to foreign currency translation and unfavorable price and product mix.</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Real Estate revenues and expenses include results from resort operations, sales of residential units and rental income and expenses, including income from financing leases. Sales of residential units are included in net sales in our condensed consolidated financial statements. Results from resort and rental operations, including financing lease income, are included in other revenues from operations in our condensed consolidated financial statements. Revenue from our real estate operations for each of the three months ended March 31, 2016 and 2015 were substantially derived from our resort and rental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The business of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macroeconomic conditions, we cannot predict if WPH's financial performance will continue to improve.</w:t>
      </w:r>
    </w:p>
    <w:p>
      <w:pPr>
        <w:spacing w:after="0" w:line="7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2016 increased by $3 million (6%) compared to the comparable prior year period. The increase was primarily due to an increase in sales volume. Cost of goods sold for the three months ended March 31, 2016 increased by $2 million (5%) compared to the comparable prior year period. The increase was primarily due to higher sales volume. Gross margin as a percentage of net sales was 16% for the three months ended March 31, 2016 as compared to 15% for the comparable prior year period. The increase was primarily due to higher margins on more profitable programs and customers.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Holding Company had a net gain from investment activities of $9 million for the three months ended March 31, 2016 compared to a net loss from investment activities of $14 million in the comparable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 Net</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consolidated other income (loss), net for the three months ended March 31, 2016 and 2015 was $27 million and $(27) million, respectively. For the three months ended March 31, 2016 and 2015, our Energy segment recorded (loss) gains on certain derivative contracts of $(1) million and $51 million, respectively. See Note 6, "Financial Instruments," to the condensed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72" w:right="279" w:bottom="1440" w:gutter="0" w:footer="0" w:header="0"/>
        </w:sectPr>
      </w:pPr>
    </w:p>
    <w:bookmarkStart w:id="63" w:name="page64"/>
    <w:bookmarkEnd w:id="63"/>
    <w:p>
      <w:pPr>
        <w:ind w:right="64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for further discussion. In addition, for the three months ended March 31, 2016 and 2015, equity earnings from non-consolidated affiliates were $15 million and $14 million, respectively, primarily from investments within our Automotive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consolidated selling, general and administrative ("SG&amp;A") for the three months ended March 31, 2016 increased by $41 million (9%) as compared to the comparable prior year period. The increase was primarily attributable to an increase from our Automotive segment of $133 million due to the inclusion of the acquisitions of Pep Boys in February 2016 and IEH Auto in the second quarter of 2015 and an increase of $15 million from our Gaming segment primarily due to the inclusion of Trump casino upon its emergence from bankruptcy on February 26, 2016, offset in part by an decrease of $112 million from our Investment segment due to a reversal of compensation expense related to a certain fund 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Our consolidated restructuring costs were $15 million and $12 million for three months ended March 31, 2016 and 2015, respectively, which were attributable to our Automotive segment. These restructuring charges,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Federal-Mogul's restructuring expenses for the three months ended March 31,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and other charges of approximately $5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March 31, 2016 decreased by $29 million (11%) as compared the corresponding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 on borrowings under revolving credit facilities over the respective periods as well the inclusion of interest from the acquisitions of Pep Boys in February 2016 and IEH Auto in the second quarter of 2015, and higher interest from our Railcar segment due to higher debt balances over the respective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each of Icahn Enterprises and Icahn Enterprises Holdings recorded an income tax expense of $16 million on pre-tax loss of $1.6 billion compared to an income tax expense of $49 million on pre-tax income of $471 million for the three months ended March 31, 2015. Our effective income tax rate was (1.0)% and 10.4% for the three months ended March 31, 2016 and 2015, respectively.</w:t>
      </w:r>
    </w:p>
    <w:p>
      <w:pPr>
        <w:spacing w:after="0" w:line="6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5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the effective tax rate was lower than the statutory federal rate of 35%, primarily due to partnership income not subject to taxation, as such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2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the Holding Company had investments in the Investment Funds with a total fair market value of approximately $1.8 billion. As of March 31, 2016, our Holding Company had cash and cash equivalents of $212 million and total debt of approximately $5.5 billion.</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72" w:right="279" w:bottom="1440" w:gutter="0" w:footer="0" w:header="0"/>
        </w:sectPr>
      </w:pPr>
    </w:p>
    <w:bookmarkStart w:id="64" w:name="page65"/>
    <w:bookmarkEnd w:id="64"/>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based on covenants in the indenture governing our senior notes, we are not permitted to incur additional indebtedness. See Note 10, “Debt,” to the condensed consolidated financial statements for additional information concerning credit facilities for us and our subsidiaries.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Depositary Units</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April 29, 2016, the Board of Directors of the general partner of Icahn Enterprises declared a quarterly distribution in the amount of $1.50 per depositary unit, which will be paid on or about June 16, 2016 to depositary unit holders of record at the close of business on May 12, 2016. Depositary unit holders have until June 6,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June 13,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Icahn Enterprises</w:t>
            </w:r>
          </w:p>
        </w:tc>
        <w:tc>
          <w:tcPr>
            <w:tcW w:w="7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 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 senior unsecured notes due 2020 - Icahn Enterprises/Icahn Enterprises Holdings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 Enterprises Holdings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 Enterprises Holdings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facilities - Energy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 - 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2015 for information concerning terms, restrictions and covenants pertaining to our debt. See Note 10, “Debt,” to the condensed consolidated financial statements in this Report for information with respect to updates on our debt at March 31, 2016 compared to December 31, 2015. As of March 31, 2016, we are in compliance with all debt covenants.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Contingencies</w:t>
      </w:r>
    </w:p>
    <w:p>
      <w:pPr>
        <w:spacing w:after="0" w:line="121" w:lineRule="exact"/>
        <w:rPr>
          <w:sz w:val="20"/>
          <w:szCs w:val="20"/>
          <w:color w:val="auto"/>
        </w:rPr>
      </w:pPr>
    </w:p>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commitments and contingencies as compared to those reported in our Annual Report on Form 10-K for the year ended December 31, 2015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72"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21"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the three months ended March 31, 2016 and cash and cash equivalents as of March 31, 2016 for Icahn Enterprises' operating segments and the Holding Company: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2016</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Cash Provided By (Used In)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Investing</w:t>
            </w: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Activities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Gaming</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Packaging</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 Fashion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2016 was primarily attributable to our Investment segment due to net cash provided by investment transactions. Additionally, our Railcar segment has net cash provided by operating activities primarily due to earnings and changes in working capital. Our Automotive segment also had net cash provided by operating activities due to earnings offset in part by decreases in working capital. The Holding Company had net cash used in operating activities primarily due to interest payments on our senior unsecured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2016 was primarily due to our acquisition of Pep Boys by the Holding Company. Additionally, our Railcar segment had capital expenditures of $39 million, of which $35 million was for the manufacture or purchase of railcars for its leasing operations, and our Automotive and Energy segments had capital expenditures of $99 million and $48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during the three months ended March 31, 2016 was primarily due to our Investment segment which received contributions from affiliates of Mr. Icahn of $490 million. This was offset in part by repayments of debt by our Railcar segment and net repayments of debt by our Automotive segment. Refer to Note 10, "Debt," for discussion on our debt activity during the three months ended March 31,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Segment Liquidity and Capital Resources</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capital expenditures during the three months ended March 31, 2016 as compared to the estimated capital expenditures for 2016 as reported in our Annual Report on Form 10-K for the year ended December 31,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6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2016, the Investment Funds' net notional exposure was -149%. The Investment Funds' long exposure was 164% (156% long equity and 8% long credit) and the Investment Funds' short exposure was 313% (277% short equity, 36% short credit and other). The notional exposure represents the ratio of the notional exposure of the Investment Funds' invested capital to the net asset value of the Investment Funds at March 31, 2016.</w:t>
      </w:r>
    </w:p>
    <w:p>
      <w:pPr>
        <w:spacing w:after="0" w:line="68"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Of our long exposure of 164%, the fair value of our long positions (with certain adjustments) represented 158% of our long exposure. The notional value of our other long positions, which primarily included single name equity forward contracts and credit contracts, represented 6% of our long exposure.</w:t>
      </w:r>
    </w:p>
    <w:p>
      <w:pPr>
        <w:spacing w:after="0" w:line="54"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Of our short exposure of 313%, the fair value of our short positions represented 18% of our short exposure. The notional value of our other short positions, which primarily included short credit default swap contracts and short broad market index swap derivative contracts, represented 295% of our short exposure.</w:t>
      </w:r>
    </w:p>
    <w:p>
      <w:pPr>
        <w:spacing w:after="0" w:line="68"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(158% long exposure) and our short positions that are not notionalized (18%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2"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(295%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0" w:lineRule="exact"/>
        <w:rPr>
          <w:sz w:val="20"/>
          <w:szCs w:val="20"/>
          <w:color w:val="auto"/>
        </w:rPr>
      </w:pPr>
    </w:p>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historically have had access to significant amounts of cash available from prime brokerage lines of credit, subject to customary terms and market conditions.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2016, Federal-Mogul increased its borrow capacity under its revolving credit facility by $50 million to $600 million. As of March 31, 2016, the outstanding balance on Federal-Mogul's revolving credit facility was $390 million. As of March 31, 2016, the borrowing availability under Federal-Mogul's revolving credit facility was $170 million. Federal-Mogul had $40 million of letters of credit outstanding as of March 31, 2016 pertaining to Federal-Mogul's term loan credit facility. To the extent letters of credit associated with the Federal-Mogul's revolving credit facility are issued, there will be a corresponding decrease in borrowings available under this facility.</w:t>
      </w:r>
    </w:p>
    <w:p>
      <w:pPr>
        <w:spacing w:after="0" w:line="7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$491 million and $408 million as of March 31, 2016 and December 31, 2015, respectively. Of those gross amounts, $479 million and $401 million, respectively, qualify as sales as defined in FASB ASC Topic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within accounts receivable, net and debt. Under the terms of these facilities, Federal-Mogul is not obligated to draw cash immediately upon the transfer of accounts receivable. As of both March 31, 2016 and December 31, 2015, Federal-Mogul had withdrawn cash related to such transferred receivables of $1 million. Proceeds from the transfers of accounts receivable qualifying as sales were $413 million and $390 million for the three months ended March 31, 2016 and 2015, respectively.</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the availability on the IEH Auto ABL Credit Facility was $42 million.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Pep Boys has a revolving credit agreement with Bank of America, N.A., as Administrative Agent, and other parties thereto providing for borrowings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$300 million and having a maturity of July 2016. The interest rate on this facility is LIBOR plus a margin of 2.00% to 2.50% for LIBOR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or Prime plus 1.00% to 1.50% for Prime rate borrowings. The margin is based upon the then current availability under the facility.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Pep Boys had $60 million outstanding under the facility and $41 million of availability was utilized to support outstanding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Taking into account the borrowing base requirements (including reduction for amounts outstanding under the trade payable program), as of March 31,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$81 million of availability remaining under the facility.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7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of March 31, 2016, CRLLC had availability under the Amended and Restated ABL Credit Facility of $245 million and had letters of credit outstanding of $28 million. There were no borrowings outstanding under the ABL Credit Facility as of March 31, 2016. Availability under the Amended and Restated ABL Credit Facility was limited by borrowing base conditions as of March 31, 2016. In addition, as of March 31, 2016, CVR Partners had $25 million availability under its revolving credit facility, with an uncommitted incremental facility of up to $50 million. On April 1, 2016, CVR Partners repaid all amounts outstanding under the term loan with respect to this credit facility and the credit facility was terminated.</w:t>
      </w:r>
    </w:p>
    <w:p>
      <w:pPr>
        <w:spacing w:after="0" w:line="7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East Dubuque’s debt arrangements that remained in place until the closing date of the mergers included $320 million of Second Lien Notes due 2021 (the "Second Lien Notes"). East Dubuque is required under the change of control provision within the indenture governing the Second Lien Notes to offer to purchase, within 90 days of the mergers, all outstanding Second Lien Notes at a price equal to 101% of the principal amount thereof, plus accrued and unpaid interest thereon to the date of purchase. On April 1, 2016, in connection with the closing of the mergers, CVR Partners entered into a new $320 million senior term loan facility with American Entertainment Properties Corp, a wholly owned subsidiary of Icahn Enterprises, as the lender, which (i) may be used by CVR to provide funds to East Dubuque to make a change of control offer and, and if applicable, a "clean-up" redemption in accordance with the indenture governing the Second Lien Notes or (ii) may be used by CVR Partners or East Dubuque to make a tender offer for the Second Lien Notes and, in each case, pay fees and expenses thereto.</w:t>
      </w:r>
    </w:p>
    <w:p>
      <w:pPr>
        <w:spacing w:after="0" w:line="7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76"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we received $36 million in dividends from CVR. Subsequent to March 31, 2016, CVR declared a quarterly dividend, which will result in an additional $36 million in dividends paid to us in the second quarter of 2016.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119"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In December 2015, ARI completed a financing of its railcar lease fleet with availability of up to $200 million under a credit agreement (the "ARI 2015 Credit Agreement"). The ARI 2015 Credit Agreement contains an incremental borrowing provision under which ARI, as debtor and subject to the conditions set forth in the ARI 2015 Credit Agreement, has the right but not the obligation to increase the amount of the facility in an aggregate amount of up to $100 million (the amounts extended under the 2015 Credit Agreement, inclusive of any amounts extended under the incremental facility, the Revolving Loans), to a maximum principal amount of $300 million. In February 2016, ARI repaid amounts outstanding under the Revolving Loan in full and as of the date of this Report has borrowing availability of $200 million under this credit facility.</w:t>
      </w:r>
    </w:p>
    <w:p>
      <w:pPr>
        <w:spacing w:after="0" w:line="80"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On July 28, 2015, ARI's board of directors authorized the repurchase of up to $250 million of its outstanding common stock ("ARI Stock Repurchase Program"). The ARI Stock Repurchase Program will end upon the earlier of the date on which it is terminated by ARI's board of directors or when all authorized repurchases are completed. The timing and amount of stock repurchases, if any, will be determined based upon ARI's evaluation of market conditions and other factors. The ARI Stock Repurchase Program may be suspended, modified or discontinued at any time and ARI has no obligation to repurchase any amount of its common stock under the ARI Stock Repurchase Program. Under the ARI Stock Repurchase Program, ARI repurchased shares of its common stock during the three months ended March 31, 2016 at a cost of $11 million. As of the date of this Report, there remains $182 million available for further share repurchases under the ARI Stock Repurchase Program.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On July 31, 2015 Tropicana's board of directors authorized the repurchase of up to $50 million of its outstanding common stock with no set expiration date ("Tropicana Stock Repurchase Program"). The Tropicana Stock Repurchase Program will end upon the earlier of the date on which the plan is terminated by Tropicana's board of directors or when all authorized repurchases are completed. The timing and amount of stock repurchases, if any, will be determined based upon Tropicana's evaluation of market conditions and other factors. The Tropicana Stock Repurchase Program may be suspended, modified or discontinued at any time and Tropicana has no obligation to repurchase any amount of its common stock under the Tropicana Stock Repurchase Program. Under the Tropicana Stock Repurchase Program, Tropicana repurchased shares of its common stock during the three months ended March 31, 2016 at a cost of $4 million. As of the date of this Report, there remains $46 million available for further share repurchases under the Tropicana Stock Repurchase Program.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70"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than the goodwill impairment for our Energy segment as discussed below, there have been no material changes to our critical accounting policies and estimates during the three months ended March 31, 2016 as compared to those reported in our Annual Report on Form 10-K for the year ended December 31, 2015.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 reporting unit. Due to the complexity in the "Step 2" goodwill impairment test performed during the first quarter of 2016, we expect to finalize the assessment of our Energy segment's goodwill impairment during the second quarter of 2016 and any resulting difference in the amount of the impairment will be adjusted at that time.</w:t>
      </w:r>
    </w:p>
    <w:p>
      <w:pPr>
        <w:spacing w:after="0" w:line="7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Energy segment's reporting unit fair values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Refer to Part I, Note 1, "Description of Business and Basis of Presentation ," of this Report for a discussion of recent accounting pronouncements applicable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6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2015 and those set forth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Information about our quantitative and qualitative disclosures about market risk for each of our segments discussed below did not differ materially from those disclosed in Part II, Item 7A of our 2015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2016, we estimate that in the event of a 10% adverse change in the fair value of these investments, the fair values of securities owned, securities sold, not yet purchased and derivatives would decrease by approximately $927 million, $105 million and $2.2 billion, respectively. However, as of March 31, 2016, we estimate that the impact to our share of the net gain (loss) from investment activities reported in our condensed consolidated statement of operations would be less than the change in fair value since we have an investment of approximately 31% in the Investment Funds, and the non-controlling interests in income would correspondingly offset approximately 69% of the change in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See Note 6, “Financial Instruments-Automotive,” to the condensed consolidated financial statements for discussion regarding our Automotive segment's interest rate risk, commodity price risk and foreign currency risk.</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translated values of revenue and expense from our Automotive segment's international operations are subject to fluctuations due to changes in currency exchange rates. During the three months ended March 31, 2016, our Automotive segment derived 38% of its sales in the United States and 62% internationally. Of these international sales, 56%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6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70"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At March 31, 2016, CVR Refining had open commodity hedging instruments consisting of 1.0 million barrels of crack spreads primarily to fix the margin on a portion of our future gasoline and distillate production. A change of $1.00 per barrel in the fair value of the crack spread swaps would result in an increase or decrease in the related fair values of commodity hedging instruments of $1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CVR Partners had two floating to fixed interest rate swap agreements for the purpose of hedging the interest rate risk associated with a portion of its $125 million floating rate term debt. The interest rate swaps agreements expired February 12, 2016, and subsequently, CVR Partners had exposure to interest rate risk on 100% of its $125 million floating rate debt under its credit facility. A 1.0% increase over the Eurodollar floor spread of 3.5%, as specified in the credit agreement, would increase interest cost to CVR Partners by approximately $1 million on an annualized basis, thus decreasing net income by the same amount. On April 1, 2016, CVR Partners repaid all amounts outstanding under the term loan with respect to this credit facility and the credit facility was terminated.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Railcar segment is exposed to price risks associated with the purchase of raw materials, especially steel and heavy castings. The cost of steel, heavy castings and all other materials used in the production of railcars represents a significant amount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8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Railcar segment's financial results could be affected by changes in interest rates due to the impact those changes have on its variable rate debt obligation as of March 31, 2016. A one percentage point increase in the rate of the average variable rate debt as of March 31, 2016 would have a $10 million impact on our Railcar segment's annualized interest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Tropicana's primary exposure to market risk is interest rate risk associated with its Tropicana New Term Loan Facility that bears interest based on floating rates. Based on Tropicana's borrowings as of March 31, 2016, assuming a 1% increase over the 4% floor specified in its Tropicana New Term Loan Facility, Tropicana's annual interest cost would change by approximately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for the three months ended March 31, 2016 would have decreased net income attributable to Icahn Enterprises for our Mining segment by $1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significant capital expenditures are expected to be incurred in U.S. dollars. Accordingly, our Mining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70" w:right="259" w:bottom="1440" w:gutter="0" w:footer="0" w:header="0"/>
        </w:sectPr>
      </w:pPr>
    </w:p>
    <w:bookmarkStart w:id="71" w:name="page72"/>
    <w:bookmarkEnd w:id="71"/>
    <w:p>
      <w:pPr>
        <w:ind w:right="20"/>
        <w:spacing w:after="0" w:line="266" w:lineRule="auto"/>
        <w:rPr>
          <w:sz w:val="20"/>
          <w:szCs w:val="20"/>
          <w:color w:val="auto"/>
        </w:rPr>
      </w:pPr>
      <w:r>
        <w:rPr>
          <w:rFonts w:ascii="Times New Roman" w:cs="Times New Roman" w:eastAsia="Times New Roman" w:hAnsi="Times New Roman"/>
          <w:sz w:val="18"/>
          <w:szCs w:val="18"/>
          <w:color w:val="auto"/>
        </w:rPr>
        <w:t>segment's financial results may be impacted by exchange rate fluctuations between the U.S. dollar and the Brazilian real. Our Mining segment estimates that a hypothetical 10% adverse movement of the Brazilian real against the U.S. dollar during the three months ended March 31, 2016 would have decreased net income attributable to Icahn Enterprises for our Mining segment by $2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Price Risk</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7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Based on sensitivity analysis for our equity price risks as of March 31, 2016, the effects of a 10% adverse change in the fair value of these investments would result in loss of approximately $37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 of March 31, 2016,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72" w:right="239" w:bottom="1440" w:gutter="0" w:footer="0" w:header="0"/>
        </w:sectPr>
      </w:pPr>
    </w:p>
    <w:bookmarkStart w:id="72" w:name="page73"/>
    <w:bookmarkEnd w:id="7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risk factors during the three months ended March 31, 2016 as compared to those reported in our Annual Report on Form 10-K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240" w:top="360" w:right="4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302(a) of the Sarbanes-Oxley Act of 2002 and Rule 13a-14(a) of the</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302(a) of the Sarbanes-Oxley Act of 2002 and Rule 13a-14(a) of the</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 (18</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U.S.C. 1350) and Rule 13a-14(b) of the Securities Exchange Act of 1934.</w:t>
            </w:r>
          </w:p>
        </w:tc>
      </w:tr>
      <w:tr>
        <w:trPr>
          <w:trHeight w:val="252"/>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101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period ended March 31, 2016, formatted in XBRL (Extensible Business Reporting Language) includes: (i) the Condensed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March 31, 2016 and December 31, 2015, (ii) the Condensed Consolidated Statements of Operations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 2016 and 2015, (iii) the Condensed Consolidated Statements of Comprehensive Income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2016 and 2015, (iv) the Condensed Consolidated Statements of Changes in Equity for the three months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2016 and 2015, (v) the Condensed Consolidated Statements of Cash Flows for the three months ended March 31, 2016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2015 and (vi) the Notes to the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60" w:right="239" w:bottom="1440" w:gutter="0" w:footer="0" w:header="0"/>
        </w:sectPr>
      </w:pPr>
    </w:p>
    <w:bookmarkStart w:id="74" w:name="page75"/>
    <w:bookmarkEnd w:id="7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SungHwan Cho,</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 and Director</w:t>
      </w:r>
    </w:p>
    <w:p>
      <w:pPr>
        <w:spacing w:after="0" w:line="39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Peter Reck,</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SungHwan Cho,</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 and Director</w:t>
      </w:r>
    </w:p>
    <w:p>
      <w:pPr>
        <w:spacing w:after="0" w:line="39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Peter Reck,</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00"/>
          </w:cols>
          <w:pgMar w:left="240" w:top="360" w:right="4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March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06"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general partner of Icahn Enterprises L.P. and Icahn Enterprises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ectPr>
          <w:pgSz w:w="11900" w:h="16838" w:orient="portrait"/>
          <w:cols w:equalWidth="0" w:num="1">
            <w:col w:w="11420"/>
          </w:cols>
          <w:pgMar w:left="240" w:top="576"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March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06"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ectPr>
          <w:pgSz w:w="11900" w:h="16838" w:orient="portrait"/>
          <w:cols w:equalWidth="0" w:num="1">
            <w:col w:w="11420"/>
          </w:cols>
          <w:pgMar w:left="240" w:top="576"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joint quarterly report on Form 10-Q of Icahn Enterprises L.P. and Icahn Enterprises Holdings L.P., for the period ended March 31, 2016, the undersigned certify that, to the best of his knowledge, based upon a review of the Icahn Enterprises L.P. and Icahn Enterprises Holdings L.P. joint quarterly report on Form 10-Q for the period ended March 31, 2016:</w:t>
      </w:r>
    </w:p>
    <w:p>
      <w:pPr>
        <w:spacing w:after="0" w:line="176" w:lineRule="exact"/>
        <w:rPr>
          <w:sz w:val="20"/>
          <w:szCs w:val="20"/>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registrants.</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 the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partner of Icahn Enterprises L.P. and Icahn Enterprises Holdings</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Roman"/>
      <w:start w:val="2"/>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8"/>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2019-12-29T11:00:45Z</dcterms:created>
  <dcterms:modified xsi:type="dcterms:W3CDTF">2019-12-29T11:00:45Z</dcterms:modified>
</cp:coreProperties>
</file>