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10"/>
        <w:spacing w:after="0"/>
        <w:rPr>
          <w:sz w:val="20"/>
          <w:szCs w:val="20"/>
          <w:color w:val="auto"/>
        </w:rPr>
      </w:pPr>
      <w:r>
        <w:rPr>
          <w:rFonts w:ascii="Arial" w:cs="Arial" w:eastAsia="Arial" w:hAnsi="Arial"/>
          <w:sz w:val="25"/>
          <w:szCs w:val="25"/>
          <w:b w:val="1"/>
          <w:bCs w:val="1"/>
          <w:color w:val="auto"/>
        </w:rPr>
        <w:t>FORM 10-K</w:t>
      </w:r>
    </w:p>
    <w:p>
      <w:pPr>
        <w:spacing w:after="0" w:line="122" w:lineRule="exact"/>
        <w:rPr>
          <w:sz w:val="24"/>
          <w:szCs w:val="24"/>
          <w:color w:val="auto"/>
        </w:rPr>
      </w:pPr>
    </w:p>
    <w:p>
      <w:pPr>
        <w:ind w:left="1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3370" w:right="1100" w:hanging="3370"/>
        <w:spacing w:after="0" w:line="331" w:lineRule="auto"/>
        <w:tabs>
          <w:tab w:leader="none" w:pos="3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30" w:lineRule="exact"/>
        <w:rPr>
          <w:sz w:val="24"/>
          <w:szCs w:val="24"/>
          <w:color w:val="auto"/>
        </w:rPr>
      </w:pPr>
    </w:p>
    <w:p>
      <w:pPr>
        <w:ind w:left="250" w:hanging="250"/>
        <w:spacing w:after="0"/>
        <w:tabs>
          <w:tab w:leader="none" w:pos="25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330"/>
        <w:spacing w:after="0"/>
        <w:tabs>
          <w:tab w:leader="none" w:pos="673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ectPr>
          <w:pgSz w:w="11900" w:h="16838" w:orient="portrait"/>
          <w:cols w:equalWidth="0" w:num="1">
            <w:col w:w="10230"/>
          </w:cols>
          <w:pgMar w:left="830" w:top="665" w:right="839" w:bottom="1440" w:gutter="0" w:footer="0" w:header="0"/>
        </w:sectPr>
      </w:pPr>
    </w:p>
    <w:p>
      <w:pPr>
        <w:spacing w:after="0" w:line="200" w:lineRule="exact"/>
        <w:rPr>
          <w:sz w:val="24"/>
          <w:szCs w:val="24"/>
          <w:color w:val="auto"/>
        </w:rPr>
      </w:pPr>
    </w:p>
    <w:p>
      <w:pPr>
        <w:spacing w:after="0" w:line="296" w:lineRule="exact"/>
        <w:rPr>
          <w:sz w:val="24"/>
          <w:szCs w:val="24"/>
          <w:color w:val="auto"/>
        </w:rPr>
      </w:pPr>
    </w:p>
    <w:tbl>
      <w:tblPr>
        <w:tblLayout w:type="fixed"/>
        <w:tblInd w:w="51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4620" w:type="dxa"/>
            <w:vAlign w:val="bottom"/>
          </w:tcPr>
          <w:p>
            <w:pPr>
              <w:jc w:val="center"/>
              <w:ind w:left="412"/>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148"/>
        </w:trPr>
        <w:tc>
          <w:tcPr>
            <w:tcW w:w="2060" w:type="dxa"/>
            <w:vAlign w:val="bottom"/>
            <w:vMerge w:val="restart"/>
          </w:tcPr>
          <w:p>
            <w:pPr>
              <w:jc w:val="center"/>
              <w:ind w:right="399"/>
              <w:spacing w:after="0"/>
              <w:rPr>
                <w:sz w:val="20"/>
                <w:szCs w:val="20"/>
                <w:color w:val="auto"/>
              </w:rPr>
            </w:pPr>
            <w:r>
              <w:rPr>
                <w:rFonts w:ascii="Arial" w:cs="Arial" w:eastAsia="Arial" w:hAnsi="Arial"/>
                <w:sz w:val="14"/>
                <w:szCs w:val="14"/>
                <w:color w:val="auto"/>
                <w:w w:val="94"/>
              </w:rPr>
              <w:t>(Commission File Number)</w:t>
            </w:r>
          </w:p>
        </w:tc>
        <w:tc>
          <w:tcPr>
            <w:tcW w:w="4620" w:type="dxa"/>
            <w:vAlign w:val="bottom"/>
          </w:tcPr>
          <w:p>
            <w:pPr>
              <w:jc w:val="center"/>
              <w:ind w:left="392"/>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144"/>
        </w:trPr>
        <w:tc>
          <w:tcPr>
            <w:tcW w:w="2060" w:type="dxa"/>
            <w:vAlign w:val="bottom"/>
            <w:vMerge w:val="continue"/>
          </w:tcPr>
          <w:p>
            <w:pPr>
              <w:spacing w:after="0"/>
              <w:rPr>
                <w:sz w:val="12"/>
                <w:szCs w:val="12"/>
                <w:color w:val="auto"/>
              </w:rPr>
            </w:pPr>
          </w:p>
        </w:tc>
        <w:tc>
          <w:tcPr>
            <w:tcW w:w="4620" w:type="dxa"/>
            <w:vAlign w:val="bottom"/>
          </w:tcPr>
          <w:p>
            <w:pPr>
              <w:jc w:val="center"/>
              <w:ind w:left="412"/>
              <w:spacing w:after="0" w:line="145" w:lineRule="exact"/>
              <w:rPr>
                <w:sz w:val="20"/>
                <w:szCs w:val="20"/>
                <w:color w:val="auto"/>
              </w:rPr>
            </w:pPr>
            <w:r>
              <w:rPr>
                <w:rFonts w:ascii="Arial" w:cs="Arial" w:eastAsia="Arial" w:hAnsi="Arial"/>
                <w:sz w:val="14"/>
                <w:szCs w:val="14"/>
                <w:color w:val="auto"/>
                <w:w w:val="92"/>
              </w:rPr>
              <w:t>(Telephone Number)</w:t>
            </w:r>
          </w:p>
        </w:tc>
        <w:tc>
          <w:tcPr>
            <w:tcW w:w="0" w:type="dxa"/>
            <w:vAlign w:val="bottom"/>
          </w:tcPr>
          <w:p>
            <w:pPr>
              <w:spacing w:after="0"/>
              <w:rPr>
                <w:sz w:val="1"/>
                <w:szCs w:val="1"/>
                <w:color w:val="auto"/>
              </w:rPr>
            </w:pPr>
          </w:p>
        </w:tc>
      </w:tr>
      <w:tr>
        <w:trPr>
          <w:trHeight w:val="328"/>
        </w:trPr>
        <w:tc>
          <w:tcPr>
            <w:tcW w:w="2060" w:type="dxa"/>
            <w:vAlign w:val="bottom"/>
          </w:tcPr>
          <w:p>
            <w:pPr>
              <w:jc w:val="right"/>
              <w:ind w:right="939"/>
              <w:spacing w:after="0"/>
              <w:rPr>
                <w:sz w:val="20"/>
                <w:szCs w:val="20"/>
                <w:color w:val="auto"/>
              </w:rPr>
            </w:pPr>
            <w:r>
              <w:rPr>
                <w:rFonts w:ascii="Arial" w:cs="Arial" w:eastAsia="Arial" w:hAnsi="Arial"/>
                <w:sz w:val="18"/>
                <w:szCs w:val="18"/>
                <w:b w:val="1"/>
                <w:bCs w:val="1"/>
                <w:color w:val="auto"/>
              </w:rPr>
              <w:t>1-9516</w:t>
            </w:r>
          </w:p>
        </w:tc>
        <w:tc>
          <w:tcPr>
            <w:tcW w:w="4620" w:type="dxa"/>
            <w:vAlign w:val="bottom"/>
          </w:tcPr>
          <w:p>
            <w:pPr>
              <w:jc w:val="center"/>
              <w:ind w:left="392"/>
              <w:spacing w:after="0"/>
              <w:rPr>
                <w:sz w:val="20"/>
                <w:szCs w:val="20"/>
                <w:color w:val="auto"/>
              </w:rPr>
            </w:pPr>
            <w:r>
              <w:rPr>
                <w:rFonts w:ascii="Arial" w:cs="Arial" w:eastAsia="Arial" w:hAnsi="Arial"/>
                <w:sz w:val="25"/>
                <w:szCs w:val="25"/>
                <w:b w:val="1"/>
                <w:bCs w:val="1"/>
                <w:color w:val="auto"/>
                <w:w w:val="99"/>
              </w:rPr>
              <w:t>ICAHN ENTERPRISES L.P.</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4620" w:type="dxa"/>
            <w:vAlign w:val="bottom"/>
          </w:tcPr>
          <w:p>
            <w:pPr>
              <w:jc w:val="center"/>
              <w:ind w:left="392"/>
              <w:spacing w:after="0"/>
              <w:rPr>
                <w:sz w:val="20"/>
                <w:szCs w:val="20"/>
                <w:color w:val="auto"/>
              </w:rPr>
            </w:pPr>
            <w:r>
              <w:rPr>
                <w:rFonts w:ascii="Arial" w:cs="Arial" w:eastAsia="Arial" w:hAnsi="Arial"/>
                <w:sz w:val="18"/>
                <w:szCs w:val="18"/>
                <w:b w:val="1"/>
                <w:bCs w:val="1"/>
                <w:color w:val="auto"/>
                <w:w w:val="90"/>
              </w:rPr>
              <w:t>16690 Collins Avenue, PH-1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620" w:type="dxa"/>
            <w:vAlign w:val="bottom"/>
          </w:tcPr>
          <w:p>
            <w:pPr>
              <w:jc w:val="center"/>
              <w:ind w:left="372"/>
              <w:spacing w:after="0"/>
              <w:rPr>
                <w:sz w:val="20"/>
                <w:szCs w:val="20"/>
                <w:color w:val="auto"/>
              </w:rPr>
            </w:pPr>
            <w:r>
              <w:rPr>
                <w:rFonts w:ascii="Arial" w:cs="Arial" w:eastAsia="Arial" w:hAnsi="Arial"/>
                <w:sz w:val="18"/>
                <w:szCs w:val="18"/>
                <w:b w:val="1"/>
                <w:bCs w:val="1"/>
                <w:color w:val="auto"/>
                <w:w w:val="89"/>
              </w:rPr>
              <w:t>Sunny Isles Beach, FL 33160</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4620" w:type="dxa"/>
            <w:vAlign w:val="bottom"/>
          </w:tcPr>
          <w:p>
            <w:pPr>
              <w:jc w:val="center"/>
              <w:ind w:left="372"/>
              <w:spacing w:after="0"/>
              <w:rPr>
                <w:sz w:val="20"/>
                <w:szCs w:val="20"/>
                <w:color w:val="auto"/>
              </w:rPr>
            </w:pPr>
            <w:r>
              <w:rPr>
                <w:rFonts w:ascii="Arial" w:cs="Arial" w:eastAsia="Arial" w:hAnsi="Arial"/>
                <w:sz w:val="18"/>
                <w:szCs w:val="18"/>
                <w:b w:val="1"/>
                <w:bCs w:val="1"/>
                <w:color w:val="auto"/>
                <w:w w:val="90"/>
              </w:rPr>
              <w:t>(305) 422-4100</w:t>
            </w: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4620" w:type="dxa"/>
            <w:vAlign w:val="bottom"/>
          </w:tcPr>
          <w:p>
            <w:pPr>
              <w:jc w:val="center"/>
              <w:ind w:left="392"/>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64"/>
              <w:spacing w:after="0"/>
              <w:rPr>
                <w:sz w:val="20"/>
                <w:szCs w:val="20"/>
                <w:color w:val="auto"/>
              </w:rPr>
            </w:pPr>
            <w:r>
              <w:rPr>
                <w:rFonts w:ascii="Arial" w:cs="Arial" w:eastAsia="Arial" w:hAnsi="Arial"/>
                <w:sz w:val="14"/>
                <w:szCs w:val="14"/>
                <w:color w:val="auto"/>
                <w:w w:val="92"/>
              </w:rPr>
              <w:t>(State or Other</w:t>
            </w:r>
          </w:p>
        </w:tc>
        <w:tc>
          <w:tcPr>
            <w:tcW w:w="1200" w:type="dxa"/>
            <w:vAlign w:val="bottom"/>
          </w:tcPr>
          <w:p>
            <w:pPr>
              <w:spacing w:after="0"/>
              <w:rPr>
                <w:sz w:val="14"/>
                <w:szCs w:val="14"/>
                <w:color w:val="auto"/>
              </w:rPr>
            </w:pPr>
          </w:p>
        </w:tc>
      </w:tr>
      <w:tr>
        <w:trPr>
          <w:trHeight w:val="148"/>
        </w:trPr>
        <w:tc>
          <w:tcPr>
            <w:tcW w:w="1080" w:type="dxa"/>
            <w:vAlign w:val="bottom"/>
          </w:tcPr>
          <w:p>
            <w:pPr>
              <w:jc w:val="center"/>
              <w:ind w:right="64"/>
              <w:spacing w:after="0" w:line="149" w:lineRule="exact"/>
              <w:rPr>
                <w:sz w:val="20"/>
                <w:szCs w:val="20"/>
                <w:color w:val="auto"/>
              </w:rPr>
            </w:pPr>
            <w:r>
              <w:rPr>
                <w:rFonts w:ascii="Arial" w:cs="Arial" w:eastAsia="Arial" w:hAnsi="Arial"/>
                <w:sz w:val="14"/>
                <w:szCs w:val="14"/>
                <w:color w:val="auto"/>
                <w:w w:val="95"/>
              </w:rPr>
              <w:t>Jurisdiction of</w:t>
            </w:r>
          </w:p>
        </w:tc>
        <w:tc>
          <w:tcPr>
            <w:tcW w:w="1200" w:type="dxa"/>
            <w:vAlign w:val="bottom"/>
          </w:tcPr>
          <w:p>
            <w:pPr>
              <w:spacing w:after="0"/>
              <w:rPr>
                <w:sz w:val="12"/>
                <w:szCs w:val="12"/>
                <w:color w:val="auto"/>
              </w:rPr>
            </w:pPr>
          </w:p>
        </w:tc>
      </w:tr>
      <w:tr>
        <w:trPr>
          <w:trHeight w:val="149"/>
        </w:trPr>
        <w:tc>
          <w:tcPr>
            <w:tcW w:w="1080" w:type="dxa"/>
            <w:vAlign w:val="bottom"/>
          </w:tcPr>
          <w:p>
            <w:pPr>
              <w:jc w:val="center"/>
              <w:ind w:right="64"/>
              <w:spacing w:after="0" w:line="149" w:lineRule="exact"/>
              <w:rPr>
                <w:sz w:val="20"/>
                <w:szCs w:val="20"/>
                <w:color w:val="auto"/>
              </w:rPr>
            </w:pPr>
            <w:r>
              <w:rPr>
                <w:rFonts w:ascii="Arial" w:cs="Arial" w:eastAsia="Arial" w:hAnsi="Arial"/>
                <w:sz w:val="14"/>
                <w:szCs w:val="14"/>
                <w:color w:val="auto"/>
                <w:w w:val="95"/>
              </w:rPr>
              <w:t>Incorporation or</w:t>
            </w:r>
          </w:p>
        </w:tc>
        <w:tc>
          <w:tcPr>
            <w:tcW w:w="120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1080" w:type="dxa"/>
            <w:vAlign w:val="bottom"/>
          </w:tcPr>
          <w:p>
            <w:pPr>
              <w:jc w:val="center"/>
              <w:ind w:right="84"/>
              <w:spacing w:after="0"/>
              <w:rPr>
                <w:sz w:val="20"/>
                <w:szCs w:val="20"/>
                <w:color w:val="auto"/>
              </w:rPr>
            </w:pPr>
            <w:r>
              <w:rPr>
                <w:rFonts w:ascii="Arial" w:cs="Arial" w:eastAsia="Arial" w:hAnsi="Arial"/>
                <w:sz w:val="14"/>
                <w:szCs w:val="14"/>
                <w:color w:val="auto"/>
                <w:w w:val="95"/>
              </w:rPr>
              <w:t>Organization)</w:t>
            </w:r>
          </w:p>
        </w:tc>
        <w:tc>
          <w:tcPr>
            <w:tcW w:w="1200" w:type="dxa"/>
            <w:vAlign w:val="bottom"/>
          </w:tcPr>
          <w:p>
            <w:pPr>
              <w:jc w:val="center"/>
              <w:ind w:left="62"/>
              <w:spacing w:after="0"/>
              <w:rPr>
                <w:sz w:val="20"/>
                <w:szCs w:val="20"/>
                <w:color w:val="auto"/>
              </w:rPr>
            </w:pPr>
            <w:r>
              <w:rPr>
                <w:rFonts w:ascii="Arial" w:cs="Arial" w:eastAsia="Arial" w:hAnsi="Arial"/>
                <w:sz w:val="14"/>
                <w:szCs w:val="14"/>
                <w:color w:val="auto"/>
                <w:w w:val="97"/>
              </w:rPr>
              <w:t>Identification No.)</w:t>
            </w:r>
          </w:p>
        </w:tc>
      </w:tr>
      <w:tr>
        <w:trPr>
          <w:trHeight w:val="296"/>
        </w:trPr>
        <w:tc>
          <w:tcPr>
            <w:tcW w:w="1080" w:type="dxa"/>
            <w:vAlign w:val="bottom"/>
          </w:tcPr>
          <w:p>
            <w:pPr>
              <w:jc w:val="center"/>
              <w:ind w:right="84"/>
              <w:spacing w:after="0"/>
              <w:rPr>
                <w:sz w:val="20"/>
                <w:szCs w:val="20"/>
                <w:color w:val="auto"/>
              </w:rPr>
            </w:pPr>
            <w:r>
              <w:rPr>
                <w:rFonts w:ascii="Arial" w:cs="Arial" w:eastAsia="Arial" w:hAnsi="Arial"/>
                <w:sz w:val="18"/>
                <w:szCs w:val="18"/>
                <w:b w:val="1"/>
                <w:bCs w:val="1"/>
                <w:color w:val="auto"/>
                <w:w w:val="91"/>
              </w:rPr>
              <w:t>Delaware</w:t>
            </w:r>
          </w:p>
        </w:tc>
        <w:tc>
          <w:tcPr>
            <w:tcW w:w="120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13-3398766</w:t>
            </w:r>
          </w:p>
        </w:tc>
      </w:tr>
    </w:tbl>
    <w:p>
      <w:pPr>
        <w:spacing w:after="0" w:line="1115" w:lineRule="exact"/>
        <w:rPr>
          <w:sz w:val="24"/>
          <w:szCs w:val="24"/>
          <w:color w:val="auto"/>
        </w:rPr>
      </w:pPr>
    </w:p>
    <w:p>
      <w:pPr>
        <w:sectPr>
          <w:pgSz w:w="11900" w:h="16838" w:orient="portrait"/>
          <w:cols w:equalWidth="0" w:num="2">
            <w:col w:w="7190" w:space="640"/>
            <w:col w:w="2400"/>
          </w:cols>
          <w:pgMar w:left="830" w:top="665" w:right="839" w:bottom="1440" w:gutter="0" w:footer="0" w:header="0"/>
          <w:type w:val="continuous"/>
        </w:sectPr>
      </w:pPr>
    </w:p>
    <w:tbl>
      <w:tblPr>
        <w:tblLayout w:type="fixed"/>
        <w:tblInd w:w="10" w:type="dxa"/>
        <w:tblCellMar>
          <w:top w:w="0" w:type="dxa"/>
          <w:left w:w="0" w:type="dxa"/>
          <w:bottom w:w="0" w:type="dxa"/>
          <w:right w:w="0" w:type="dxa"/>
        </w:tblCellMar>
      </w:tblPr>
      <w:tr>
        <w:trPr>
          <w:trHeight w:val="234"/>
        </w:trPr>
        <w:tc>
          <w:tcPr>
            <w:tcW w:w="4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40"/>
        </w:trPr>
        <w:tc>
          <w:tcPr>
            <w:tcW w:w="388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80" w:type="dxa"/>
            <w:vAlign w:val="bottom"/>
          </w:tcPr>
          <w:p>
            <w:pPr>
              <w:jc w:val="center"/>
              <w:spacing w:after="0" w:line="195" w:lineRule="exact"/>
              <w:rPr>
                <w:sz w:val="20"/>
                <w:szCs w:val="20"/>
                <w:color w:val="auto"/>
              </w:rPr>
            </w:pPr>
            <w:r>
              <w:rPr>
                <w:rFonts w:ascii="Arial" w:cs="Arial" w:eastAsia="Arial" w:hAnsi="Arial"/>
                <w:sz w:val="18"/>
                <w:szCs w:val="18"/>
                <w:color w:val="auto"/>
                <w:w w:val="91"/>
              </w:rPr>
              <w:t>Depositary Units of Icahn Enterprises L.P.</w:t>
            </w:r>
          </w:p>
        </w:tc>
        <w:tc>
          <w:tcPr>
            <w:tcW w:w="180" w:type="dxa"/>
            <w:vAlign w:val="bottom"/>
            <w:vMerge w:val="continue"/>
          </w:tcPr>
          <w:p>
            <w:pPr>
              <w:spacing w:after="0"/>
              <w:rPr>
                <w:sz w:val="16"/>
                <w:szCs w:val="16"/>
                <w:color w:val="auto"/>
              </w:rPr>
            </w:pPr>
          </w:p>
        </w:tc>
        <w:tc>
          <w:tcPr>
            <w:tcW w:w="22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IEP</w:t>
            </w:r>
          </w:p>
        </w:tc>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r>
        <w:trPr>
          <w:trHeight w:val="122"/>
        </w:trPr>
        <w:tc>
          <w:tcPr>
            <w:tcW w:w="40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Representing Limited Partner Interests</w:t>
            </w:r>
          </w:p>
        </w:tc>
        <w:tc>
          <w:tcPr>
            <w:tcW w:w="2260" w:type="dxa"/>
            <w:vAlign w:val="bottom"/>
            <w:gridSpan w:val="2"/>
            <w:vMerge w:val="continue"/>
          </w:tcPr>
          <w:p>
            <w:pPr>
              <w:spacing w:after="0"/>
              <w:rPr>
                <w:sz w:val="10"/>
                <w:szCs w:val="10"/>
                <w:color w:val="auto"/>
              </w:rPr>
            </w:pP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gridSpan w:val="2"/>
            <w:vMerge w:val="continue"/>
          </w:tcPr>
          <w:p>
            <w:pPr>
              <w:spacing w:after="0"/>
              <w:rPr>
                <w:sz w:val="9"/>
                <w:szCs w:val="9"/>
                <w:color w:val="auto"/>
              </w:rPr>
            </w:pPr>
          </w:p>
        </w:tc>
        <w:tc>
          <w:tcPr>
            <w:tcW w:w="2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88" w:lineRule="exact"/>
        <w:rPr>
          <w:sz w:val="24"/>
          <w:szCs w:val="24"/>
          <w:color w:val="auto"/>
        </w:rPr>
      </w:pPr>
    </w:p>
    <w:p>
      <w:pPr>
        <w:ind w:left="10" w:right="38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by Rule 405 of the Securities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5" w:lineRule="exact"/>
        <w:rPr>
          <w:sz w:val="24"/>
          <w:szCs w:val="24"/>
          <w:color w:val="auto"/>
        </w:rPr>
      </w:pPr>
    </w:p>
    <w:p>
      <w:pPr>
        <w:jc w:val="both"/>
        <w:ind w:left="1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ind w:left="10"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ind w:left="1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tbl>
      <w:tblPr>
        <w:tblLayout w:type="fixed"/>
        <w:tblInd w:w="930" w:type="dxa"/>
        <w:tblCellMar>
          <w:top w:w="0" w:type="dxa"/>
          <w:left w:w="0" w:type="dxa"/>
          <w:bottom w:w="0" w:type="dxa"/>
          <w:right w:w="0" w:type="dxa"/>
        </w:tblCellMar>
      </w:tblPr>
      <w:tr>
        <w:trPr>
          <w:trHeight w:val="24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0"/>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28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7"/>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4" w:lineRule="exact"/>
        <w:rPr>
          <w:sz w:val="24"/>
          <w:szCs w:val="24"/>
          <w:color w:val="auto"/>
        </w:rPr>
      </w:pPr>
    </w:p>
    <w:p>
      <w:pPr>
        <w:ind w:left="10" w:right="1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74" w:lineRule="exact"/>
        <w:rPr>
          <w:sz w:val="24"/>
          <w:szCs w:val="24"/>
          <w:color w:val="auto"/>
        </w:rPr>
      </w:pPr>
    </w:p>
    <w:p>
      <w:pPr>
        <w:ind w:left="10"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44" w:lineRule="exact"/>
        <w:rPr>
          <w:sz w:val="24"/>
          <w:szCs w:val="24"/>
          <w:color w:val="auto"/>
        </w:rPr>
      </w:pPr>
    </w:p>
    <w:p>
      <w:pPr>
        <w:ind w:left="1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10" w:right="80" w:firstLine="324"/>
        <w:spacing w:after="0" w:line="259" w:lineRule="auto"/>
        <w:rPr>
          <w:sz w:val="20"/>
          <w:szCs w:val="20"/>
          <w:color w:val="auto"/>
        </w:rPr>
      </w:pPr>
      <w:r>
        <w:rPr>
          <w:rFonts w:ascii="Arial" w:cs="Arial" w:eastAsia="Arial" w:hAnsi="Arial"/>
          <w:sz w:val="18"/>
          <w:szCs w:val="18"/>
          <w:color w:val="auto"/>
        </w:rPr>
        <w:t>The aggregate market value of Icahn Enterprises’ depositary units held by non-affiliates of the registrant as of June 30, 2021, the last business day of the registrant’s most recently completed second fiscal quarter, based upon the closing price of depositary units on the Nasdaq Global Select Market (“Nasdaq”) on such date was $1,478 million. As of February 25, 2022, there were 293,416,326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478790</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59055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101600</wp:posOffset>
            </wp:positionV>
            <wp:extent cx="64979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i w:val="1"/>
          <w:iCs w:val="1"/>
          <w:color w:val="auto"/>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Structure</w:t>
      </w:r>
    </w:p>
    <w:p>
      <w:pPr>
        <w:spacing w:after="0" w:line="229" w:lineRule="exact"/>
        <w:rPr>
          <w:sz w:val="20"/>
          <w:szCs w:val="20"/>
          <w:color w:val="auto"/>
        </w:rPr>
      </w:pPr>
    </w:p>
    <w:p>
      <w:pPr>
        <w:ind w:left="800" w:right="659" w:hanging="318"/>
        <w:spacing w:after="0" w:line="25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general partner, and its control person, has significant influence over us, and sales by our controlling unitholder could cause our unit price to decline;</w:t>
      </w:r>
    </w:p>
    <w:p>
      <w:pPr>
        <w:spacing w:after="0" w:line="1" w:lineRule="exact"/>
        <w:rPr>
          <w:rFonts w:ascii="Arial" w:cs="Arial" w:eastAsia="Arial" w:hAnsi="Arial"/>
          <w:sz w:val="18"/>
          <w:szCs w:val="18"/>
          <w:color w:val="auto"/>
        </w:rPr>
      </w:pP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engaged, and in the future may engage, in transactions with our affiliates;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risk of becoming an investment company;</w:t>
      </w:r>
    </w:p>
    <w:p>
      <w:pPr>
        <w:spacing w:after="0" w:line="9" w:lineRule="exact"/>
        <w:rPr>
          <w:rFonts w:ascii="Arial" w:cs="Arial" w:eastAsia="Arial" w:hAnsi="Arial"/>
          <w:sz w:val="18"/>
          <w:szCs w:val="18"/>
          <w:color w:val="auto"/>
        </w:rPr>
      </w:pPr>
    </w:p>
    <w:p>
      <w:pPr>
        <w:ind w:left="800" w:right="57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structure transactions in a less advantageous manner to avoid becoming subject to the Investment Company Act;</w:t>
      </w:r>
    </w:p>
    <w:p>
      <w:pPr>
        <w:ind w:left="800" w:right="13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become taxable as a corporation if we are no longer treated as a partnership for U.S. federal income tax purposes;</w:t>
      </w: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negatively impacted by the potential for changes in tax laws;</w:t>
      </w:r>
    </w:p>
    <w:p>
      <w:pPr>
        <w:spacing w:after="0" w:line="9" w:lineRule="exact"/>
        <w:rPr>
          <w:rFonts w:ascii="Arial" w:cs="Arial" w:eastAsia="Arial" w:hAnsi="Arial"/>
          <w:sz w:val="18"/>
          <w:szCs w:val="18"/>
          <w:color w:val="auto"/>
        </w:rPr>
      </w:pPr>
    </w:p>
    <w:p>
      <w:pPr>
        <w:ind w:left="800" w:right="19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depositary units may be required to pay tax on their share of our income even if they did not receive cash distributions from us;</w:t>
      </w: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gain or loss on the disposition of our depositary units could be more or less than expected;</w:t>
      </w:r>
    </w:p>
    <w:p>
      <w:pPr>
        <w:spacing w:after="0" w:line="9" w:lineRule="exact"/>
        <w:rPr>
          <w:rFonts w:ascii="Arial" w:cs="Arial" w:eastAsia="Arial" w:hAnsi="Arial"/>
          <w:sz w:val="18"/>
          <w:szCs w:val="18"/>
          <w:color w:val="auto"/>
        </w:rPr>
      </w:pPr>
    </w:p>
    <w:p>
      <w:pPr>
        <w:ind w:left="800" w:right="23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Tax-exempt entities may recognize unrelated business taxable income they receive from holding our units, and may face other unique issues specific to their U.S. federal income tax classification;</w:t>
      </w:r>
    </w:p>
    <w:p>
      <w:pPr>
        <w:ind w:left="800" w:right="9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Non-U.S. persons face unique tax issues from owning units that may result in adverse tax consequences to them, including being subject to withholding regimes and U.S. federal income tax on certain income they may earn from holding our units;</w:t>
      </w:r>
    </w:p>
    <w:p>
      <w:pPr>
        <w:spacing w:after="0" w:line="1" w:lineRule="exact"/>
        <w:rPr>
          <w:rFonts w:ascii="Arial" w:cs="Arial" w:eastAsia="Arial" w:hAnsi="Arial"/>
          <w:sz w:val="18"/>
          <w:szCs w:val="18"/>
          <w:color w:val="auto"/>
        </w:rPr>
      </w:pP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liable for any underwithholding by nominees of our distributions made after January 2023;</w:t>
      </w:r>
    </w:p>
    <w:p>
      <w:pPr>
        <w:spacing w:after="0" w:line="9" w:lineRule="exact"/>
        <w:rPr>
          <w:rFonts w:ascii="Arial" w:cs="Arial" w:eastAsia="Arial" w:hAnsi="Arial"/>
          <w:sz w:val="18"/>
          <w:szCs w:val="18"/>
          <w:color w:val="auto"/>
        </w:rPr>
      </w:pPr>
    </w:p>
    <w:p>
      <w:pPr>
        <w:ind w:left="800" w:right="35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unitholders likely will be subject to state and local taxes and return filing or withholding requirements in states in which they do not live as a result of investing in our units;</w:t>
      </w:r>
    </w:p>
    <w:p>
      <w:pPr>
        <w:jc w:val="both"/>
        <w:ind w:left="800" w:right="119" w:hanging="318"/>
        <w:spacing w:after="0" w:line="26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ind w:left="800" w:right="9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 w:lineRule="exact"/>
        <w:rPr>
          <w:rFonts w:ascii="Arial" w:cs="Arial" w:eastAsia="Arial" w:hAnsi="Arial"/>
          <w:sz w:val="18"/>
          <w:szCs w:val="18"/>
          <w:color w:val="auto"/>
        </w:rPr>
      </w:pPr>
    </w:p>
    <w:p>
      <w:pPr>
        <w:ind w:left="800" w:right="7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 w:lineRule="exact"/>
        <w:rPr>
          <w:rFonts w:ascii="Arial" w:cs="Arial" w:eastAsia="Arial" w:hAnsi="Arial"/>
          <w:sz w:val="18"/>
          <w:szCs w:val="18"/>
          <w:color w:val="auto"/>
        </w:rPr>
      </w:pPr>
    </w:p>
    <w:p>
      <w:pPr>
        <w:ind w:left="800" w:hanging="31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the pension liabilities of our affiliates;</w:t>
      </w:r>
    </w:p>
    <w:p>
      <w:pPr>
        <w:spacing w:after="0" w:line="9" w:lineRule="exact"/>
        <w:rPr>
          <w:rFonts w:ascii="Arial" w:cs="Arial" w:eastAsia="Arial" w:hAnsi="Arial"/>
          <w:sz w:val="18"/>
          <w:szCs w:val="18"/>
          <w:color w:val="auto"/>
        </w:rPr>
      </w:pPr>
    </w:p>
    <w:p>
      <w:pPr>
        <w:ind w:left="800" w:right="31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limited partnership and a ‘‘controlled company’’ within the meaning of the Nasdaq rules and as such are exempt from certain corporate governance requirements;</w:t>
      </w:r>
    </w:p>
    <w:p>
      <w:pPr>
        <w:ind w:left="800" w:right="69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members of our management team may be involved in other business activities that may involve conflicts of interest;</w:t>
      </w:r>
    </w:p>
    <w:p>
      <w:pPr>
        <w:ind w:left="800" w:right="319" w:hanging="318"/>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Icahn Enterprises’ depositary units have limited voting rights, including rights to participate in our management;</w:t>
      </w:r>
    </w:p>
    <w:p>
      <w:pPr>
        <w:ind w:left="800" w:right="279" w:hanging="318"/>
        <w:spacing w:after="0" w:line="26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Holders of Icahn Enterprises’ depositary units may not have limited liability in certain circumstances and may be personally liable for the return of distributions that cause our liabilities to exceed our assets; and</w:t>
      </w:r>
    </w:p>
    <w:p>
      <w:pPr>
        <w:ind w:left="4460" w:right="199" w:hanging="3978"/>
        <w:spacing w:after="0" w:line="260" w:lineRule="auto"/>
        <w:tabs>
          <w:tab w:leader="none" w:pos="812"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we are a limited partnership, you may not be able to pursue legal claims against us in U.S. federal courts.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Liquidity and Capital Requirements</w:t>
      </w:r>
    </w:p>
    <w:p>
      <w:pPr>
        <w:spacing w:after="0" w:line="229" w:lineRule="exact"/>
        <w:rPr>
          <w:sz w:val="20"/>
          <w:szCs w:val="20"/>
          <w:color w:val="auto"/>
        </w:rPr>
      </w:pPr>
    </w:p>
    <w:p>
      <w:pPr>
        <w:ind w:left="800" w:hanging="318"/>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holding company and depend on the businesses of our subsidiaries to satisfy our obligations;</w:t>
      </w:r>
    </w:p>
    <w:p>
      <w:pPr>
        <w:spacing w:after="0" w:line="34" w:lineRule="exact"/>
        <w:rPr>
          <w:rFonts w:ascii="Arial" w:cs="Arial" w:eastAsia="Arial" w:hAnsi="Arial"/>
          <w:sz w:val="17"/>
          <w:szCs w:val="17"/>
          <w:color w:val="auto"/>
        </w:rPr>
      </w:pPr>
    </w:p>
    <w:p>
      <w:pPr>
        <w:ind w:left="800" w:right="379" w:hanging="318"/>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service our indebtedness, we will require a significant amount of cash. Our ability to maintain our current cash position or generate cash depends on many factors beyond our control;</w:t>
      </w:r>
    </w:p>
    <w:p>
      <w:pPr>
        <w:jc w:val="both"/>
        <w:ind w:left="800" w:right="179" w:hanging="318"/>
        <w:spacing w:after="0" w:line="28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 w:lineRule="exact"/>
        <w:rPr>
          <w:rFonts w:ascii="Arial" w:cs="Arial" w:eastAsia="Arial" w:hAnsi="Arial"/>
          <w:sz w:val="16"/>
          <w:szCs w:val="16"/>
          <w:color w:val="auto"/>
        </w:rPr>
      </w:pPr>
    </w:p>
    <w:p>
      <w:pPr>
        <w:ind w:left="800" w:right="459" w:hanging="318"/>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have sufficient funds necessary to finance a change of control offer that may be required by the indentures governing our senior notes;</w:t>
      </w:r>
    </w:p>
    <w:p>
      <w:pPr>
        <w:ind w:left="800" w:right="459" w:hanging="318"/>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significant investments in the Investment Funds and negative performance of the Investment Funds may result in a significant decline in the value of our investments; and</w:t>
      </w:r>
    </w:p>
    <w:p>
      <w:pPr>
        <w:ind w:left="800" w:hanging="318"/>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cash distributions to Icahn Enterprises’ unitholders, if any, can be affected by numerous factors.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Investment Segment</w:t>
      </w:r>
    </w:p>
    <w:p>
      <w:pPr>
        <w:spacing w:after="0" w:line="229" w:lineRule="exact"/>
        <w:rPr>
          <w:sz w:val="20"/>
          <w:szCs w:val="20"/>
          <w:color w:val="auto"/>
        </w:rPr>
      </w:pPr>
    </w:p>
    <w:p>
      <w:pPr>
        <w:ind w:left="800" w:hanging="31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investments may be subject to significant uncertainties;</w:t>
      </w:r>
    </w:p>
    <w:p>
      <w:pPr>
        <w:spacing w:after="0" w:line="23" w:lineRule="exact"/>
        <w:rPr>
          <w:rFonts w:ascii="Arial" w:cs="Arial" w:eastAsia="Arial" w:hAnsi="Arial"/>
          <w:sz w:val="18"/>
          <w:szCs w:val="18"/>
          <w:color w:val="auto"/>
        </w:rPr>
      </w:pPr>
    </w:p>
    <w:p>
      <w:pPr>
        <w:ind w:left="800" w:right="879" w:hanging="318"/>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historical financial information for the Investment Funds is not necessarily indicative of its future performance;</w:t>
      </w:r>
    </w:p>
    <w:p>
      <w:pPr>
        <w:ind w:left="800" w:right="279" w:hanging="318"/>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 w:lineRule="exact"/>
        <w:rPr>
          <w:rFonts w:ascii="Arial" w:cs="Arial" w:eastAsia="Arial" w:hAnsi="Arial"/>
          <w:sz w:val="18"/>
          <w:szCs w:val="18"/>
          <w:color w:val="auto"/>
        </w:rPr>
      </w:pPr>
    </w:p>
    <w:p>
      <w:pPr>
        <w:ind w:left="800" w:right="219" w:hanging="318"/>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identify suitable investments, and our investments may not result in favorable returns or may result in losses;</w:t>
      </w:r>
    </w:p>
    <w:p>
      <w:pPr>
        <w:ind w:left="800" w:right="79" w:hanging="318"/>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our activist investment activities involves many risks, certain of which are outside of our control;</w:t>
      </w:r>
    </w:p>
    <w:p>
      <w:pPr>
        <w:ind w:left="800" w:hanging="31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make investments in companies we do not control;</w:t>
      </w:r>
    </w:p>
    <w:p>
      <w:pPr>
        <w:spacing w:after="0" w:line="9" w:lineRule="exact"/>
        <w:rPr>
          <w:rFonts w:ascii="Arial" w:cs="Arial" w:eastAsia="Arial" w:hAnsi="Arial"/>
          <w:sz w:val="18"/>
          <w:szCs w:val="18"/>
          <w:color w:val="auto"/>
        </w:rPr>
      </w:pPr>
    </w:p>
    <w:p>
      <w:pPr>
        <w:ind w:left="800" w:right="539" w:hanging="318"/>
        <w:spacing w:after="0" w:line="281"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use of leverage in investments by the Investment Funds may pose a significant degree of risk and may enhance the possibility of significant loss in the value of the investments in the Investment Funds;</w:t>
      </w:r>
    </w:p>
    <w:p>
      <w:pPr>
        <w:spacing w:after="0" w:line="1" w:lineRule="exact"/>
        <w:rPr>
          <w:rFonts w:ascii="Arial" w:cs="Arial" w:eastAsia="Arial" w:hAnsi="Arial"/>
          <w:sz w:val="16"/>
          <w:szCs w:val="16"/>
          <w:color w:val="auto"/>
        </w:rPr>
      </w:pPr>
    </w:p>
    <w:p>
      <w:pPr>
        <w:ind w:left="800" w:hanging="31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increased regulation could result in additional burdens on our Investment segment;</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hedge investments successfully is subject to numerous risks;</w:t>
      </w:r>
    </w:p>
    <w:p>
      <w:pPr>
        <w:spacing w:after="0" w:line="9" w:lineRule="exact"/>
        <w:rPr>
          <w:rFonts w:ascii="Arial" w:cs="Arial" w:eastAsia="Arial" w:hAnsi="Arial"/>
          <w:sz w:val="18"/>
          <w:szCs w:val="18"/>
          <w:color w:val="auto"/>
        </w:rPr>
      </w:pPr>
    </w:p>
    <w:p>
      <w:pPr>
        <w:ind w:left="800" w:right="839" w:hanging="318"/>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invest in distressed securities, as well as bank loans, asset backed securities and mortgage-backed securities; and</w:t>
      </w:r>
    </w:p>
    <w:p>
      <w:pPr>
        <w:jc w:val="both"/>
        <w:ind w:left="800" w:right="279" w:hanging="318"/>
        <w:spacing w:after="0" w:line="25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Consolidated Operating Subsidiaries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operating subsidiaries are subject to various risks, including but not limited to:</w:t>
      </w:r>
    </w:p>
    <w:p>
      <w:pPr>
        <w:spacing w:after="0" w:line="23" w:lineRule="exact"/>
        <w:rPr>
          <w:sz w:val="20"/>
          <w:szCs w:val="20"/>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regulations and regulatory actions;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Operational disruptions, damage to property, injury to persons or environmental and legal liability;</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of commodity prices;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the U.S. Environmental Protection Agency Renewable Fuel Standard;</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laws and regulations;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Operations in foreign countries; and</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Significant labor disputes involving any of our businesses or one or more of their customers or suppliers.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18"/>
          </w:tcPr>
          <w:p>
            <w:pPr>
              <w:jc w:val="center"/>
              <w:ind w:right="2380"/>
              <w:spacing w:after="0"/>
              <w:rPr>
                <w:sz w:val="20"/>
                <w:szCs w:val="20"/>
                <w:color w:val="auto"/>
              </w:rPr>
            </w:pPr>
            <w:r>
              <w:rPr>
                <w:rFonts w:ascii="Arial" w:cs="Arial" w:eastAsia="Arial" w:hAnsi="Arial"/>
                <w:sz w:val="18"/>
                <w:szCs w:val="18"/>
                <w:b w:val="1"/>
                <w:bCs w:val="1"/>
                <w:color w:val="auto"/>
                <w:w w:val="98"/>
              </w:rPr>
              <w:t>ICAHN ENTERPRISES L.P.</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gridSpan w:val="18"/>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jc w:val="center"/>
              <w:spacing w:after="0" w:line="15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332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7220" w:type="dxa"/>
            <w:vAlign w:val="bottom"/>
            <w:gridSpan w:val="3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6320" w:type="dxa"/>
            <w:vAlign w:val="bottom"/>
            <w:tcBorders>
              <w:bottom w:val="single" w:sz="8" w:color="CCEEFF"/>
            </w:tcBorders>
            <w:gridSpan w:val="24"/>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7220" w:type="dxa"/>
            <w:vAlign w:val="bottom"/>
            <w:gridSpan w:val="30"/>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7220" w:type="dxa"/>
            <w:vAlign w:val="bottom"/>
            <w:gridSpan w:val="30"/>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940" w:type="dxa"/>
            <w:vAlign w:val="bottom"/>
            <w:gridSpan w:val="14"/>
            <w:shd w:val="clear" w:color="auto" w:fill="CCEEFF"/>
          </w:tcPr>
          <w:p>
            <w:pPr>
              <w:jc w:val="center"/>
              <w:ind w:right="3300"/>
              <w:spacing w:after="0" w:line="176"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7220" w:type="dxa"/>
            <w:vAlign w:val="bottom"/>
            <w:gridSpan w:val="30"/>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Market for Registrant’s Common Equity, Related Security Holder Matters and Issuer Purchases of</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Equity Securities</w:t>
              </w:r>
            </w:hyperlink>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Reserved</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7220" w:type="dxa"/>
            <w:vAlign w:val="bottom"/>
            <w:gridSpan w:val="3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2920" w:type="dxa"/>
            <w:vAlign w:val="bottom"/>
            <w:tcBorders>
              <w:top w:val="single" w:sz="8" w:color="CCEEFF"/>
            </w:tcBorders>
            <w:gridSpan w:val="7"/>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Changes In and Disagreements With Accountants on Accounting and Financial Disclosure</w:t>
              </w:r>
            </w:hyperlink>
          </w:p>
        </w:tc>
        <w:tc>
          <w:tcPr>
            <w:tcW w:w="700" w:type="dxa"/>
            <w:vAlign w:val="bottom"/>
            <w:tcBorders>
              <w:bottom w:val="single" w:sz="8" w:color="CCEEFF"/>
            </w:tcBorders>
            <w:gridSpan w:val="3"/>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7220" w:type="dxa"/>
            <w:vAlign w:val="bottom"/>
            <w:gridSpan w:val="30"/>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7220" w:type="dxa"/>
            <w:vAlign w:val="bottom"/>
            <w:gridSpan w:val="30"/>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Disclosure Regarding Foreign Jurisdictions that Prevent Inspections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5"/>
          </w:tcPr>
          <w:p>
            <w:pPr>
              <w:jc w:val="center"/>
              <w:ind w:right="3260"/>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III</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Directors, Executive Officers and Corporate Governance</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140" w:type="dxa"/>
            <w:vAlign w:val="bottom"/>
            <w:tcBorders>
              <w:top w:val="single" w:sz="8" w:color="CCEEFF"/>
            </w:tcBorders>
            <w:gridSpan w:val="8"/>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7220" w:type="dxa"/>
            <w:vAlign w:val="bottom"/>
            <w:gridSpan w:val="30"/>
            <w:shd w:val="clear" w:color="auto" w:fill="CCEEFF"/>
          </w:tcPr>
          <w:p>
            <w:pPr>
              <w:spacing w:after="0" w:line="17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Security Ownership of Certain Beneficial Owners and Management and Related Security Holder</w:t>
              </w:r>
            </w:hyperlink>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Matters</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13.</w:t>
            </w:r>
          </w:p>
        </w:tc>
        <w:tc>
          <w:tcPr>
            <w:tcW w:w="7220" w:type="dxa"/>
            <w:vAlign w:val="bottom"/>
            <w:gridSpan w:val="30"/>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Transactions, and Director Independence</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Accountant Fees and Services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PART IV</w:t>
              </w:r>
            </w:hyperlink>
          </w:p>
        </w:tc>
        <w:tc>
          <w:tcPr>
            <w:tcW w:w="3260" w:type="dxa"/>
            <w:vAlign w:val="bottom"/>
            <w:tcBorders>
              <w:bottom w:val="single" w:sz="8" w:color="CCEEFF"/>
            </w:tcBorders>
            <w:gridSpan w:val="9"/>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7220" w:type="dxa"/>
            <w:vAlign w:val="bottom"/>
            <w:gridSpan w:val="30"/>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Exhibits and Financial Statement Schedules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6"/>
              </w:rPr>
              <w:t>130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7220" w:type="dxa"/>
            <w:vAlign w:val="bottom"/>
            <w:gridSpan w:val="30"/>
            <w:shd w:val="clear" w:color="auto" w:fill="CCEE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Form 10-K Summary</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Icahn Enterprises L.P. (“Icahn Enterprises”) is a master limited partnership formed in Delaware on February 17, 1987 and headquartered in Sunny Isles Beach, Florida. We are a diversified holding company owning subsidiaries engaged in the following operating businesses: Investment, Energy, Automotive, Food Packaging, Real Estate, Home Fashion and Pharma. In addition, we operated a Metals segment until it was sold in December 2021. References to “we,” “our” or “us” herein include Icahn Enterprises and its subsidiaries, unless the context otherwise requires.</w:t>
      </w:r>
    </w:p>
    <w:p>
      <w:pPr>
        <w:spacing w:after="0" w:line="176"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2021, representing an aggregate 1.99% general partner interest in Icahn Enterprises Holdings and us. Mr. Icahn and his affiliates owned approximately 88% of our outstanding depositary units as of December 31, 2021.</w:t>
      </w:r>
    </w:p>
    <w:p>
      <w:pPr>
        <w:spacing w:after="0" w:line="19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79" w:firstLine="324"/>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Our business strategy and core strengths, and certain other business developments, are not disclosed in this Report </w:t>
      </w:r>
      <w:hyperlink r:id="rId15">
        <w:r>
          <w:rPr>
            <w:rFonts w:ascii="Arial" w:cs="Arial" w:eastAsia="Arial" w:hAnsi="Arial"/>
            <w:sz w:val="18"/>
            <w:szCs w:val="18"/>
            <w:color w:val="auto"/>
          </w:rPr>
          <w:t xml:space="preserve">since they are not materially different from prior disclosures, as described in </w:t>
        </w:r>
        <w:r>
          <w:rPr>
            <w:rFonts w:ascii="Arial" w:cs="Arial" w:eastAsia="Arial" w:hAnsi="Arial"/>
            <w:sz w:val="18"/>
            <w:szCs w:val="18"/>
            <w:u w:val="single" w:color="auto"/>
            <w:color w:val="0000EE"/>
          </w:rPr>
          <w:t>Item 1 of our Annual Report on Form 10-K</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for the fiscal year ended December 31, 2019, as filed with the Securities and Exchange Commission (“SEC”) on February</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28, 2020, and which is incorporated by reference herein</w:t>
        </w:r>
        <w:r>
          <w:rPr>
            <w:rFonts w:ascii="Arial" w:cs="Arial" w:eastAsia="Arial" w:hAnsi="Arial"/>
            <w:sz w:val="18"/>
            <w:szCs w:val="18"/>
            <w:color w:val="000000"/>
          </w:rPr>
          <w:t>.</w:t>
        </w:r>
      </w:hyperlink>
    </w:p>
    <w:p>
      <w:pPr>
        <w:spacing w:after="0" w:line="183"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b w:val="1"/>
          <w:bCs w:val="1"/>
          <w:color w:val="auto"/>
        </w:rPr>
        <w:t>Business Description</w:t>
      </w:r>
    </w:p>
    <w:p>
      <w:pPr>
        <w:spacing w:after="0" w:line="229" w:lineRule="exact"/>
        <w:rPr>
          <w:rFonts w:ascii="Arial" w:cs="Arial" w:eastAsia="Arial" w:hAnsi="Arial"/>
          <w:sz w:val="18"/>
          <w:szCs w:val="18"/>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2021.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and prior to August 2019, our Mining segment, accounted for the majority of our consolidated revenues derived from customers outside the United States.</w:t>
      </w:r>
    </w:p>
    <w:p>
      <w:pPr>
        <w:spacing w:after="0" w:line="182"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rFonts w:ascii="Arial" w:cs="Arial" w:eastAsia="Arial" w:hAnsi="Arial"/>
          <w:sz w:val="18"/>
          <w:szCs w:val="18"/>
          <w:color w:val="auto"/>
        </w:rPr>
      </w:pPr>
    </w:p>
    <w:p>
      <w:pPr>
        <w:ind w:left="60" w:right="99" w:firstLine="324"/>
        <w:spacing w:after="0" w:line="286" w:lineRule="auto"/>
        <w:rPr>
          <w:sz w:val="20"/>
          <w:szCs w:val="20"/>
          <w:color w:val="auto"/>
        </w:rPr>
      </w:pPr>
      <w:r>
        <w:rPr>
          <w:rFonts w:ascii="Arial" w:cs="Arial" w:eastAsia="Arial" w:hAnsi="Arial"/>
          <w:sz w:val="17"/>
          <w:szCs w:val="17"/>
          <w:color w:val="auto"/>
        </w:rPr>
        <w:t>We seek to invest our available cash and cash equivalents in liquid investments with a view to enhancing returns as we continue to assess further acquisitions of, or investments in, operating businesses. As of December 31, 2021, we had investments with a fair market value of approximately $4.2 billion in the Investment Funds, as defined below.</w:t>
      </w:r>
    </w:p>
    <w:p>
      <w:pPr>
        <w:sectPr>
          <w:pgSz w:w="11900" w:h="16838" w:orient="portrait"/>
          <w:cols w:equalWidth="0" w:num="1">
            <w:col w:w="9019"/>
          </w:cols>
          <w:pgMar w:left="1440" w:top="517" w:right="1440" w:bottom="1440" w:gutter="0" w:footer="0" w:header="0"/>
        </w:sectPr>
      </w:pPr>
    </w:p>
    <w:p>
      <w:pPr>
        <w:spacing w:after="0" w:line="38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Our Investment segment is comprised of various private investment funds (“Investment Funds”) in which we have general partner interests and through which we invest our proprietary capital. We, certain of Mr. Icahn’s wholly-owned affiliates and Brett Icahn, son of Mr. Icahn, are the sole investors in the Investment Funds. As general partner, we provide investment advisory and certain administrative and back-office services to the Investment Funds but do not provide such services to any other entities, individuals or accounts. Interests in the Investment Funds are not offered to outside investors.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Strategy</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84"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177"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Affiliate Investments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and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headquartered in Sugar Land, Texas. CVR Energy is a reporting company under the Exchange Act and files annual, quarterly and current reports, proxy statements and other information with the SEC that are publicly available.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ammonia and urea ammonium nitrate (“UAN”). CVR Energy has a general partner interest in each of CVR Refining and CVR Partners. In addition, CVR Energy is the sole limited partner of CVR Refining and owns 36% of the outstanding common units of CVR Partners as of December 31, 2021. As of December 31, 2021, we owned approximately 71% of the total outstanding common stock of CVR Energy.</w:t>
      </w:r>
    </w:p>
    <w:p>
      <w:pPr>
        <w:spacing w:after="0" w:line="166"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Our Energy segment’s net sales for the years ended December 31, 2021, 2020 and 2019 represented approximately 70%, 58% and 65%, respectively, of our consolidated net sales, primarily from the sale of its petroleum products.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Raw Materials and Supply</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CVR Refining has the capability to process a variety of crude oil blends. CVR Refining’s oil refineries in Coffeyville, Kansas and Wynnewood, Oklahoma have a combined capacity of 206,500 barrels per day. In addition to the use of third-party pipelines for the supply of crude oil, CVR Refining has an extensive gathering system consisting of logistics assets that are owned, leased or part of a joint venture operation. Petroleum refining product yield includes gasoline, diesel fuel, pet coke and other refined products such as natural gas liquids, asphalt and jet fuel among other products.</w:t>
      </w:r>
    </w:p>
    <w:p>
      <w:pPr>
        <w:spacing w:after="0" w:line="161"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by its adjacent crude oil refinery pursuant to a renewable long-term agreement with CVR Refining, as well as by third parties.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Northern Natural Gas interstate pipeline system, which is within one mile of the facility, and a third-party owned and operated pipeline.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CVR Energy’s petroleum and nitrogen fertilizer businesses are subject to extensive and frequently changing federal, state and local, environmental, health and safety laws and regulations governing the emission, transportation, storage, disposal and release of regulated substances or wastes, the treatment and discharge of waste-water and storm water, and the storage, handling, use and transportation of petroleum and nitrogen products, and the characteristics and composition of gasoline, diesel fuels, UAN and ammonia. These laws and regulations, their underlying regulatory requirements, and the enforcement thereof, impact the petroleum business and operations and the nitrogen fertilizer business and operations by imposing:</w:t>
      </w:r>
    </w:p>
    <w:p>
      <w:pPr>
        <w:spacing w:after="0" w:line="195" w:lineRule="exact"/>
        <w:rPr>
          <w:sz w:val="20"/>
          <w:szCs w:val="20"/>
          <w:color w:val="auto"/>
        </w:rPr>
      </w:pPr>
    </w:p>
    <w:p>
      <w:pPr>
        <w:ind w:left="800" w:hanging="31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monitoring of controls;</w:t>
      </w:r>
    </w:p>
    <w:p>
      <w:pPr>
        <w:spacing w:after="0" w:line="225" w:lineRule="exact"/>
        <w:rPr>
          <w:rFonts w:ascii="Arial" w:cs="Arial" w:eastAsia="Arial" w:hAnsi="Arial"/>
          <w:sz w:val="18"/>
          <w:szCs w:val="18"/>
          <w:color w:val="auto"/>
        </w:rPr>
      </w:pPr>
    </w:p>
    <w:p>
      <w:pPr>
        <w:ind w:left="800" w:right="599" w:hanging="318"/>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for the investigation and remediation of contaminated soil and groundwater at current and former facilities (if any) and for off-site waste disposal locations; and</w:t>
      </w:r>
    </w:p>
    <w:p>
      <w:pPr>
        <w:spacing w:after="0" w:line="170" w:lineRule="exact"/>
        <w:rPr>
          <w:rFonts w:ascii="Arial" w:cs="Arial" w:eastAsia="Arial" w:hAnsi="Arial"/>
          <w:sz w:val="18"/>
          <w:szCs w:val="18"/>
          <w:color w:val="auto"/>
        </w:rPr>
      </w:pPr>
    </w:p>
    <w:p>
      <w:pPr>
        <w:ind w:left="800" w:right="119" w:hanging="318"/>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170"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CVR Energy’s operations require numerous permits, licenses and authorizations. Failure to comply with these permits or environmental laws and regulations could result in fines, penalties or other sanctions or a revocation of CVR Energy’s permits, licenses or authorizations. In addition, the laws and regulations to which CVR Energy is subject to are often evolving and many of them have become more stringent or have become subject to more stringent interpretation 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enforcement by federal or state agencies. These laws and regulations could result in increased capital, operating and compliance costs.</w:t>
      </w:r>
    </w:p>
    <w:p>
      <w:pPr>
        <w:spacing w:after="0" w:line="17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CVR Energy’s businesses are also subject to, or impacted by, various other environmental laws and regulations such as the federal Clean Air Act, the federal Clean Water Act, release reporting requirements relating to the release of hazardous substances into the environment, certain fuel regulations, renewable fuel standards, as discussed below, and various other laws and regulations.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Renewable Fuel Standard</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CVR Refining is subject to the Clean Air Act’s renewable fuel standard (“RFS”) which requires refiners to either blend “renewable fuels” with their transportation fuels or purchase renewable fuel credits, known as renewable identification numbers, in lieu of blending. See Item 1A, “Risk Factors” and Note 17, “Commitments and Contingencies,” to the consolidated financial statements for further discussion.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headquartered in Kennesaw, Georgia.</w:t>
      </w:r>
    </w:p>
    <w:p>
      <w:pPr>
        <w:spacing w:after="0" w:line="170" w:lineRule="exact"/>
        <w:rPr>
          <w:sz w:val="20"/>
          <w:szCs w:val="20"/>
          <w:color w:val="auto"/>
        </w:rPr>
      </w:pPr>
    </w:p>
    <w:p>
      <w:pPr>
        <w:ind w:left="60" w:right="339" w:firstLine="324"/>
        <w:spacing w:after="0" w:line="271" w:lineRule="auto"/>
        <w:rPr>
          <w:sz w:val="20"/>
          <w:szCs w:val="20"/>
          <w:color w:val="auto"/>
        </w:rPr>
      </w:pPr>
      <w:r>
        <w:rPr>
          <w:rFonts w:ascii="Arial" w:cs="Arial" w:eastAsia="Arial" w:hAnsi="Arial"/>
          <w:sz w:val="17"/>
          <w:szCs w:val="17"/>
          <w:color w:val="auto"/>
        </w:rPr>
        <w:t>Icahn Automotive was formed by us to invest in and operate businesses involved in automotive repair and maintenance services (“automotive services”) as well as the distribution and sale of automotive aftermarket parts and accessories to end-user do-it-yourself customers, wholesale distributors, and professional auto mechanics (“aftermarket parts”). Icahn Automotive’s automotive services and aftermarket parts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w:t>
      </w:r>
    </w:p>
    <w:p>
      <w:pPr>
        <w:spacing w:after="0" w:line="178" w:lineRule="exact"/>
        <w:rPr>
          <w:sz w:val="20"/>
          <w:szCs w:val="20"/>
          <w:color w:val="auto"/>
        </w:rPr>
      </w:pPr>
    </w:p>
    <w:p>
      <w:pPr>
        <w:ind w:left="60" w:right="1119" w:firstLine="324"/>
        <w:spacing w:after="0" w:line="277" w:lineRule="auto"/>
        <w:rPr>
          <w:sz w:val="20"/>
          <w:szCs w:val="20"/>
          <w:color w:val="auto"/>
        </w:rPr>
      </w:pPr>
      <w:r>
        <w:rPr>
          <w:rFonts w:ascii="Arial" w:cs="Arial" w:eastAsia="Arial" w:hAnsi="Arial"/>
          <w:sz w:val="18"/>
          <w:szCs w:val="18"/>
          <w:color w:val="auto"/>
        </w:rPr>
        <w:t>Our Automotive segment’s net sales for the years ended December 31, 2021, 2020 and 2019 represented approximately 17%, 28% and 24%, respectively, of our consolidated net sales.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Services and Customers</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Icahn Automotive provides its customers with access to over two million replacement parts for domestic and imported vehicles through an extensive network of suppliers. Icahn Automotive seeks to provide (i) an extensive selection of product offerings, (ii) competitive pricing, (iii) exceptional in-store service experience and (iv) superior delivery to its customers.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Suppliers</w:t>
      </w:r>
    </w:p>
    <w:p>
      <w:pPr>
        <w:spacing w:after="0" w:line="22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Icahn Automotive purchases parts from manufacturers and other distributors for sale in the aftermarket. Purchases are made based on current inventory or operational needs and are fulfilled by suppliers within short periods of time. During 2021, Icahn Automotive’s ten largest suppliers accounted for approximately 58% of the merchandise purchased and its two largest suppliers accounted for more than 27% of the merchandise purchased. Icahn Automotive believes that the relationships that it has established with its suppliers are generally positive. In the past, Icahn Automotive has not experienced difficulty in obtaining satisfactory sources of supply and it believes that adequate alternative sources of supply exist, at similar cost, for the types of merchandise sold in its stores.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Operating Segments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Approximately 71% of Viskase’s net sales during 2021 were derived from customers outside the United States.</w:t>
      </w:r>
    </w:p>
    <w:p>
      <w:pPr>
        <w:spacing w:after="0" w:line="14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October 2020, Viskase completed an equity private placement whereby we acquired an additional 50,000,000 shares of Viskase common stock for $100 million. In connection with this transaction, our ownership of Viskase increased from approximately 79% to 89%.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We acquired all of the outstanding common stock of Vivus in December 2020 upon its emergence from bankruptcy. Prior to Vivus’ emergence from bankruptcy, we held an investment in all of Vivus’ convertible corporate debt securities as well as all of its other outstanding debt. Vivus is a specialty pharmaceutical company with two approved therapies and one product candidate in active clinical development.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559" w:firstLine="324"/>
        <w:spacing w:after="0" w:line="342" w:lineRule="auto"/>
        <w:rPr>
          <w:sz w:val="20"/>
          <w:szCs w:val="20"/>
          <w:color w:val="auto"/>
        </w:rPr>
      </w:pPr>
      <w:r>
        <w:rPr>
          <w:rFonts w:ascii="Arial" w:cs="Arial" w:eastAsia="Arial" w:hAnsi="Arial"/>
          <w:sz w:val="16"/>
          <w:szCs w:val="16"/>
          <w:color w:val="auto"/>
        </w:rPr>
        <w:t>We conducted our Metals segment through our wholly owned subsidiary, PSC Metals, LLC (“PSC Metals”). On December 7, 2021, we closed on the sale of PSC Metals. As a result, we no longer operate a Metals segment.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We have an aggregate of 36 employees at our Holding Company and Investment segment. Our other reporting segments employ an aggregate of approximately 19,500 employees, of which approximately 68% are employed within our Automotive segment, 13% are employed with our Food Packaging segment and 10% or less at each of our other segments. Approximately 19% of our employees are employed internationally, primarily within our Food Packaging and Home Fashion segments.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 xml:space="preserve">Icahn Enterprises maintains a website at </w:t>
      </w:r>
      <w:r>
        <w:rPr>
          <w:rFonts w:ascii="Arial" w:cs="Arial" w:eastAsia="Arial" w:hAnsi="Arial"/>
          <w:sz w:val="16"/>
          <w:szCs w:val="16"/>
          <w:i w:val="1"/>
          <w:iCs w:val="1"/>
          <w:color w:val="auto"/>
        </w:rPr>
        <w:t>www.ielp.com</w:t>
      </w:r>
      <w:r>
        <w:rPr>
          <w:rFonts w:ascii="Arial" w:cs="Arial" w:eastAsia="Arial" w:hAnsi="Arial"/>
          <w:sz w:val="16"/>
          <w:szCs w:val="16"/>
          <w:color w:val="auto"/>
        </w:rPr>
        <w:t>.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Ethics and Business Conduct and Audit Committee Charter, are available on our website (under Corporate Governance) and are available in print without charge to 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86" w:lineRule="auto"/>
        <w:rPr>
          <w:sz w:val="20"/>
          <w:szCs w:val="20"/>
          <w:color w:val="auto"/>
        </w:rPr>
      </w:pPr>
      <w:r>
        <w:rPr>
          <w:rFonts w:ascii="Arial" w:cs="Arial" w:eastAsia="Arial" w:hAnsi="Arial"/>
          <w:sz w:val="17"/>
          <w:szCs w:val="17"/>
          <w:color w:val="auto"/>
        </w:rPr>
        <w:t xml:space="preserve">stockholder requesting them. Any amendment or waiver of the provisions of our Code of Ethics will be posted on our website. The SEC maintains a website that contains reports, information statements, and other information regarding issuers like us who file electronically with the SEC. The SEC’s website is located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i w:val="1"/>
          <w:iCs w:val="1"/>
          <w:color w:val="auto"/>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Structure</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 and sales by our controlling unitholder could cause our unit price to decline.</w:t>
      </w:r>
    </w:p>
    <w:p>
      <w:pPr>
        <w:spacing w:after="0" w:line="170"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approximately 88% of Icahn Enterprises’ outstanding depositary units as of December 31, 2021, and, as a result, has the ability to influence many aspects of our operations and affairs.</w:t>
      </w:r>
    </w:p>
    <w:p>
      <w:pPr>
        <w:spacing w:after="0" w:line="18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 Furthermore, if upon Mr. Icahn’s death, the charitable and other trusts do not give control of Icahn Enterprises GP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81"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225"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w:t>
      </w:r>
    </w:p>
    <w:p>
      <w:pPr>
        <w:spacing w:after="0" w:line="2" w:lineRule="exact"/>
        <w:rPr>
          <w:sz w:val="20"/>
          <w:szCs w:val="20"/>
          <w:color w:val="auto"/>
        </w:rPr>
      </w:pPr>
    </w:p>
    <w:p>
      <w:pPr>
        <w:ind w:left="60" w:right="179"/>
        <w:spacing w:after="0" w:line="295" w:lineRule="auto"/>
        <w:rPr>
          <w:sz w:val="20"/>
          <w:szCs w:val="20"/>
          <w:color w:val="auto"/>
        </w:rPr>
      </w:pPr>
      <w:r>
        <w:rPr>
          <w:rFonts w:ascii="Arial" w:cs="Arial" w:eastAsia="Arial" w:hAnsi="Arial"/>
          <w:sz w:val="16"/>
          <w:szCs w:val="16"/>
          <w:color w:val="auto"/>
        </w:rPr>
        <w:t>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225"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259" w:lineRule="auto"/>
        <w:rPr>
          <w:sz w:val="20"/>
          <w:szCs w:val="20"/>
          <w:color w:val="auto"/>
        </w:rPr>
      </w:pPr>
      <w:r>
        <w:rPr>
          <w:rFonts w:ascii="Arial" w:cs="Arial" w:eastAsia="Arial" w:hAnsi="Arial"/>
          <w:sz w:val="18"/>
          <w:szCs w:val="18"/>
          <w:color w:val="auto"/>
        </w:rPr>
        <w:t>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7"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spacing w:after="0" w:line="165"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1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may structure transactions in a less advantageous manner to avoid becoming subject to the Investment Company Act.</w:t>
      </w:r>
    </w:p>
    <w:p>
      <w:pPr>
        <w:spacing w:after="0" w:line="170"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17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U.S. federal income tax purposes.</w:t>
      </w:r>
    </w:p>
    <w:p>
      <w:pPr>
        <w:spacing w:after="0" w:line="170"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negatively impacted by the potential for changes in tax laws.</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 We currently cannot predict the outcome of legislative proposals, including, if enacted, their impact on our operations and financial position.</w:t>
      </w:r>
    </w:p>
    <w:p>
      <w:pPr>
        <w:spacing w:after="0" w:line="168"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Holders of depositary units may be required to pay tax on their share of our income even if they did not receive cash distributions from us.</w:t>
      </w:r>
    </w:p>
    <w:p>
      <w:pPr>
        <w:spacing w:after="0" w:line="170"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gain or loss on the disposition of our depositary units could be more or less than expected.</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spacing w:after="0" w:line="16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Tax-exempt entities may recognize unrelated business taxable income they receive from holding our units, and may face other unique issues specific to their U.S. federal income tax classification.</w:t>
      </w:r>
    </w:p>
    <w:p>
      <w:pPr>
        <w:spacing w:after="0" w:line="17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spacing w:after="0" w:line="187"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Non-U.S. persons face unique tax issues from owning units that may result in adverse tax consequences to them, including being subject to withholding regimes and U.S. federal income tax on certain income they may earn from holding our units.</w:t>
      </w:r>
    </w:p>
    <w:p>
      <w:pPr>
        <w:spacing w:after="0" w:line="184"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Distributions to non-U.S. persons will be reduced by withholding taxes at the highest applicable effective tax rate, and non-U.S. persons will be required to file U.S. federal income tax returns and pay tax on their share of our taxable income.</w:t>
      </w:r>
    </w:p>
    <w:p>
      <w:pPr>
        <w:spacing w:after="0" w:line="124"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On November 30, 2020, the IRS published final regulations (the “1446 Final Regulations”) that address withholding tax and information reporting with respect to interests in publicly traded partnerships engaged in a U.S. trade or business. The 1446 Final Regulations end the suspension of withholding on the sale or exchange of certain interests in a publicly traded partnership, effective on January 1, 2022, but place the primary responsibility for such withholding obligations for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transfers effected through brokers on the broker, and not the publicly traded partnership. On August 24, 2021, the IRS issued Notice 2021-51 (the “Notice”), which states the IRS’ intent to amend the 1446 Final Regulations to defer the applicability date to January 1, 2023 and further permits taxpayers to rely upon the Notice until such amendments are issued. For transfers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may be liable for any underwithholding by nominees on our distributions made after January 1, 2023.</w:t>
      </w:r>
    </w:p>
    <w:p>
      <w:pPr>
        <w:spacing w:after="0" w:line="237"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Under the 1446 Final Regulations, and as deferred by the Notice, 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1446 Final Regulations. If the qualified notice is incorrect such that it causes a broker to underwithhold with respect to an amount in excess of cumulative net income, the publicly traded partnership is liable for any underwithholding on such amount.</w:t>
      </w:r>
    </w:p>
    <w:p>
      <w:pPr>
        <w:spacing w:after="0" w:line="19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unitholders likely will be subject to state and local taxes and return filing or withholding requirements in states in which they do not live as a result of investing in our units.</w:t>
      </w:r>
    </w:p>
    <w:p>
      <w:pPr>
        <w:spacing w:after="0" w:line="170"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spacing w:after="0" w:line="166"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71"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spacing w:after="0" w:line="195" w:lineRule="exact"/>
        <w:rPr>
          <w:sz w:val="20"/>
          <w:szCs w:val="20"/>
          <w:color w:val="auto"/>
        </w:rPr>
      </w:pPr>
    </w:p>
    <w:p>
      <w:pPr>
        <w:ind w:left="60" w:right="359"/>
        <w:spacing w:after="0" w:line="340" w:lineRule="auto"/>
        <w:rPr>
          <w:sz w:val="20"/>
          <w:szCs w:val="20"/>
          <w:color w:val="auto"/>
        </w:rPr>
      </w:pPr>
      <w:r>
        <w:rPr>
          <w:rFonts w:ascii="Arial" w:cs="Arial" w:eastAsia="Arial" w:hAnsi="Arial"/>
          <w:sz w:val="15"/>
          <w:szCs w:val="15"/>
          <w:b w:val="1"/>
          <w:bCs w:val="1"/>
          <w:i w:val="1"/>
          <w:iCs w:val="1"/>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31"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spacing w:after="0" w:line="157" w:lineRule="exact"/>
        <w:rPr>
          <w:sz w:val="20"/>
          <w:szCs w:val="20"/>
          <w:color w:val="auto"/>
        </w:rPr>
      </w:pPr>
    </w:p>
    <w:p>
      <w:pPr>
        <w:ind w:left="60" w:right="59"/>
        <w:spacing w:after="0" w:line="340" w:lineRule="auto"/>
        <w:rPr>
          <w:sz w:val="20"/>
          <w:szCs w:val="20"/>
          <w:color w:val="auto"/>
        </w:rPr>
      </w:pPr>
      <w:r>
        <w:rPr>
          <w:rFonts w:ascii="Arial" w:cs="Arial" w:eastAsia="Arial" w:hAnsi="Arial"/>
          <w:sz w:val="15"/>
          <w:szCs w:val="15"/>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31"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spacing w:after="0" w:line="179"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88% of Icahn Enterprises’ outstanding depositary units as of December 31,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All the minimum funding requirements of the Internal Revenue Code, as amended, and the Employee Retirement Income Security Act of 1974, as amended, for the Viskase and ACF plans have been met as of December 31, 2021. If the plans were voluntarily terminated, they would be underfunded by an aggregate of approximately $66 million as of December 31,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be liable for any failure of such entities to make ongoing pension contributions or to pay the unfunded liabilities upon termination of such plans.</w:t>
      </w:r>
    </w:p>
    <w:p>
      <w:pPr>
        <w:spacing w:after="0" w:line="17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170"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16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70"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157"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7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177"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124"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19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9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Since we are a limited partnership, you may not be able to pursue legal claims against us in U.S. federal courts.</w:t>
      </w:r>
    </w:p>
    <w:p>
      <w:pPr>
        <w:spacing w:after="0" w:line="24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Liquidity and Capital Requirements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a holding company and depend on the businesses of our subsidiaries to satisfy our obligations.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pacing w:after="0" w:line="19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187" w:lineRule="exact"/>
        <w:rPr>
          <w:sz w:val="20"/>
          <w:szCs w:val="20"/>
          <w:color w:val="auto"/>
        </w:rPr>
      </w:pPr>
    </w:p>
    <w:p>
      <w:pPr>
        <w:jc w:val="both"/>
        <w:ind w:left="60" w:right="219" w:firstLine="324"/>
        <w:spacing w:after="0" w:line="286" w:lineRule="auto"/>
        <w:rPr>
          <w:sz w:val="20"/>
          <w:szCs w:val="20"/>
          <w:color w:val="auto"/>
        </w:rPr>
      </w:pPr>
      <w:r>
        <w:rPr>
          <w:rFonts w:ascii="Arial" w:cs="Arial" w:eastAsia="Arial" w:hAnsi="Arial"/>
          <w:sz w:val="17"/>
          <w:szCs w:val="17"/>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170"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16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b w:val="1"/>
          <w:bCs w:val="1"/>
          <w:i w:val="1"/>
          <w:iCs w:val="1"/>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49"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Our failure to comply with the covenants under any of our debt instruments, including our indentures governing our senior unsecured notes, (including our failure to comply as a result of events beyond our control, including the change in the fair value of our investment in the Investment Funds)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including the exchange notes.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18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necessary to finance a change of control offer that may be required by the indentures governing our senior notes.</w:t>
      </w:r>
    </w:p>
    <w:p>
      <w:pPr>
        <w:spacing w:after="0" w:line="170"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1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170"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As of December 31, 2021, we had investments in the Investment Funds with a fair market value of approximately $4.2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Future cash distributions to Icahn Enterprises’ unitholders, if any, can be affected by numerous factors.</w:t>
      </w:r>
    </w:p>
    <w:p>
      <w:pPr>
        <w:spacing w:after="0" w:line="237"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While we made cash distributions to Icahn Enterprises’ unitholders in each of the four quarters of 2021,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187" w:lineRule="exact"/>
        <w:rPr>
          <w:sz w:val="20"/>
          <w:szCs w:val="20"/>
          <w:color w:val="auto"/>
        </w:rPr>
      </w:pPr>
    </w:p>
    <w:p>
      <w:pPr>
        <w:jc w:val="both"/>
        <w:ind w:left="60" w:right="119" w:firstLine="324"/>
        <w:spacing w:after="0" w:line="286" w:lineRule="auto"/>
        <w:rPr>
          <w:sz w:val="20"/>
          <w:szCs w:val="20"/>
          <w:color w:val="auto"/>
        </w:rPr>
      </w:pPr>
      <w:r>
        <w:rPr>
          <w:rFonts w:ascii="Arial" w:cs="Arial" w:eastAsia="Arial" w:hAnsi="Arial"/>
          <w:sz w:val="17"/>
          <w:szCs w:val="17"/>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15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Risks Relating to Our Investment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225" w:lineRule="exact"/>
        <w:rPr>
          <w:sz w:val="20"/>
          <w:szCs w:val="20"/>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23"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success of the Investment Funds’ activist strategies;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historical financial information for the Investment Funds is not necessarily indicative of its future performance.</w:t>
      </w:r>
    </w:p>
    <w:p>
      <w:pPr>
        <w:spacing w:after="0" w:line="248"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84"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184"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78" w:lineRule="exact"/>
        <w:rPr>
          <w:sz w:val="20"/>
          <w:szCs w:val="20"/>
          <w:color w:val="auto"/>
        </w:rPr>
      </w:pPr>
    </w:p>
    <w:p>
      <w:pPr>
        <w:ind w:left="60" w:right="439" w:firstLine="324"/>
        <w:spacing w:after="0" w:line="301" w:lineRule="auto"/>
        <w:rPr>
          <w:sz w:val="20"/>
          <w:szCs w:val="20"/>
          <w:color w:val="auto"/>
        </w:rPr>
      </w:pPr>
      <w:r>
        <w:rPr>
          <w:rFonts w:ascii="Arial" w:cs="Arial" w:eastAsia="Arial" w:hAnsi="Arial"/>
          <w:sz w:val="16"/>
          <w:szCs w:val="16"/>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market than a less concentrated portfolio would be. As a result, the Investment Funds’ investment portfolio’s aggregate returns may be volatile and may be affected substantially by the performance of only one or a few holdings.</w:t>
      </w:r>
    </w:p>
    <w:p>
      <w:pPr>
        <w:spacing w:after="0" w:line="124"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As of December 31, 2021, our top five holdings in the Investment Funds had a market value of approximately $5.6 billion, which represented approximately 60%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spacing w:after="0" w:line="178"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61"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171"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19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identify suitable investments, and our investments may not result in favorable returns or may result in losses.</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Successful execution of our activist investment activities involves many risks, certain of which are outside of our control.</w:t>
      </w:r>
    </w:p>
    <w:p>
      <w:pPr>
        <w:spacing w:after="0" w:line="170"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19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166"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146"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16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167"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possibility of increased regulation could result in additional burdens on our Investment segment.</w:t>
      </w:r>
    </w:p>
    <w:p>
      <w:pPr>
        <w:spacing w:after="0" w:line="22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Dodd-Frank Wall Street Reform and Consumer Protection Act (the “Reform Act”), enacted into law in July 2010, resulted in regulations affecting almost every part of the financial services industry.</w:t>
      </w:r>
    </w:p>
    <w:p>
      <w:pPr>
        <w:spacing w:after="0" w:line="170"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increase in the price of any securities our Investment segment anticipate purchasing at a later date; or (vii) for any other reason that our Investment segment deems appropriate.</w:t>
      </w:r>
    </w:p>
    <w:p>
      <w:pPr>
        <w:spacing w:after="0" w:line="170"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184"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The Investment Funds invest in distressed securities, as well as bank loans, asset backed securities and mortgage-backed securities.</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182"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84"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Investment Funds’ investments are subject to numerous additional risks including those described below.</w:t>
      </w:r>
    </w:p>
    <w:p>
      <w:pPr>
        <w:spacing w:after="0" w:line="248" w:lineRule="exact"/>
        <w:rPr>
          <w:sz w:val="20"/>
          <w:szCs w:val="20"/>
          <w:color w:val="auto"/>
        </w:rPr>
      </w:pPr>
    </w:p>
    <w:p>
      <w:pPr>
        <w:ind w:left="800" w:right="519" w:hanging="318"/>
        <w:spacing w:after="0" w:line="291"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there are few limitations set forth in the governing documents of the Investment Funds on the execution of their investment activities, which are subject to the sole discretion of our Investment segment.</w:t>
      </w:r>
    </w:p>
    <w:p>
      <w:pPr>
        <w:ind w:left="800" w:right="119" w:hanging="318"/>
        <w:spacing w:after="0" w:line="265"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1" w:lineRule="exact"/>
        <w:rPr>
          <w:rFonts w:ascii="Arial" w:cs="Arial" w:eastAsia="Arial" w:hAnsi="Arial"/>
          <w:sz w:val="17"/>
          <w:szCs w:val="17"/>
          <w:color w:val="auto"/>
        </w:rPr>
      </w:pPr>
    </w:p>
    <w:p>
      <w:pPr>
        <w:ind w:left="800" w:right="179" w:hanging="318"/>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3" w:lineRule="exact"/>
        <w:rPr>
          <w:rFonts w:ascii="Arial" w:cs="Arial" w:eastAsia="Arial" w:hAnsi="Arial"/>
          <w:sz w:val="18"/>
          <w:szCs w:val="18"/>
          <w:color w:val="auto"/>
        </w:rPr>
      </w:pPr>
    </w:p>
    <w:p>
      <w:pPr>
        <w:ind w:left="800" w:right="99" w:hanging="318"/>
        <w:spacing w:after="0" w:line="265"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1" w:lineRule="exact"/>
        <w:rPr>
          <w:rFonts w:ascii="Arial" w:cs="Arial" w:eastAsia="Arial" w:hAnsi="Arial"/>
          <w:sz w:val="17"/>
          <w:szCs w:val="17"/>
          <w:color w:val="auto"/>
        </w:rPr>
      </w:pPr>
    </w:p>
    <w:p>
      <w:pPr>
        <w:ind w:left="800" w:right="99" w:hanging="318"/>
        <w:spacing w:after="0" w:line="281"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5" w:lineRule="exact"/>
        <w:rPr>
          <w:rFonts w:ascii="Arial" w:cs="Arial" w:eastAsia="Arial" w:hAnsi="Arial"/>
          <w:sz w:val="16"/>
          <w:szCs w:val="16"/>
          <w:color w:val="auto"/>
        </w:rPr>
      </w:pPr>
    </w:p>
    <w:p>
      <w:pPr>
        <w:ind w:left="800" w:right="239" w:hanging="318"/>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Arial" w:cs="Arial" w:eastAsia="Arial" w:hAnsi="Arial"/>
          <w:sz w:val="18"/>
          <w:szCs w:val="18"/>
          <w:color w:val="auto"/>
        </w:rPr>
      </w:pPr>
    </w:p>
    <w:p>
      <w:pPr>
        <w:ind w:left="800" w:right="99" w:hanging="318"/>
        <w:spacing w:after="0" w:line="265"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1" w:lineRule="exact"/>
        <w:rPr>
          <w:rFonts w:ascii="Arial" w:cs="Arial" w:eastAsia="Arial" w:hAnsi="Arial"/>
          <w:sz w:val="17"/>
          <w:szCs w:val="17"/>
          <w:color w:val="auto"/>
        </w:rPr>
      </w:pPr>
    </w:p>
    <w:p>
      <w:pPr>
        <w:ind w:left="800" w:right="179" w:hanging="318"/>
        <w:spacing w:after="0" w:line="295"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359"/>
        <w:spacing w:after="0" w:line="286" w:lineRule="auto"/>
        <w:rPr>
          <w:sz w:val="20"/>
          <w:szCs w:val="20"/>
          <w:color w:val="auto"/>
        </w:rPr>
      </w:pPr>
      <w:r>
        <w:rPr>
          <w:rFonts w:ascii="Arial" w:cs="Arial" w:eastAsia="Arial" w:hAnsi="Arial"/>
          <w:sz w:val="16"/>
          <w:szCs w:val="16"/>
          <w:color w:val="auto"/>
        </w:rPr>
        <w:t>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1" w:lineRule="exact"/>
        <w:rPr>
          <w:sz w:val="20"/>
          <w:szCs w:val="20"/>
          <w:color w:val="auto"/>
        </w:rPr>
      </w:pPr>
    </w:p>
    <w:p>
      <w:pPr>
        <w:ind w:left="800" w:right="99" w:hanging="318"/>
        <w:spacing w:after="0" w:line="288"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Consolidated Operating Subsidiaries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Changes in regulations and regulatory actions can adversely affect our operating results and our ability to allocate capital.</w:t>
      </w:r>
    </w:p>
    <w:p>
      <w:pPr>
        <w:spacing w:after="0" w:line="170"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161" w:lineRule="exact"/>
        <w:rPr>
          <w:sz w:val="20"/>
          <w:szCs w:val="20"/>
          <w:color w:val="auto"/>
        </w:rPr>
      </w:pPr>
    </w:p>
    <w:p>
      <w:pPr>
        <w:jc w:val="both"/>
        <w:ind w:left="60" w:right="559"/>
        <w:spacing w:after="0" w:line="311" w:lineRule="auto"/>
        <w:rPr>
          <w:sz w:val="20"/>
          <w:szCs w:val="20"/>
          <w:color w:val="auto"/>
        </w:rPr>
      </w:pPr>
      <w:r>
        <w:rPr>
          <w:rFonts w:ascii="Arial" w:cs="Arial" w:eastAsia="Arial" w:hAnsi="Arial"/>
          <w:sz w:val="16"/>
          <w:szCs w:val="16"/>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14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severe weather conditions, among others. These events may damage or destroy properties, production facilities, transport facilities and equipment, as well as lead to personal injury or death, environmental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186" w:lineRule="exact"/>
        <w:rPr>
          <w:sz w:val="20"/>
          <w:szCs w:val="20"/>
          <w:color w:val="auto"/>
        </w:rPr>
      </w:pPr>
    </w:p>
    <w:p>
      <w:pPr>
        <w:ind w:left="60" w:right="219"/>
        <w:spacing w:after="0" w:line="381" w:lineRule="auto"/>
        <w:rPr>
          <w:sz w:val="20"/>
          <w:szCs w:val="20"/>
          <w:color w:val="auto"/>
        </w:rPr>
      </w:pPr>
      <w:r>
        <w:rPr>
          <w:rFonts w:ascii="Arial" w:cs="Arial" w:eastAsia="Arial" w:hAnsi="Arial"/>
          <w:sz w:val="15"/>
          <w:szCs w:val="15"/>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100"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 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17, “Commitments and Contingencies,” to the consolidated financial statements for additional discussion of environmental matters affecting our businesses.</w:t>
      </w:r>
    </w:p>
    <w:p>
      <w:pPr>
        <w:spacing w:after="0" w:line="174" w:lineRule="exact"/>
        <w:rPr>
          <w:sz w:val="20"/>
          <w:szCs w:val="20"/>
          <w:color w:val="auto"/>
        </w:rPr>
      </w:pPr>
    </w:p>
    <w:p>
      <w:pPr>
        <w:ind w:left="60" w:right="619"/>
        <w:spacing w:after="0" w:line="308" w:lineRule="auto"/>
        <w:rPr>
          <w:sz w:val="20"/>
          <w:szCs w:val="20"/>
          <w:color w:val="auto"/>
        </w:rPr>
      </w:pPr>
      <w:r>
        <w:rPr>
          <w:rFonts w:ascii="Arial" w:cs="Arial" w:eastAsia="Arial" w:hAnsi="Arial"/>
          <w:sz w:val="17"/>
          <w:szCs w:val="17"/>
          <w:b w:val="1"/>
          <w:bCs w:val="1"/>
          <w:i w:val="1"/>
          <w:iCs w:val="1"/>
          <w:color w:val="auto"/>
        </w:rPr>
        <w:t>Our Energy segment’s businesses are, and commodity prices are, cyclical and highly volatile, which could have a material adverse effect on our results of operations, financial condition and cash flows.</w:t>
      </w:r>
    </w:p>
    <w:p>
      <w:pPr>
        <w:spacing w:after="0" w:line="14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Our Energy segment’s petroleum business’ financial results are primarily affected by the margin between refined product prices and the prices for crude oil and other feedstocks. Historically, refining margins have been volatile,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w:t>
      </w:r>
    </w:p>
    <w:p>
      <w:pPr>
        <w:spacing w:after="0" w:line="16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Some of these factors can vary by region and may change quickly, adding to market volatility, while others may have longer-term effects on refining and marketing margins, which are uncertain. CVR Refining does not produce crude oil and must purchase all of the crude oil it refines long before it refines them and sell the refined products. Price level changes during the period between purchasing feedstocks and selling the refined petroleum products from these feedstocks could have a significant effect on our Energy segment’s financial results and a decline in market prices may negatively impact the carrying value of its inventories.</w:t>
      </w:r>
    </w:p>
    <w:p>
      <w:pPr>
        <w:spacing w:after="0" w:line="192"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Profitability is also impacted by the ability to purchase crude oil at a discount to benchmark crude oils, such as West Texas Intermediate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196"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Compliance with the U.S. Environmental Protection Agency Renewable Fuel Standard, with respect to our Energy segment, could adversely affect our financial condition and results of operations.</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The U.S. Environmental Protection Agency (the “EPA”) has promulgated the Renewable Fuel Standards (“RFS”), which requires refiners to either blend “renewable fuels,” such as ethanol and biodiesel,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18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The petroleum business cannot predict the future prices of RINs. The price of RINs has been extremely volatile in the past.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 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 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174"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17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Our Energy segment’s petroleum business may enter into commodity derivatives contracts to mitigate crack spread or inventory risk with respect to a portion of its expected refined products production or crude oil products inventory.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92" w:lineRule="exact"/>
        <w:rPr>
          <w:sz w:val="20"/>
          <w:szCs w:val="20"/>
          <w:color w:val="auto"/>
        </w:rPr>
      </w:pPr>
    </w:p>
    <w:p>
      <w:pPr>
        <w:ind w:left="800" w:right="719" w:hanging="318"/>
        <w:spacing w:after="0" w:line="25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1" w:lineRule="exact"/>
        <w:rPr>
          <w:rFonts w:ascii="Arial" w:cs="Arial" w:eastAsia="Arial" w:hAnsi="Arial"/>
          <w:sz w:val="18"/>
          <w:szCs w:val="18"/>
          <w:color w:val="auto"/>
        </w:rPr>
      </w:pPr>
    </w:p>
    <w:p>
      <w:pPr>
        <w:ind w:left="800" w:right="379" w:hanging="318"/>
        <w:spacing w:after="0" w:line="250"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accidents, interruptions in transportation, inclement weather or other events cause unscheduled shutdowns or otherwise adversely affect its refinery or suppliers or customers;</w:t>
      </w:r>
    </w:p>
    <w:p>
      <w:pPr>
        <w:ind w:left="800" w:hanging="31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9" w:lineRule="exact"/>
        <w:rPr>
          <w:rFonts w:ascii="Arial" w:cs="Arial" w:eastAsia="Arial" w:hAnsi="Arial"/>
          <w:sz w:val="18"/>
          <w:szCs w:val="18"/>
          <w:color w:val="auto"/>
        </w:rPr>
      </w:pPr>
    </w:p>
    <w:p>
      <w:pPr>
        <w:ind w:left="800" w:right="959" w:hanging="318"/>
        <w:spacing w:after="0" w:line="260"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85"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As a result, the effectiveness of CVR Energy’s risk mitigation strategy could have a material adverse impact on our Energy segment’s financial results and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w:t>
      </w:r>
    </w:p>
    <w:p>
      <w:pPr>
        <w:spacing w:after="0" w:line="149"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With respect to our Automotive segment, we have invested significant resources in various initiatives to remain competitive and stimulate growth.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182"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of our subsidiaries are global businesses and have manufacturing and distribution facilities in many countries.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International operations are subject to certain risks including:</w:t>
      </w:r>
    </w:p>
    <w:p>
      <w:pPr>
        <w:spacing w:after="0" w:line="211" w:lineRule="exact"/>
        <w:rPr>
          <w:sz w:val="20"/>
          <w:szCs w:val="20"/>
          <w:color w:val="auto"/>
        </w:rPr>
      </w:pPr>
    </w:p>
    <w:p>
      <w:pPr>
        <w:ind w:left="800" w:hanging="31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23" w:lineRule="exact"/>
        <w:rPr>
          <w:rFonts w:ascii="Arial" w:cs="Arial" w:eastAsia="Arial" w:hAnsi="Arial"/>
          <w:sz w:val="18"/>
          <w:szCs w:val="18"/>
          <w:color w:val="auto"/>
        </w:rPr>
      </w:pPr>
    </w:p>
    <w:p>
      <w:pPr>
        <w:ind w:left="800" w:hanging="31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9" w:lineRule="exact"/>
        <w:rPr>
          <w:rFonts w:ascii="Arial" w:cs="Arial" w:eastAsia="Arial" w:hAnsi="Arial"/>
          <w:sz w:val="18"/>
          <w:szCs w:val="18"/>
          <w:color w:val="auto"/>
        </w:rPr>
      </w:pPr>
    </w:p>
    <w:p>
      <w:pPr>
        <w:ind w:left="800" w:right="299" w:hanging="318"/>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(including, but not limited to, material exchange rate fluctuations, such as devaluations) and currency controls;</w:t>
      </w:r>
    </w:p>
    <w:p>
      <w:pPr>
        <w:ind w:left="800" w:hanging="31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ability to repatriate foreign earnings;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unrest; and</w:t>
      </w:r>
    </w:p>
    <w:p>
      <w:pPr>
        <w:spacing w:after="0" w:line="9" w:lineRule="exact"/>
        <w:rPr>
          <w:rFonts w:ascii="Arial" w:cs="Arial" w:eastAsia="Arial" w:hAnsi="Arial"/>
          <w:sz w:val="18"/>
          <w:szCs w:val="18"/>
          <w:color w:val="auto"/>
        </w:rPr>
      </w:pPr>
    </w:p>
    <w:p>
      <w:pPr>
        <w:ind w:left="800" w:right="259" w:hanging="318"/>
        <w:spacing w:after="0" w:line="26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85"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likelihood of such occurrences and their potential effect on our businesses are unpredictable and vary from country-to-country.</w:t>
      </w:r>
    </w:p>
    <w:p>
      <w:pPr>
        <w:spacing w:after="0" w:line="170"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16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170"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subsidiaries’ indebtedness could:</w:t>
      </w:r>
    </w:p>
    <w:p>
      <w:pPr>
        <w:spacing w:after="0" w:line="225" w:lineRule="exact"/>
        <w:rPr>
          <w:sz w:val="20"/>
          <w:szCs w:val="20"/>
          <w:color w:val="auto"/>
        </w:rPr>
      </w:pPr>
    </w:p>
    <w:p>
      <w:pPr>
        <w:ind w:left="800" w:right="199" w:hanging="318"/>
        <w:spacing w:after="0" w:line="274"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their ability to borrow money for working capital, capital expenditures, debt service requirements or other corporate purposes, guarantee additional debt or issue redeemable, convertible of preferred equity;</w:t>
      </w:r>
    </w:p>
    <w:p>
      <w:pPr>
        <w:ind w:left="800" w:right="279" w:hanging="318"/>
        <w:spacing w:after="0" w:line="281"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1" w:lineRule="exact"/>
        <w:rPr>
          <w:rFonts w:ascii="Arial" w:cs="Arial" w:eastAsia="Arial" w:hAnsi="Arial"/>
          <w:sz w:val="16"/>
          <w:szCs w:val="16"/>
          <w:color w:val="auto"/>
        </w:rPr>
      </w:pPr>
    </w:p>
    <w:p>
      <w:pPr>
        <w:jc w:val="both"/>
        <w:ind w:left="800" w:right="139" w:hanging="318"/>
        <w:spacing w:after="0" w:line="250"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them to dedicate a substantial portion of its cash flow to payments on indebtedness, which would reduce the amount of cash flow available to fund working capital, capital expenditures, product development, and other corporate requirements;</w:t>
      </w:r>
    </w:p>
    <w:p>
      <w:pPr>
        <w:spacing w:after="0" w:line="1" w:lineRule="exact"/>
        <w:rPr>
          <w:rFonts w:ascii="Arial" w:cs="Arial" w:eastAsia="Arial" w:hAnsi="Arial"/>
          <w:sz w:val="18"/>
          <w:szCs w:val="18"/>
          <w:color w:val="auto"/>
        </w:rPr>
      </w:pPr>
    </w:p>
    <w:p>
      <w:pPr>
        <w:ind w:left="800" w:hanging="31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their vulnerability to general adverse economic and industry conditions; and</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their ability to respond to business opportunities.</w:t>
      </w:r>
    </w:p>
    <w:p>
      <w:pPr>
        <w:spacing w:after="0" w:line="211"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Certain of our subsidiaries’ indebtedness accrue interest at variable rates. To the extent market interest rates rise, the cost of their debt would increase, adversely affecting their financial condition, results of operations and cash flows.</w:t>
      </w:r>
    </w:p>
    <w:p>
      <w:pPr>
        <w:spacing w:after="0" w:line="124"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146"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our businesses are subject to the effects of the following:</w:t>
      </w:r>
    </w:p>
    <w:p>
      <w:pPr>
        <w:spacing w:after="0" w:line="225" w:lineRule="exact"/>
        <w:rPr>
          <w:sz w:val="20"/>
          <w:szCs w:val="20"/>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23"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epidemics or pandemics (or expectations about them)</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competition, varying by industry and geographic markets;</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 and</w:t>
      </w:r>
    </w:p>
    <w:p>
      <w:pPr>
        <w:spacing w:after="0" w:line="9"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not in the ordinary course of business (see Item 3, “Legal Proceedings,” of this Report).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need qualified personnel to manage and operate our various businesses.</w:t>
      </w:r>
    </w:p>
    <w:p>
      <w:pPr>
        <w:spacing w:after="0" w:line="225"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spacing w:after="0" w:line="184" w:lineRule="exact"/>
        <w:rPr>
          <w:sz w:val="20"/>
          <w:szCs w:val="20"/>
          <w:color w:val="auto"/>
        </w:rPr>
      </w:pPr>
    </w:p>
    <w:p>
      <w:pPr>
        <w:ind w:left="60" w:right="79"/>
        <w:spacing w:after="0" w:line="327" w:lineRule="auto"/>
        <w:rPr>
          <w:sz w:val="20"/>
          <w:szCs w:val="20"/>
          <w:color w:val="auto"/>
        </w:rPr>
      </w:pPr>
      <w:r>
        <w:rPr>
          <w:rFonts w:ascii="Arial" w:cs="Arial" w:eastAsia="Arial" w:hAnsi="Arial"/>
          <w:sz w:val="15"/>
          <w:szCs w:val="15"/>
          <w:b w:val="1"/>
          <w:bCs w:val="1"/>
          <w:i w:val="1"/>
          <w:iCs w:val="1"/>
          <w:color w:val="auto"/>
        </w:rPr>
        <w:t>The COVID-19 pandemic has, and may continue to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Arial" w:cs="Arial" w:eastAsia="Arial" w:hAnsi="Arial"/>
          <w:sz w:val="15"/>
          <w:szCs w:val="15"/>
          <w:color w:val="auto"/>
        </w:rPr>
        <w:t>.</w:t>
      </w:r>
    </w:p>
    <w:p>
      <w:pPr>
        <w:spacing w:after="0" w:line="140"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Our and our subsidiaries’ operations and financial performance have been negatively impacted by the COVID-19 pandemic that has caused, and may continue to cause, a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17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Our consolidated results of operations and financial condition have recently been impacted primarily by the net declines in fair value of investments held by our Investment segment and the Holding Company as well as declines in the global demand for crude oil, refined products and liquid transportation fuels with respect to our Energy segment. The impact on our businesses has also included the acceleration of planned store closures in our Automotive segment, lowering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77"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The COVID-19 pandemic may also have the effect of heightening many of the other risks described in the risk factors set forth herein.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66"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extent to which the COVID-19 pandemic may negatively impact our business and operations will depend on the severity, location, and duration of the effects and spread of COVID-19,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17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170"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report timely and accurate financial results.</w:t>
      </w:r>
    </w:p>
    <w:p>
      <w:pPr>
        <w:spacing w:after="0" w:line="17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8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65"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b w:val="1"/>
          <w:bCs w:val="1"/>
          <w:i w:val="1"/>
          <w:iCs w:val="1"/>
          <w:color w:val="auto"/>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spacing w:after="0" w:line="187"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reported financial information, which could have a negative effect on the trading price of our depositary units or the rating of our debt.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Our Holding Company and Investment segment lease office space in Sunny Isles Beach, Florida. The principal physical properties at our other operating segments are as follows: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CVR Energy owns and operates two oil refineries as well as office buildings located in Coffeyville, Kansas and Wynnewood, Oklahoma. CVR Energy also owns and operates two fertilizer plants in Coffeyville, Kansas and East Dubuque, Illinois. CVR Energy owns crude oil storage facilities in Kansas and Oklahoma, refined oil storage facilities at its Wynnewood, Oklahoma refinery location, and fertilizer storage facilities at its East Dubuque, Illinois fertilizer plant location. CVR Energy also leases additional crude oil storage facilities.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Icahn Automotive’s operations include approximately 1,427 company operated store locations, 753 franchise locations and 46 tire hub and distributions centers throughout the United States. Approximately 80% of Icahn Automotive’s facilities are leased and the remainder are owned.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Viskase’s operations include ten manufacturing facilities throughout North America, Europe, South America and Asia.</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Item 3 of this Report, the information regarding the lawsuits and proceedings described and referenced in Note 17, “Commitments and Contingencies,” to the consolidated financial statements as set forth in Item 8 of this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60" w:right="1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Security Holder Matters and Issuer Purchases of Equity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depositary units are traded on the Nasdaq Global Select Market under the symbol “IEP.”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of December 31, 2021, there were approximately 1,800 record holders of Icahn Enterprises’ depositary units including multiple beneficial holders at depositories, banks and brokers listed as a single record holder in the street name of each respective depository, bank or broker.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 xml:space="preserve">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w:t>
      </w:r>
      <w:r>
        <w:rPr>
          <w:rFonts w:ascii="Arial" w:cs="Arial" w:eastAsia="Arial" w:hAnsi="Arial"/>
          <w:sz w:val="16"/>
          <w:szCs w:val="16"/>
          <w:color w:val="231F20"/>
        </w:rPr>
        <w:t>Investment, Energy, Automotive, Food Packaging, Real Estate,</w:t>
      </w:r>
      <w:r>
        <w:rPr>
          <w:rFonts w:ascii="Arial" w:cs="Arial" w:eastAsia="Arial" w:hAnsi="Arial"/>
          <w:sz w:val="16"/>
          <w:szCs w:val="16"/>
          <w:color w:val="auto"/>
        </w:rPr>
        <w:t xml:space="preserve"> </w:t>
      </w:r>
      <w:r>
        <w:rPr>
          <w:rFonts w:ascii="Arial" w:cs="Arial" w:eastAsia="Arial" w:hAnsi="Arial"/>
          <w:sz w:val="16"/>
          <w:szCs w:val="16"/>
          <w:color w:val="231F20"/>
        </w:rPr>
        <w:t xml:space="preserve">Home Fashion and Pharma. In addition, we operated our Metals segment until sold in December 2021. </w:t>
      </w:r>
      <w:r>
        <w:rPr>
          <w:rFonts w:ascii="Arial" w:cs="Arial" w:eastAsia="Arial" w:hAnsi="Arial"/>
          <w:sz w:val="16"/>
          <w:szCs w:val="16"/>
          <w:color w:val="000000"/>
        </w:rPr>
        <w:t>We also report the</w:t>
      </w:r>
      <w:r>
        <w:rPr>
          <w:rFonts w:ascii="Arial" w:cs="Arial" w:eastAsia="Arial" w:hAnsi="Arial"/>
          <w:sz w:val="16"/>
          <w:szCs w:val="16"/>
          <w:color w:val="231F20"/>
        </w:rPr>
        <w:t xml:space="preserve"> </w:t>
      </w:r>
      <w:r>
        <w:rPr>
          <w:rFonts w:ascii="Arial" w:cs="Arial" w:eastAsia="Arial" w:hAnsi="Arial"/>
          <w:sz w:val="16"/>
          <w:szCs w:val="16"/>
          <w:color w:val="000000"/>
        </w:rPr>
        <w:t>results of our Holding Company, which includes the results of certain subsidiaries of Icahn Enterprises (unless otherwise noted), and investment activity and expenses associated with our Holding Company. Our historical results also report the results of our Mining segment, until sold on August 1, 2019. References to “we,” “our” or “us” herein include Icahn Enterprises and its subsidiaries, unless the context otherwise requires.</w:t>
      </w:r>
    </w:p>
    <w:p>
      <w:pPr>
        <w:spacing w:after="0" w:line="16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2021, representing an aggregate 1.99% general partner interest in Icahn Enterprises Holdings and us. Mr. Icahn and his affiliates owned approximately 88% of Icahn Enterprises’ outstanding depositary units as of December 31,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On October 27, 2021, IEP Utility Holdings LLC (“IEP Utility”),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Southwest Gas, through its wholly owned subsidiaries, is engaged in the business of purchasing, distributing, and transporting natural gas for customers in portions of Arizona, Nevada, and California. Southwest Gas’ shares of common stock are listed on the New York Stock Exchange under the symbol “SWX.” The SWX Tender Offer has been extended and is scheduled to expire at 12:00 midnight, New York City Time, on March 23, 2022, unless the offer is further extended.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PSC Metals, LLC</w:t>
      </w:r>
    </w:p>
    <w:p>
      <w:pPr>
        <w:spacing w:after="0" w:line="225" w:lineRule="exact"/>
        <w:rPr>
          <w:sz w:val="20"/>
          <w:szCs w:val="20"/>
          <w:color w:val="auto"/>
        </w:rPr>
      </w:pPr>
    </w:p>
    <w:p>
      <w:pPr>
        <w:ind w:left="60" w:right="399" w:firstLine="324"/>
        <w:spacing w:after="0" w:line="259" w:lineRule="auto"/>
        <w:rPr>
          <w:sz w:val="20"/>
          <w:szCs w:val="20"/>
          <w:color w:val="auto"/>
        </w:rPr>
      </w:pPr>
      <w:r>
        <w:rPr>
          <w:rFonts w:ascii="Arial" w:cs="Arial" w:eastAsia="Arial" w:hAnsi="Arial"/>
          <w:sz w:val="18"/>
          <w:szCs w:val="18"/>
          <w:color w:val="auto"/>
        </w:rPr>
        <w:t>On December 7, 2021, we closed on the previously announced sale of 100% of the equity interests in PSC Metals, LLC (“PSC Metals”). In connection with this sale, we received proceeds of $323 million and recorded a pretax gain on disposition of assets of $163 million in the fourth quarter of 2021. As a result of the sale of PSC Metals, we no longer operate a Metals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 and Repayments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In February 2022, we repaid all of our outstanding $500 million aggregate principal amount of 6.750% senior unsecured notes due 2024 at par.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13, “Segment and Geographic Reporting,” to the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Throughout 2020 and 2021, the COVID-19 pandemic, and actions taken by governments and others in response thereto, has negatively impacted the global economy, financial markets, and certain of the industries in which our subsidiaries operate. Our consolidated results of operations and financial condition have been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as more governments reduce restrictions and more businesses resume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The comparability of our summarized consolidated financial results presented below is affected by, among other factors, (i) the performance of the Investment Funds, (ii) the results of our Energy segment’s operations, impacted by the demand and prices for its products and (iii) the sales of PSC Metals in 2021 and Ferrous Resources in 2019. Refer to our respective segment discussions and “Other Consolidated Results of Operations,” below for further discussion.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1"/>
              </w:rPr>
              <w:t>Net Income (Loss) From</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1"/>
              </w:rPr>
              <w:t>Continuing Operations</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Net Income (Loss) From</w:t>
            </w:r>
          </w:p>
        </w:tc>
        <w:tc>
          <w:tcPr>
            <w:tcW w:w="100" w:type="dxa"/>
            <w:vAlign w:val="bottom"/>
          </w:tcPr>
          <w:p>
            <w:pPr>
              <w:spacing w:after="0"/>
              <w:rPr>
                <w:sz w:val="18"/>
                <w:szCs w:val="18"/>
                <w:color w:val="auto"/>
              </w:rPr>
            </w:pPr>
          </w:p>
        </w:tc>
        <w:tc>
          <w:tcPr>
            <w:tcW w:w="21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3"/>
              </w:rPr>
              <w:t>Attributable to Icahn</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6"/>
              </w:rPr>
              <w:t>Revenues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Continuing Operations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2"/>
              </w:rPr>
              <w:t>Enterprises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8"/>
          </w:tcPr>
          <w:p>
            <w:pPr>
              <w:jc w:val="center"/>
              <w:ind w:right="70"/>
              <w:spacing w:after="0"/>
              <w:rPr>
                <w:sz w:val="20"/>
                <w:szCs w:val="20"/>
                <w:color w:val="auto"/>
              </w:rPr>
            </w:pPr>
            <w:r>
              <w:rPr>
                <w:rFonts w:ascii="Arial" w:cs="Arial" w:eastAsia="Arial" w:hAnsi="Arial"/>
                <w:sz w:val="18"/>
                <w:szCs w:val="18"/>
                <w:b w:val="1"/>
                <w:bCs w:val="1"/>
                <w:color w:val="auto"/>
                <w:w w:val="89"/>
              </w:rPr>
              <w:t>Year Ended December 31,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8"/>
          </w:tcPr>
          <w:p>
            <w:pPr>
              <w:jc w:val="center"/>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(1,447)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r>
      <w:tr>
        <w:trPr>
          <w:trHeight w:val="202"/>
        </w:trPr>
        <w:tc>
          <w:tcPr>
            <w:tcW w:w="1260" w:type="dxa"/>
            <w:vAlign w:val="bottom"/>
            <w:gridSpan w:val="6"/>
          </w:tcPr>
          <w:p>
            <w:pPr>
              <w:ind w:left="20"/>
              <w:spacing w:after="0" w:line="201" w:lineRule="exact"/>
              <w:rPr>
                <w:sz w:val="20"/>
                <w:szCs w:val="20"/>
                <w:color w:val="auto"/>
              </w:rPr>
            </w:pPr>
            <w:r>
              <w:rPr>
                <w:rFonts w:ascii="Arial" w:cs="Arial" w:eastAsia="Arial" w:hAnsi="Arial"/>
                <w:sz w:val="18"/>
                <w:szCs w:val="18"/>
                <w:color w:val="auto"/>
              </w:rPr>
              <w:t>Holding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(476)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260" w:type="dxa"/>
            <w:vAlign w:val="bottom"/>
            <w:gridSpan w:val="6"/>
          </w:tcPr>
          <w:p>
            <w:pPr>
              <w:ind w:left="20"/>
              <w:spacing w:after="0" w:line="176"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Operating</w:t>
            </w:r>
          </w:p>
        </w:tc>
        <w:tc>
          <w:tcPr>
            <w:tcW w:w="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r>
      <w:tr>
        <w:trPr>
          <w:trHeight w:val="432"/>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02"/>
        </w:trPr>
        <w:tc>
          <w:tcPr>
            <w:tcW w:w="1260" w:type="dxa"/>
            <w:vAlign w:val="bottom"/>
            <w:gridSpan w:val="6"/>
            <w:shd w:val="clear" w:color="auto" w:fill="CCEEFF"/>
          </w:tcPr>
          <w:p>
            <w:pPr>
              <w:ind w:left="20"/>
              <w:spacing w:after="0" w:line="201" w:lineRule="exact"/>
              <w:rPr>
                <w:sz w:val="20"/>
                <w:szCs w:val="20"/>
                <w:color w:val="auto"/>
              </w:rPr>
            </w:pPr>
            <w:r>
              <w:rPr>
                <w:rFonts w:ascii="Arial" w:cs="Arial" w:eastAsia="Arial" w:hAnsi="Arial"/>
                <w:sz w:val="18"/>
                <w:szCs w:val="18"/>
                <w:color w:val="auto"/>
              </w:rPr>
              <w:t>Food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r>
      <w:tr>
        <w:trPr>
          <w:trHeight w:val="216"/>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Pharma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r>
      <w:tr>
        <w:trPr>
          <w:trHeight w:val="182"/>
        </w:trPr>
        <w:tc>
          <w:tcPr>
            <w:tcW w:w="1260" w:type="dxa"/>
            <w:vAlign w:val="bottom"/>
            <w:tcBorders>
              <w:top w:val="single" w:sz="8" w:color="CCEEFF"/>
            </w:tcBorders>
            <w:gridSpan w:val="6"/>
            <w:shd w:val="clear" w:color="auto" w:fill="CCEEFF"/>
          </w:tcPr>
          <w:p>
            <w:pPr>
              <w:ind w:left="20"/>
              <w:spacing w:after="0" w:line="182" w:lineRule="exact"/>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10,669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260" w:type="dxa"/>
            <w:vAlign w:val="bottom"/>
            <w:gridSpan w:val="6"/>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11,328</w:t>
            </w:r>
          </w:p>
        </w:tc>
        <w:tc>
          <w:tcPr>
            <w:tcW w:w="8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6,123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8,994</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(500)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 (2,468)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(1,759)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(1,653)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(1,066)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96"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Results of Operations discusses the comparisons between the years ended December 31, 2021 and 2020. Certain discussions of results of operations for the comparisons between the years ended December 31, 2020 and 2019 are not included in this Report. Refer to “Management’s Discussion and Analysis of </w:t>
      </w:r>
      <w:hyperlink r:id="rId46">
        <w:r>
          <w:rPr>
            <w:rFonts w:ascii="Arial" w:cs="Arial" w:eastAsia="Arial" w:hAnsi="Arial"/>
            <w:sz w:val="16"/>
            <w:szCs w:val="16"/>
            <w:color w:val="auto"/>
          </w:rPr>
          <w:t xml:space="preserve">Financial Condition and Results of Operations” in </w:t>
        </w:r>
        <w:r>
          <w:rPr>
            <w:rFonts w:ascii="Arial" w:cs="Arial" w:eastAsia="Arial" w:hAnsi="Arial"/>
            <w:sz w:val="16"/>
            <w:szCs w:val="16"/>
            <w:u w:val="single" w:color="auto"/>
            <w:color w:val="0000EE"/>
          </w:rPr>
          <w:t>Item 7 of our Annual Report on Form 10-K for the fiscal year ended</w:t>
        </w:r>
      </w:hyperlink>
      <w:r>
        <w:rPr>
          <w:rFonts w:ascii="Arial" w:cs="Arial" w:eastAsia="Arial" w:hAnsi="Arial"/>
          <w:sz w:val="16"/>
          <w:szCs w:val="16"/>
          <w:color w:val="auto"/>
        </w:rPr>
        <w:t xml:space="preserve"> </w:t>
      </w:r>
      <w:hyperlink r:id="rId46">
        <w:r>
          <w:rPr>
            <w:rFonts w:ascii="Arial" w:cs="Arial" w:eastAsia="Arial" w:hAnsi="Arial"/>
            <w:sz w:val="16"/>
            <w:szCs w:val="16"/>
            <w:u w:val="single" w:color="auto"/>
            <w:color w:val="0000EE"/>
          </w:rPr>
          <w:t>December 31, 2020, filed on February 26, 2021</w:t>
        </w:r>
        <w:r>
          <w:rPr>
            <w:rFonts w:ascii="Arial" w:cs="Arial" w:eastAsia="Arial" w:hAnsi="Arial"/>
            <w:sz w:val="16"/>
            <w:szCs w:val="16"/>
            <w:color w:val="000000"/>
          </w:rPr>
          <w:t>, which is incorporated by reference herein, for such discussions.</w:t>
        </w:r>
      </w:hyperlink>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We invest our proprietary capital through various private investment funds (the “Investment Funds”). As of December 31, 2021 and 2020, we had investments with a fair market value of approximately $4.2 billion and $4.3 billion, respectively, in the Investment Funds. As of December 31, 2021 and 2020, the total fair market value of investments in the Investment Funds made by Mr. Icahn and his affiliates (excluding us and Brett Icahn), was approximately $5.0 billion and $5.0 billion, respectively.</w:t>
      </w:r>
    </w:p>
    <w:p>
      <w:pPr>
        <w:spacing w:after="0" w:line="18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2021.</w:t>
      </w:r>
    </w:p>
    <w:p>
      <w:pPr>
        <w:spacing w:after="0" w:line="18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For the years ended December 31, 2021, 2020 and 2019, our Investment Funds’ returns were (0.3)%, (14.3)%, and (15.4)%, respectively. Our Investment Funds’ returns represent a weighted-average composite of the average returns, net of expenses. The following table sets forth the performance attribution for the Investment Funds’ returns: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1"/>
              </w:rPr>
              <w:t>(31.9)%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340"/>
              <w:spacing w:after="0"/>
              <w:rPr>
                <w:sz w:val="20"/>
                <w:szCs w:val="20"/>
                <w:color w:val="auto"/>
              </w:rPr>
            </w:pPr>
            <w:r>
              <w:rPr>
                <w:rFonts w:ascii="Arial" w:cs="Arial" w:eastAsia="Arial" w:hAnsi="Arial"/>
                <w:sz w:val="18"/>
                <w:szCs w:val="18"/>
                <w:color w:val="auto"/>
                <w:w w:val="92"/>
              </w:rPr>
              <w:t>The following table presents net income (loss) for our Investment segment:</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2"/>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(2,906)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For 2021, the Investment Funds’ negative performance was driven by net losses in short positions, offset in part by net gains in long positions. The negative performance of our Investment segment’s short positions was driven primarily by the negative performance of broad market hedges of $1.2 billion, an energy sector investment of $752 million and a consumer, cyclical sector investment of $506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$204 million. The positive performance of our Investment segment’s long positions was driven primarily by gains from two energy sector investments aggregating approximately $1.7 billion, a consumer, non-cyclical sector investment of $420 million and a utilities sector investment of $220 million. The aggregate performance of investments with net gains across various sectors accounted for an additional positive performance of our Investment segment’s long positions.</w:t>
      </w:r>
    </w:p>
    <w:p>
      <w:pPr>
        <w:spacing w:after="0" w:line="182"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For 2020, the Investment Funds’ negative performance was driven by net losses in their short positions and, to a lesser extent, net losses in their long positions. The negative performance of our Investment segment’s short positions was driven primarily by the negative performance of broad market hedges of approximately $1.6 billion, losses from two consumer, non-cyclical sector investments aggregating $362 million, losses from a consumer, cyclical sector investment of $118 million and the aggregate performance of various other short positions with net losses aggregating $357 million across various sectors. The negative performance of our Investment segment’s short positions was partially offset by net gains from its short exposure to commercial mortgage-backed securities through credit default swap contracts of $902 million. The negative performance of our Investment Segment’s long positions was driven by losses from a consumer, non-cyclical sector investment of $637 million, and two technology sector investments aggregating $402 million, offset in part by gains from two consumer, cyclical sector investments aggregating $497 million, two consumer, non-cyclical sector investments aggregating $271 million and a technology sector investment of $162 million. Net losses in long positions were further offset in part by the aggregate performance of investments with net gains across various other sectors.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sale of petroleum products accounted for approximately 93%, 91% and 94% of our Energy segment’s net sales for the years ended December 31, 2021, 2020 and 2019,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COVID-19 pandemic has also resulted in significant business and operational disruptions, including business closures, liquidity strains, destruction of non-essential demand, as well as supply chain challenges, travel restrictions, stay-at home orders, and limitations on the availability of the workforce. As a result, the demand for gasoline and diesel in the regions that our Energy segment operates declined beginning in the first quarter of 2020. The declines were amplified in the first quarter of 2020 by market plays between the world’s largest oil producers. The simultaneous shocks in oil supply and demand have resulted in a decline in the price of crude oil and lead to a significant decrease in the price of refined products sold by our Energy segment. However, beginning in late 2020 and into 2021, the U.S. market for refined products has improved and demand has increased as travel restrictions and stay-at-home orders have been eased.</w:t>
      </w:r>
    </w:p>
    <w:p>
      <w:pPr>
        <w:spacing w:after="0" w:line="166"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In addition to recent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consolidated financial statements for further discussion of RINs.</w:t>
      </w:r>
    </w:p>
    <w:p>
      <w:pPr>
        <w:spacing w:after="0" w:line="172"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170 to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 mitigates our costs to comply with the RFS, if at all.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Energy segment’s net sales, cost of goods sold and gross margin:</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r>
      <w:tr>
        <w:trPr>
          <w:trHeight w:val="209"/>
        </w:trPr>
        <w:tc>
          <w:tcPr>
            <w:tcW w:w="5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128"/>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Net sales for our Energy segment increased by approximately $3.3 billion (84%) for the year ended December 31, 2021 as compared to the comparable prior year period due to an increase in our petroleum business’ net sales, which increased approximately $3.1 billion, as well as an increase in our nitrogen fertilizer business’ net sales, which increased $183 million over the comparable periods. The increase in the petroleum business’ net sales was primarily due to an increase in sales of gasoline and distillates attributable to an increase in volumes and more favorable pricing conditions. Volumes were lower in the comparable prior year period due to the full planned turnaround at one of the refineries while another refinery experienced reduced utilization in response to demand reductions driven by the impacts of the COVID-19 pandemic. Our nitrogen fertilizer business’ net sales increased primarily due to an increase in urea ammonium nitrate (“UAN”) sales primarily due to favorable pricing conditions.</w:t>
      </w:r>
    </w:p>
    <w:p>
      <w:pPr>
        <w:spacing w:after="0" w:line="181"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Cost of goods sold for our Energy segment increased by approximately $2.9 billion (70%) for the year ended December 31, 2021 as compared to the comparable prior year period. The increase was primarily due to our petroleum business as a result of higher cost of consumed crude oil. The higher cost of consumed crude oil was due to an increase in volumes, as discussed above, as well as a $245 million increase in the net cost of RINs and lower derivative performance of $99 million. Gross margin for our Energy segment improved by $407 million for the year ended December 31, 2021 as compared to the comparable prior year period. Gross margin as a percentage of net sales was 2% and (6)% for the year ended December 31, 2021 and 2020, respectively. The improvement in the gross margin as a percentage of net sales was primarily attributable to the petroleum business, which was primarily due to higher crack spreads, offset in part by an increase in the net cost of RINs and lower derivative performance.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the demand for automotive service and maintenance, and is affected by the relative strength of automotive part replacement trends, among other factors.</w:t>
      </w:r>
    </w:p>
    <w:p>
      <w:pPr>
        <w:spacing w:after="0" w:line="184"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Our Automotive segment has been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in 2021 Icahn Automotive entered into an agreement to sell certain inventory assets relating to its aftermarket parts business at 109 locations and a distribution center in California and certain other inventory and fixed assets in California. Aftermarket parts sales from these locations aggregated $78 million during the year ended December 31, 2021. Costs to implement the transformation plan include restructuring charges, which are recorded when specific plans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6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r>
      <w:tr>
        <w:trPr>
          <w:trHeight w:val="128"/>
        </w:trPr>
        <w:tc>
          <w:tcPr>
            <w:tcW w:w="6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and other expenses from operations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Net sales and other revenues from operations for our Automotive segment for the year ended December 31, 2021 decreased by $94 million (4%) as compared to the comparable prior year period. The decrease was attributable to a decrease in aftermarket parts sales of $243 million (19%), offset in part by an increase in automotive services revenue of $149 million (12%). Store closures related to the transformation plan accounted for a $249 million decrease in aftermarket parts sales, which was offset in part by a $6 million increase in aftermarket parts sales on an organic basis. The increase in automotive services revenues represents an increase on a primarily organic basis as sales have improved over the comparable prior year period. The COVID-19 pandemic, and the impacts of the actions taken by governments and others, have significantly contributed to a decline in revenues in 2020, which have recovered significantly in 2021.</w:t>
      </w:r>
    </w:p>
    <w:p>
      <w:pPr>
        <w:spacing w:after="0" w:line="16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Cost of goods sold and other expenses from operations for the year ended December 31, 2021 increased by $8 million as compared to the comparable prior year period. The increase was primarily due to a $56 million inventory obsolescence write-down and higher costs associated with higher services revenues, offset in part by lower costs attributable to lower aftermarket parts sales. Gross margin on net sales and other revenue from operations for the year ended December 31, 2021 decreased by $102 million (15%) as compared to the comparable prior year period. Gross margin as a percentage of net sales and other revenue from operations was 24% and 28% for the years ended December 31, 2021 and 2020, respectively. Gross margins were negatively impacted by the write down to inventory, as described above, and the continuation of store closures however, this was offset in part by an increase in services revenues, which had a positive impact on gross margins.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jc w:val="both"/>
        <w:ind w:left="60" w:right="239" w:firstLine="324"/>
        <w:spacing w:after="0" w:line="301" w:lineRule="auto"/>
        <w:rPr>
          <w:sz w:val="20"/>
          <w:szCs w:val="20"/>
          <w:color w:val="auto"/>
        </w:rPr>
      </w:pPr>
      <w:r>
        <w:rPr>
          <w:rFonts w:ascii="Arial" w:cs="Arial" w:eastAsia="Arial" w:hAnsi="Arial"/>
          <w:sz w:val="16"/>
          <w:szCs w:val="16"/>
          <w:color w:val="auto"/>
        </w:rPr>
        <w:t>Net sales for the year ended December 31, 2021 increased $7 million (2%) as compared to the comparable prior year period. The increase was due to an increase in price and product mix as well as the favorable effects of foreign exchange, offset in part by lower volumes. Cost of goods sold for the year ended December 31, 2021 increased by $16 million (5%) as compared to the comparable prior year period due to the effects raw material price inflation,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manufacturing variances and distribution costs. Gross margin as a percentage of net sales was 18% and 20% for the year ended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years ended December 31, 2021 and 2020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Net sales for the year ended December 31, 2021 increased by $9 million (5%) compared to the comparable prior year period primarily due to the reduced impact of the COVID-19 pandemic on our Home Fashion segment’s hospitality and department store businesses, offset in part by a decline resulting from lower demand for facemasks. Cost of goods sold for the year ended December 31, 2021 increased $9 million (6%) compared to the comparable prior year period due to higher material and freight costs. Gross margin as a percentage of net sales was 19% and 20% for the year ended December 31, 2021 and 2020, respectively. The decrease is due to higher material and freight costs and a decline in the sale of certain higher margin products.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p>
      <w:pPr>
        <w:spacing w:after="0" w:line="230"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 As discussed above, we sold PSC Metals on December 7, 2021, which impacts the comparability of the results of operations discussed below.</w:t>
      </w:r>
    </w:p>
    <w:p>
      <w:pPr>
        <w:spacing w:after="0" w:line="188"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Net sales for the year ended December 31, 2021 increased by $211 million (67%) compared to the comparable prior year period primarily due to higher volumes and higher selling prices. Cost of goods sold for the year ended December 31, 2021 increased by $183 million (61%) compared to the comparable prior year period due to higher volumes as well as higher material costs. Gross margin as a percentage of net sales was 8% and 5% for the year ended December 31, 2021 and 2020, respectively, with the improvement primarily due to higher material margins as the prior year period was negatively impacted by the effects of the COVID-19 pandemic.</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investment gains and losses from equity investments and the interest expense on its senior unsecured notes for each of the years ended December 31, 2021 and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As discussed in Note 1, "Description of Business," to the consolidated financial statements, we sold PSC Metals, resulting in a pretax gain on disposition of assets of $163 million for the year ended December 31, 2021. In addition, we sold Ferrous Resources, resulting in a pretax gain on disposition of assets of $252 million for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Our consolidated selling, general and administrative during the year ended December 31, 2021 increased by $50 million (4%) as compared to the comparable prior year period primarily due to the addition of the results of our Pharma segment for a full year, our Energy segment, primarily due to higher share-based compensation as well as higher compensation costs for our Investment segment, offset in part by lower costs resulting from our Automotive segment, due to store closures and our Real Estate segment, which incurred additional costs in the second quarter of 2020 relating to the demolition of one of its properties.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Refer to Note 5, “Fair Value Measurements,” and Note 9, “Goodwill and Intangible Assets, Net,” to the consolidated financial statements for a discussion of impairments of assets, which were not significant.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consolidated interest expense during the year ended December 31, 2021 decreased by $22 million (3%) as compared to the comparable prior year period. The decrease was primarily due to lower interest expense for our Holding Company and Energy segment due to lower weighted average interest rates resulting from their respective debt refinancings. This was offset in part by an increase in interest expense for our Investment segment relating to its derivatives and margin balances.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consolidated financial statements for a discussion of income taxes.</w:t>
      </w:r>
    </w:p>
    <w:p>
      <w:pPr>
        <w:spacing w:after="0" w:line="171"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 xml:space="preserve">In addition, 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we analyze all positive and negative evidence and maintain a valuation allowance on deferred tax assets that are not considered more likely than not to be realized.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As of December 31, 2021, our Holding Company had cash and cash equivalents of $1.7 billion and total debt of approximately $5.8 billion. As of December 31, 2021, our Holding Company had investments in the Investment Funds with a total fair market value of approximately $4.2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6"/>
        </w:trPr>
        <w:tc>
          <w:tcPr>
            <w:tcW w:w="6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6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January 2021,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 Interest on the New 2029 Notes is payable semi-annually.</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2021,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pacing w:after="0" w:line="168"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As of December 31, 2021 and 2020, we were in compliance with all covenants, including maintaining certain minimum financial ratios, as defined in the indentures. Additionally, as of December 31, 2021,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In February 2022, we repaid all of our outstanding $500 million aggregate principal amount of 6.750% senior unsecured notes due 2024 at par.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Debt Service Obligations</w:t>
      </w:r>
    </w:p>
    <w:p>
      <w:pPr>
        <w:spacing w:after="0" w:line="225"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Interest payments on our Holding Company’s senior unsecured notes, including the effects of the debt repayment in January 2022, as described above, will be approximately $308 million for 2022, $290 million for each of 2023 and 2024, $237 million for 2025 and an aggregate of $276 million for 2026 through 2029.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May 2019, Icahn Enterprises entered into a new Open Market Sale Agreement, pursuant to which Icahn Enterprises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able to sell its depositary units, from time to time, for up to $400 million in aggregate sale proceeds, under its ongoing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“at-the-market” offering. This agreement has been subsequently terminated and superseded by subsequent agreements with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substantially the same terms. During the year ended December 31, 2021, Icahn Enterprises sold 15,170,519 depositary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units pursuant to these agreements, resulting in gross proceeds of $833 million. As of December 31, 2021, we continue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have an active Open Market Sale Agreement and Icahn Enterprises may sell its depositary units for up to an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$328 million in aggregate gross sale proceeds pursuant to this agreement entered into on December 3, 2021. No assurance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can be made that any or all amounts will be sold during the term of this agreement, and we have no obligation to sell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additional depositary units under this Open Market Sale Agreement. Depending on market conditions, we may continue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sell depositary units under the Open Market Sale Agreement, and, if appropriate, enter into a new Open Market Sale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 to continue our “at-the-market” sales program once we have sold the full amount of our existing Open Market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Sale Agreement. Our ability to access remaining capital under our “at-the-market” program may be limited by market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conditions at the time of any future potential sale. While we were able to sell shares during the year ended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2021, there can be no assurance that any future capital will be available on acceptable terms or at all under this program.</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During the year ended December 31, 2021, we declared four quarterly distributions aggregating $8.00 per depositary unit. In connection with these distributions, aggregate cash distributions to all depositary unitholders were $132 million.</w:t>
      </w:r>
    </w:p>
    <w:p>
      <w:pPr>
        <w:spacing w:after="0" w:line="124"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On February 23, 2022, the Board of Directors of the general partner of Icahn Enterprises declared a quarterly distribution in the amount of $2.00 per depositary unit, which will be paid on or about April 27, 2022 to depositary unitholders of record at the close of business on March 18, 2022. Depositary unitholders will have until April 14,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22, 2022. Icahn Enterprises will make a cash payment in lieu of issuing fractional depositary units to any unitholders electing to receive (or who are deemed to have elected to receive) depositary units.</w:t>
      </w:r>
    </w:p>
    <w:p>
      <w:pPr>
        <w:spacing w:after="0" w:line="181"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PSC Metals</w:t>
      </w:r>
    </w:p>
    <w:p>
      <w:pPr>
        <w:spacing w:after="0" w:line="225"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On December 7, 2021, we closed on the previously announced sale of 100% of the equity interests in PSC Metals, LLC (“PSC Metals”). In connection with this sale, we received proceeds of $323 million.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Investments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2021, we received proceeds of $405 million from the sale of equity investments held by the Holding Company.</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On October 27, 2021, IEP Utility, a wholly owned subsidiary of Icahn Enterprises Holdings, commenced the SWX Tender Offer. We estimate that the maximum amount of funds required to complete the SWX Tender Offer would be up to approximately $4.2 billion. IEP Utility and Icahn Enterprises Holdings intend to obtain such funds from cash, cash equivalents, and from their ability to make redemptions from their investment in the Investment Funds.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539" w:firstLine="324"/>
        <w:spacing w:after="0" w:line="296"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December 31, 2021, the Investment Funds’ had a net short notional exposure of 31%. The Investment Funds’ long exposure was 112% (111% long equity and 1% long credit) and its short exposure was 143% (121% short equity and 22% short credit). The notional exposure represents the ratio of the notional exposure of the Investment Funds’ invested capital to the net asset value of the Investment Funds at December 31, 2021.</w:t>
      </w:r>
    </w:p>
    <w:p>
      <w:pPr>
        <w:spacing w:after="0" w:line="161"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Of the Investment Funds’ 112% long exposure, 95% was comprised of the fair value of its long positions (with certain adjustments) and 17% was comprised of single name equity forward contracts and credit contracts. Of the Investment Funds’ 143% short exposure, 57% was comprised of the fair value of its short positions and 86% was comprised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(95% long exposure) and our short positions that are not notionalized (57%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(86%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28"/>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left="412"/>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Pharma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340"/>
              <w:spacing w:after="0"/>
              <w:rPr>
                <w:sz w:val="20"/>
                <w:szCs w:val="20"/>
                <w:color w:val="auto"/>
              </w:rPr>
            </w:pPr>
            <w:r>
              <w:rPr>
                <w:rFonts w:ascii="Arial" w:cs="Arial" w:eastAsia="Arial" w:hAnsi="Arial"/>
                <w:sz w:val="18"/>
                <w:szCs w:val="18"/>
                <w:color w:val="auto"/>
              </w:rPr>
              <w:t>Segment debt consists of the following: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left="412"/>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In June 2021, CVR Partners issued $550 million in aggregate principal amount of 6.125% senior secured notes due 2028. Proceeds from these notes were used to fund a partial redemption of its existing 9.25% senior secured notes due</w:t>
      </w:r>
    </w:p>
    <w:p>
      <w:pPr>
        <w:ind w:left="60" w:right="59"/>
        <w:spacing w:after="0" w:line="268" w:lineRule="auto"/>
        <w:rPr>
          <w:sz w:val="20"/>
          <w:szCs w:val="20"/>
          <w:color w:val="auto"/>
        </w:rPr>
      </w:pPr>
      <w:r>
        <w:rPr>
          <w:rFonts w:ascii="Arial" w:cs="Arial" w:eastAsia="Arial" w:hAnsi="Arial"/>
          <w:sz w:val="17"/>
          <w:szCs w:val="17"/>
          <w:color w:val="auto"/>
        </w:rPr>
        <w:t>2023. Subsequent to this, an additional $30 million of CVR Partners’ existing 9.25% senior secured notes due 2023 were redeemed in 2021 and the remaining $65 million outstanding was redeemed in February 2022. 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17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In August 2021, all of our Automotive segment’s outstanding credit facility was repaid in full in the amount of $350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all of our subsidiaries were in compliance with all debt covenants.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Our segments have additional borrowing availability under certain revolving credit facilities as summarized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Energy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Food Packaging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Home Fashion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ind w:left="421"/>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543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241"/>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635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61" w:hanging="861"/>
        <w:spacing w:after="0"/>
        <w:tabs>
          <w:tab w:leader="none" w:pos="861" w:val="left"/>
        </w:tabs>
        <w:numPr>
          <w:ilvl w:val="0"/>
          <w:numId w:val="16"/>
        </w:numPr>
        <w:rPr>
          <w:rFonts w:ascii="Arial" w:cs="Arial" w:eastAsia="Arial" w:hAnsi="Arial"/>
          <w:sz w:val="15"/>
          <w:szCs w:val="15"/>
          <w:color w:val="auto"/>
        </w:rPr>
      </w:pPr>
      <w:r>
        <w:rPr>
          <w:rFonts w:ascii="Arial" w:cs="Arial" w:eastAsia="Arial" w:hAnsi="Arial"/>
          <w:sz w:val="15"/>
          <w:szCs w:val="15"/>
          <w:color w:val="auto"/>
        </w:rPr>
        <w:t>396</w:t>
      </w:r>
    </w:p>
    <w:p>
      <w:pPr>
        <w:spacing w:after="0" w:line="41" w:lineRule="exact"/>
        <w:rPr>
          <w:rFonts w:ascii="Arial" w:cs="Arial" w:eastAsia="Arial" w:hAnsi="Arial"/>
          <w:sz w:val="15"/>
          <w:szCs w:val="15"/>
          <w:color w:val="auto"/>
        </w:rPr>
      </w:pPr>
    </w:p>
    <w:p>
      <w:pPr>
        <w:ind w:left="941"/>
        <w:spacing w:after="0"/>
        <w:rPr>
          <w:rFonts w:ascii="Arial" w:cs="Arial" w:eastAsia="Arial" w:hAnsi="Arial"/>
          <w:sz w:val="15"/>
          <w:szCs w:val="15"/>
          <w:color w:val="auto"/>
        </w:rPr>
      </w:pPr>
      <w:r>
        <w:rPr>
          <w:rFonts w:ascii="Arial" w:cs="Arial" w:eastAsia="Arial" w:hAnsi="Arial"/>
          <w:sz w:val="16"/>
          <w:szCs w:val="16"/>
          <w:color w:val="auto"/>
        </w:rPr>
        <w:t>19</w:t>
      </w:r>
    </w:p>
    <w:p>
      <w:pPr>
        <w:spacing w:after="0" w:line="32" w:lineRule="exact"/>
        <w:rPr>
          <w:rFonts w:ascii="Arial" w:cs="Arial" w:eastAsia="Arial" w:hAnsi="Arial"/>
          <w:sz w:val="15"/>
          <w:szCs w:val="15"/>
          <w:color w:val="auto"/>
        </w:rPr>
      </w:pPr>
    </w:p>
    <w:p>
      <w:pPr>
        <w:ind w:left="1041"/>
        <w:spacing w:after="0"/>
        <w:rPr>
          <w:rFonts w:ascii="Arial" w:cs="Arial" w:eastAsia="Arial" w:hAnsi="Arial"/>
          <w:sz w:val="15"/>
          <w:szCs w:val="15"/>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-93980</wp:posOffset>
            </wp:positionV>
            <wp:extent cx="564896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47" w:lineRule="exact"/>
        <w:rPr>
          <w:sz w:val="20"/>
          <w:szCs w:val="20"/>
          <w:color w:val="auto"/>
        </w:rPr>
      </w:pPr>
    </w:p>
    <w:p>
      <w:pPr>
        <w:ind w:left="861" w:hanging="861"/>
        <w:spacing w:after="0"/>
        <w:tabs>
          <w:tab w:leader="none" w:pos="861" w:val="left"/>
        </w:tabs>
        <w:numPr>
          <w:ilvl w:val="0"/>
          <w:numId w:val="17"/>
        </w:numPr>
        <w:rPr>
          <w:rFonts w:ascii="Arial" w:cs="Arial" w:eastAsia="Arial" w:hAnsi="Arial"/>
          <w:sz w:val="15"/>
          <w:szCs w:val="15"/>
          <w:color w:val="auto"/>
        </w:rPr>
      </w:pPr>
      <w:r>
        <w:rPr>
          <w:rFonts w:ascii="Arial" w:cs="Arial" w:eastAsia="Arial" w:hAnsi="Arial"/>
          <w:sz w:val="15"/>
          <w:szCs w:val="15"/>
          <w:color w:val="auto"/>
        </w:rPr>
        <w:t>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543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53340</wp:posOffset>
            </wp:positionV>
            <wp:extent cx="754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39" w:space="720"/>
            <w:col w:w="1260"/>
          </w:cols>
          <w:pgMar w:left="1440" w:top="517" w:right="1440" w:bottom="1440" w:gutter="0" w:footer="0" w:header="0"/>
          <w:type w:val="continuous"/>
        </w:sectPr>
      </w:pPr>
    </w:p>
    <w:p>
      <w:pPr>
        <w:spacing w:after="0" w:line="9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 loans and other transactions. See Note 11, “Debt,” to the consolidated financial statements for further discussion regarding our segment debt, including information relating to maturities, interest rates and borrowing availabilities.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Debt Service Obligations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Future debt service obligations for our other operating segments are primarily within our Energy segment.</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After giving effect to certain debt activity in February 2022, as discussed above, our Energy segment’s future debt maturities (excluding financing leases) are $600 million for 2025 and $950 million for 2028. Future interest payments for our Energy segment are expected to be approximately $88 million to $89 million for each of 2022, 2023 and 2024. Interest payments are expected to be $62 million for 2025, $57 million for 2026 and an aggregate of $77 million for 2027 through 2028.</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In the second quarter of 2021, our Energy segment paid a special dividend, which was comprised of $241 million in cash as well as the common stock of an equity investment with a fair value of $251 million. Our portion of the dividend included $171 million in cash and the common stock of an equity investment with a fair value of $177 million. In addition, in the third and fourth quarters of 2021, our Energy segment had aggregate distributions to non-controlling interests of $31 million as a result of distributions paid by CVR Partners to its common unit holders.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Repurchases, if any, including the timing, price and amount, may be made at the discretion of CVR Energy management and CVR Energy is not obligated to make any repurchases. CVR Energy did not repurchase any shares of its common stock as of December 31, 2021.</w:t>
      </w:r>
    </w:p>
    <w:p>
      <w:pPr>
        <w:spacing w:after="0" w:line="190"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2021, CVR Partners repurchased common units on the open market at a cost of $1 million. As of December 31, 2021, CVR Partners has $12 million remaining under its unit repurchase program.</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Future purchase obligations for our other operating segments are primarily within our Energy and Pharma segments, as discussed in Note 17, “Commitments and Contingencies,” to the consolidated financial statements.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78"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ind w:left="40"/>
              <w:spacing w:after="0"/>
              <w:rPr>
                <w:sz w:val="20"/>
                <w:szCs w:val="20"/>
                <w:color w:val="auto"/>
              </w:rPr>
            </w:pPr>
            <w:r>
              <w:rPr>
                <w:rFonts w:ascii="Arial" w:cs="Arial" w:eastAsia="Arial" w:hAnsi="Arial"/>
                <w:sz w:val="14"/>
                <w:szCs w:val="14"/>
                <w:b w:val="1"/>
                <w:bCs w:val="1"/>
                <w:color w:val="auto"/>
              </w:rPr>
              <w:t>Year Ended December 31, 2021</w:t>
            </w:r>
          </w:p>
        </w:tc>
        <w:tc>
          <w:tcPr>
            <w:tcW w:w="140" w:type="dxa"/>
            <w:vAlign w:val="bottom"/>
          </w:tcPr>
          <w:p>
            <w:pPr>
              <w:spacing w:after="0"/>
              <w:rPr>
                <w:sz w:val="14"/>
                <w:szCs w:val="14"/>
                <w:color w:val="auto"/>
              </w:rPr>
            </w:pPr>
          </w:p>
        </w:tc>
        <w:tc>
          <w:tcPr>
            <w:tcW w:w="23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2"/>
              </w:rPr>
              <w:t>Year Ended December 31, 2020</w:t>
            </w:r>
          </w:p>
        </w:tc>
        <w:tc>
          <w:tcPr>
            <w:tcW w:w="120" w:type="dxa"/>
            <w:vAlign w:val="bottom"/>
          </w:tcPr>
          <w:p>
            <w:pPr>
              <w:spacing w:after="0"/>
              <w:rPr>
                <w:sz w:val="14"/>
                <w:szCs w:val="14"/>
                <w:color w:val="auto"/>
              </w:rPr>
            </w:pPr>
          </w:p>
        </w:tc>
        <w:tc>
          <w:tcPr>
            <w:tcW w:w="23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 2019</w:t>
            </w: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7"/>
          </w:tcPr>
          <w:p>
            <w:pPr>
              <w:jc w:val="right"/>
              <w:ind w:right="30"/>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7"/>
          </w:tcPr>
          <w:p>
            <w:pPr>
              <w:jc w:val="center"/>
              <w:ind w:right="30"/>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7"/>
          </w:tcPr>
          <w:p>
            <w:pPr>
              <w:jc w:val="center"/>
              <w:ind w:right="30"/>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1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Operating</w:t>
            </w: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Investing</w:t>
            </w: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Financing</w:t>
            </w:r>
          </w:p>
        </w:tc>
        <w:tc>
          <w:tcPr>
            <w:tcW w:w="14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Operating</w:t>
            </w: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Investing</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Operating</w:t>
            </w: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Investing</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Activities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Activities</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Activities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Activities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Activities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Activities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Activities</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Activities</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Activities</w:t>
            </w: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(in millions)</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16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spacing w:after="0"/>
              <w:rPr>
                <w:sz w:val="18"/>
                <w:szCs w:val="18"/>
                <w:color w:val="auto"/>
              </w:rPr>
            </w:pPr>
          </w:p>
        </w:tc>
      </w:tr>
      <w:tr>
        <w:trPr>
          <w:trHeight w:val="216"/>
        </w:trPr>
        <w:tc>
          <w:tcPr>
            <w:tcW w:w="1620" w:type="dxa"/>
            <w:vAlign w:val="bottom"/>
            <w:gridSpan w:val="5"/>
          </w:tcPr>
          <w:p>
            <w:pPr>
              <w:ind w:left="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(1,873)</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16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Other Operating</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Segments: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r>
      <w:tr>
        <w:trPr>
          <w:trHeight w:val="216"/>
        </w:trPr>
        <w:tc>
          <w:tcPr>
            <w:tcW w:w="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Home Fashion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Pharma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Mining</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gridSpan w:val="4"/>
            <w:shd w:val="clear" w:color="auto" w:fill="CCEEFF"/>
          </w:tcPr>
          <w:p>
            <w:pPr>
              <w:ind w:left="100"/>
              <w:spacing w:after="0" w:line="182" w:lineRule="exact"/>
              <w:rPr>
                <w:sz w:val="20"/>
                <w:szCs w:val="20"/>
                <w:color w:val="auto"/>
              </w:rPr>
            </w:pPr>
            <w:r>
              <w:rPr>
                <w:rFonts w:ascii="Arial" w:cs="Arial" w:eastAsia="Arial" w:hAnsi="Arial"/>
                <w:sz w:val="18"/>
                <w:szCs w:val="18"/>
                <w:color w:val="auto"/>
              </w:rPr>
              <w:t>Other operating</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segments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(200)</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r>
      <w:tr>
        <w:trPr>
          <w:trHeight w:val="182"/>
        </w:trPr>
        <w:tc>
          <w:tcPr>
            <w:tcW w:w="162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Total before</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(1,341)</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(1,460)</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20"/>
                <w:szCs w:val="20"/>
                <w:color w:val="auto"/>
              </w:rPr>
            </w:pPr>
          </w:p>
        </w:tc>
      </w:tr>
      <w:tr>
        <w:trPr>
          <w:trHeight w:val="209"/>
        </w:trPr>
        <w:tc>
          <w:tcPr>
            <w:tcW w:w="16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1620" w:type="dxa"/>
            <w:vAlign w:val="bottom"/>
            <w:gridSpan w:val="5"/>
          </w:tcPr>
          <w:p>
            <w:pPr>
              <w:ind w:left="20"/>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57" w:lineRule="auto"/>
        <w:rPr>
          <w:rFonts w:ascii="Arial" w:cs="Arial" w:eastAsia="Arial" w:hAnsi="Arial"/>
          <w:sz w:val="18"/>
          <w:szCs w:val="18"/>
          <w:color w:val="0000EE"/>
        </w:rPr>
      </w:pPr>
      <w:r>
        <w:rPr>
          <w:rFonts w:ascii="Arial" w:cs="Arial" w:eastAsia="Arial" w:hAnsi="Arial"/>
          <w:sz w:val="18"/>
          <w:szCs w:val="18"/>
          <w:color w:val="auto"/>
        </w:rPr>
        <w:t xml:space="preserve">The discussion of consolidated cash flows below primarily discusses the comparisons between the years ended December 31, 2021 and 2020. Refer to “Management’s Discussion and Analysis of Financial Condition and Results of </w:t>
      </w:r>
      <w:hyperlink r:id="rId46">
        <w:r>
          <w:rPr>
            <w:rFonts w:ascii="Arial" w:cs="Arial" w:eastAsia="Arial" w:hAnsi="Arial"/>
            <w:sz w:val="18"/>
            <w:szCs w:val="18"/>
            <w:color w:val="auto"/>
          </w:rPr>
          <w:t xml:space="preserve">Operations” in </w:t>
        </w:r>
        <w:r>
          <w:rPr>
            <w:rFonts w:ascii="Arial" w:cs="Arial" w:eastAsia="Arial" w:hAnsi="Arial"/>
            <w:sz w:val="18"/>
            <w:szCs w:val="18"/>
            <w:u w:val="single" w:color="auto"/>
            <w:color w:val="0000EE"/>
          </w:rPr>
          <w:t>Item 7 of our Annual Report on Form 10-K for the fiscal year ended December 31, 2020, filed on February</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26, 2021</w:t>
        </w:r>
        <w:r>
          <w:rPr>
            <w:rFonts w:ascii="Arial" w:cs="Arial" w:eastAsia="Arial" w:hAnsi="Arial"/>
            <w:sz w:val="18"/>
            <w:szCs w:val="18"/>
            <w:color w:val="000000"/>
          </w:rPr>
          <w:t>, which is incorporated by reference herein, for additional discussion of consolidated cash flows for the</w:t>
        </w:r>
      </w:hyperlink>
      <w:r>
        <w:rPr>
          <w:rFonts w:ascii="Arial" w:cs="Arial" w:eastAsia="Arial" w:hAnsi="Arial"/>
          <w:sz w:val="18"/>
          <w:szCs w:val="18"/>
          <w:color w:val="0000EE"/>
        </w:rPr>
        <w:t xml:space="preserve"> </w:t>
      </w:r>
      <w:r>
        <w:rPr>
          <w:rFonts w:ascii="Arial" w:cs="Arial" w:eastAsia="Arial" w:hAnsi="Arial"/>
          <w:sz w:val="18"/>
          <w:szCs w:val="18"/>
          <w:color w:val="000000"/>
        </w:rPr>
        <w:t>comparisons between the years ended December 31, 2020 and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Eliminations in the table above relate to certain of our Holding Company’s transactions with our Investment and other operating segments. Our Holding Company’s net (investments in) distributions from the Investments Funds, when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Holding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Cash payments for interest on senior unsecured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Net cash receipts for income taxes, net of payments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other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Proceeds from sale of businesses and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CVR Refining common units to CVR Energy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Net investments in the Investment Funds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(investments in) distributions from other operating segments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Other investing activities, net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 transactions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55"/>
        </w:trPr>
        <w:tc>
          <w:tcPr>
            <w:tcW w:w="55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9"/>
              </w:rPr>
              <w:t>(Decrease) increase in cash and cash equivalents and restricted cash and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(2,216)</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equivalents</w:t>
            </w: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decrease in interest payments during 2021 compared to 2020 is due to lower interest rates on certain of our senior unsecured notes due to certain debt refinancings in the first and second quarters of 2021.</w:t>
      </w:r>
    </w:p>
    <w:p>
      <w:pPr>
        <w:spacing w:after="0" w:line="170"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Proceeds from the sale of businesses and assets includes proceeds from the sales PSC Metals in 2021 and Ferrous Resources in 2019.</w:t>
      </w:r>
    </w:p>
    <w:p>
      <w:pPr>
        <w:spacing w:after="0" w:line="17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Net (investments in) distributions from the Investment Funds and Net distributions from (investments in) other operating segments are eliminated in consolidation and discussed further below.</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Partnership contributions represent sales in connection with our “at-the-market” offerings pursuant to our Open Market Sale Agreements entered into beginning May 2019, as discussed above.</w:t>
      </w:r>
    </w:p>
    <w:p>
      <w:pPr>
        <w:spacing w:after="0" w:line="170"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Partnership distributions represent cash paid to depositary unitholders in connection with our regularly quarterly distributions. Mr. Icahn and his affiliates have historically elected to receive their distributions in additional units; however, for the first quarter of 2020, they elected to receive their distribution in cash. For distributions declared for all other quarters in 2021, 2020 and 2019, Mr. Icahn and his affiliates elected to receive their distributions in additional depositary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Our Investment segment’s cash flows from financing activities for the comparable periods were due to contributions from, and distributions to, our Holding Company, Mr. Icahn and his affiliates and Brett Icahn. Our Investment segment had net cash provided by financing activities of $74 million for the year ended December 31, 2021, as a result of contributions from Brett Icahn in accordance with his manager agreement. For the year ended December 31, 2020, our Investment segment had net cash provided by financing activities of $763 million, including an investment from us of $750 million, net of redemptions, a contribution of $12 million from Brett Icahn in accordance with his manager agreement and $1 million from Mr. Icahn and his affiliates (excluding us).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i w:val="1"/>
                <w:iCs w:val="1"/>
                <w:color w:val="auto"/>
              </w:rPr>
              <w:t>Other Operating Segments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w w:val="94"/>
              </w:rPr>
              <w:t>Net cash flow from operating activities before changes in operating assets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Turnaround expenditures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debt and supply chain financing activity</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Distributions to non-controlling interests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Payments to acquire additional interests in consolidated subsidiaries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contributions from (distributions to) Holding Company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55"/>
        </w:trPr>
        <w:tc>
          <w:tcPr>
            <w:tcW w:w="59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5"/>
              </w:rPr>
              <w:t>Effect of exchange rate changes on cash and cash equivalents and restricted cash</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restricted cash equivalents</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5920" w:type="dxa"/>
            <w:vAlign w:val="bottom"/>
          </w:tcPr>
          <w:p>
            <w:pPr>
              <w:spacing w:after="0" w:line="182" w:lineRule="exact"/>
              <w:rPr>
                <w:sz w:val="20"/>
                <w:szCs w:val="20"/>
                <w:color w:val="auto"/>
              </w:rPr>
            </w:pPr>
            <w:r>
              <w:rPr>
                <w:rFonts w:ascii="Arial" w:cs="Arial" w:eastAsia="Arial" w:hAnsi="Arial"/>
                <w:sz w:val="18"/>
                <w:szCs w:val="18"/>
                <w:color w:val="auto"/>
                <w:w w:val="99"/>
              </w:rPr>
              <w:t>(Decrease) increase in cash and cash equivalents and restricted cash and</w:t>
            </w:r>
          </w:p>
        </w:tc>
        <w:tc>
          <w:tcPr>
            <w:tcW w:w="2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5"/>
                <w:szCs w:val="15"/>
                <w:color w:val="auto"/>
              </w:rPr>
            </w:pPr>
          </w:p>
        </w:tc>
        <w:tc>
          <w:tcPr>
            <w:tcW w:w="160" w:type="dxa"/>
            <w:vAlign w:val="bottom"/>
            <w:gridSpan w:val="2"/>
            <w:vMerge w:val="restart"/>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5920" w:type="dxa"/>
            <w:vAlign w:val="bottom"/>
          </w:tcPr>
          <w:p>
            <w:pPr>
              <w:ind w:left="120"/>
              <w:spacing w:after="0"/>
              <w:rPr>
                <w:sz w:val="20"/>
                <w:szCs w:val="20"/>
                <w:color w:val="auto"/>
              </w:rPr>
            </w:pPr>
            <w:r>
              <w:rPr>
                <w:rFonts w:ascii="Arial" w:cs="Arial" w:eastAsia="Arial" w:hAnsi="Arial"/>
                <w:sz w:val="18"/>
                <w:szCs w:val="18"/>
                <w:color w:val="auto"/>
              </w:rPr>
              <w:t>restricted cash equivalents</w:t>
            </w:r>
          </w:p>
        </w:tc>
        <w:tc>
          <w:tcPr>
            <w:tcW w:w="2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other operating segments’ net cash flow from operating activities before changes in operating assets and liabilities were primarily attributable to our Automotive segment’s negative results in 2021 and 2020 and our Energy segment’s positive results from operations for 2021.</w:t>
      </w:r>
    </w:p>
    <w:p>
      <w:pPr>
        <w:spacing w:after="0" w:line="184"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Changes in operating assets and liabilities for 2021 were primarily attributable to our Energy segment resulting primarily from an increase in crude oil prices during 2021 and increase in its open RFS position. Changes in operating assets and liabilities for 2020 were primarily attributable to our Automotive segment resulting from inventory reductions.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Capital expenditures are primarily from our Energy and Automotive segments and are primarily for maintenance. Refer to Note 13, “Segment and Geographic Reporting,” for capital expenditures reported for each of our segments. Turnaround expenditures relates to our Energy segment, which were higher in 2020 due to planned maintenance at one of its refineries.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Purchases of investments primarily relates to our Energy segment’s purchase of an equity investment in 2020.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investments relates to our Automotive segment’s cash received from 767 Leasing in 2021 and 2020.</w:t>
      </w:r>
    </w:p>
    <w:p>
      <w:pPr>
        <w:spacing w:after="0" w:line="23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Proceeds from sale of assets are primarily due to our Automotive segment in 2021 and our Automotive and Real Estate segments in 2020. Our Automotive segment continues to sell stores and other assets in connection with its transformation plan.</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Distributions to non-controlling interests were from our Energy segment relating to its regular quarterly dividends and distributions, excluding payments made to us, as well as a special dividend made in 2021. Due to the recent economic conditions, our Energy segment only paid dividends in 2020 relating to the fourth quarter of 2019 and a reduced dividend relating to the first quarter of 2020.</w:t>
      </w:r>
    </w:p>
    <w:p>
      <w:pPr>
        <w:spacing w:after="0" w:line="187"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Net contributions from and distributions to our Holding Company include the dividends and distributions paid by our Energy segment of $171 million in 2021 compared to $85 million in 2020, as well as by our Automotive segment of $36 million in 2021 compared to $75 million in 2020. During 2021, Automotive segment received funds in the form of investments and loans from our Holding Company of $425 million compared to $115 million for 2020, primarily for the refinancing of its debt and costs associated with our Automotive segment’s multi-year transformation plan. During 2020, our Food Packaging segment received funds in the amount of $100 million in connection with Viskase’s equity private placement in October 2020. Our other operating segments received funds in the form of loans and investments from our Holding Company aggregating $3 million in 2021 compared to $23 million in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Spending</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Refer to Note 13, “Segment and Geographic Reporting,” for a reconciliation of our segments’ capital expenditures to consolidated capital expenditures for each of the years ended December 31, 2021, 2020 and 2019. In addition, our Energy segment had turnaround expenditures of $5 million, $159 million and $38 million during the years ended December 31, 2021, 2020 and 2019, respectively, which is reported separately from capital expenditures in our consolidated statements of cash flows.</w:t>
      </w:r>
    </w:p>
    <w:p>
      <w:pPr>
        <w:spacing w:after="0" w:line="188"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For 2022, we estimate our consolidated capital expenditures to be approximately $212 million to $241 million for our Energy segment, for both maintenance and growth, including $70 million to $80 million for our Energy segments’ renewable diesel unit capital expenditures, $140 million for our Automotive segment and approximately $89 million in the aggregate for all other segments. Our Energy segment also expects its turnaround expenditures to be approximately $28 million to $33 million in 2022.</w:t>
      </w:r>
    </w:p>
    <w:p>
      <w:pPr>
        <w:spacing w:after="0" w:line="188"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In addition, our Energy segment approved a renewable diesel project at one of its refineries, which would convert the refinery’s hydrocracker to a renewable diesel unit (“RDU”) capable of producing 100 million gallons of renewable diesel per year. The total estimated costs for the project are currently $160 million and completion of the project is expected in in the second quarter to 2022. In May 2021, our Energy segment approved $10 million to complete the process design and ordering of certain long-lead equipment relating to a potential project to add pretreating capabilities for the RDU at one of its refineries and to complete process design to potentially convert an existing hydrotreater at another refinery to renewable diesel service. In November 2021, our Energy segment approved a pretreater project at one of its refineries, which is expected to be completed in the fourth quarter of 2022 at an estimated cost of $60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99" w:firstLine="324"/>
        <w:spacing w:after="0" w:line="308"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United States (“U.S. GAAP”). The preparation of financial statements in conformity with U.S. GAAP</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181"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We believe the following accounting estimates are critical to our business operations and the understanding of results of operations and affect the more significant judgments and estimates used in the preparation of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18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184"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7"/>
          <w:szCs w:val="17"/>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Management periodically evaluates all evidence, both positive and negative, in determining whether a valuation allowance to reduce the carrying value of deferred tax assets is still needed. For each of December 31, 2021 and 2020,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195"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See Note 14, “Income Taxes,” to the consolidated financial statements for further discussion regarding our income taxes.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Long-lived assets held and used by our various operating segments and long-lived assets to be disposed of are reviewed for impairment whenever events or changes in circumstances indicate a possible significant deterioration in 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As of December 31, 2021, our long-lived assets did not have any impairment indicators.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2021, our consolidated goodwill was $290 million, primarily within our Automotive segment’s Service reporting unit. We perform the annual goodwill impairment test for our Automotive segment as of October 1 of each year. Based on our annual goodwill impairment analysis for our Automotive segment, we determined that the fair value of our Automotive segment’s Service reporting unit was significantly in excess of its carrying value and therefore, no impairment is required. As of December 31, 2021, our Automotive segment had remaining goodwill of $250 million, which is allocated entirely to its Service reporting unit.</w:t>
      </w:r>
    </w:p>
    <w:p>
      <w:pPr>
        <w:spacing w:after="0" w:line="18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17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See Note 5, “Fair Value Measurements,” and Note 9, “Goodwill and Intangible Assets, Net,” to the consolidated financial statements for further discussion regarding the fair value measurements of our long-live assets as well as goodwill and intangible assets.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to the consolidated financial statements for a discussion of recent accounting pronouncements applicable to us.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Our predominant exposure to equity price risk is related to our Investment segment and the sensitivities to movements in the fair value of the Investment Funds’ investments.</w:t>
      </w:r>
    </w:p>
    <w:p>
      <w:pPr>
        <w:spacing w:after="0" w:line="17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2021, we estimate that in the event of a 10% adverse change in the fair value of these investments, the fair values of securities owned, securities sold, not yet purchased and derivatives, based on the price impact on notional value, would decrease by approximately $895 million, $534 million and $1.2 billion, respectively. However, as of December 31, 2021, we estimate that the impact to our share of the net gain (loss) from investment activities reported in our consolidated statements of operations would be less than the change in fair value since we have an investment of approximately 45% in the Investment Funds, and the non-controlling interests in income would correspondingly offset approximately 55% of the change in fair value. As of December 31, 2020, we estimated that in the event of a 10% adverse change in the fair value of these investments, the fair values of securities owned, securities sold, not yet purchased and derivatives, based on the price impact on notional value, would decrease by approximately $824 million, $252 million and $1.3 billion, respectively and as of December 31, 2020, our investment in the Investment Funds was 46%.</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CVR Refining,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Refining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predominant exposure to interest rate risk is related to our operating subsidiaries.</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Our operating subsidiaries have variable rate debt with a principal amount outstanding aggregating $195 million as of December 31, 2021, primarily at our Food Packaging segment. A 1.0% increase in interest rates would increase interest expense by approximately $2 million on an annualized basis, thus decreasing net income by the same amount. Additionally, as of December 31, 2021, our operating segments have additional borrowing availability subject to variable interest rates aggregating $423 million, which if outstanding, would increase our operating segments’ exposure to changes in interest rates.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translation gains (losses) in accumulated other comprehensive loss of $(5) million and $3 million for the years ended December 31, 2021 and 2020, respectively, and recorded translation (losses) gains in earnings of $(14) million and $(5) million for the years ended December 31,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and the Investment Funds are subject to certain inherent risks through our investments.</w:t>
      </w:r>
    </w:p>
    <w:p>
      <w:pPr>
        <w:spacing w:after="0" w:line="225"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188"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Compliance Program Price Risk</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As a producer of transportation fuels from petroleum, our Energy segment’s petroleum business is required to blend biofuels into the product it produces or to purchase RINs in the open market in lieu of blending to meet the mandates established by the EPA. CVR Refining is exposed to market risk related to volatility in the price of RINs needed to comply with the Renewable Fuel Standards. To mitigate the impact of this risk on our Energy segment’s results of operations and cash flows, CVR Refining purchased RINs when prices are deemed favorable. See Note 17, “Commitments and Contingencies,” to the consolidated financial statements for further discussion about compliance with the Renewable Fuel Standards.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L.P.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audited the accompanying consolidated balance sheets of Icahn Enterprises L.P. (a Delaware limited partnership) and subsidiaries (the “Partnership”) as of December 31, 2021 and 2020, the related consolidated statements of operations, comprehensive income (loss), changes in equity, and cash flows for each of the three years in the period ended December 31, 2021, and the related notes and financial statement schedule included under Item 15(a)(2) (collectively referred to as the “financial statements”). In our opinion, the financial statements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3"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Partnership’s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25, 2022 expressed an unqualified opinion.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Partnership’s auditor since 2004.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tcPr>
          <w:p>
            <w:pPr>
              <w:ind w:left="290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5"/>
              </w:rPr>
              <w:t>(in millions, except</w:t>
            </w:r>
          </w:p>
        </w:tc>
        <w:tc>
          <w:tcPr>
            <w:tcW w:w="1080" w:type="dxa"/>
            <w:vAlign w:val="bottom"/>
            <w:gridSpan w:val="2"/>
          </w:tcPr>
          <w:p>
            <w:pPr>
              <w:jc w:val="right"/>
              <w:ind w:right="110"/>
              <w:spacing w:after="0" w:line="129" w:lineRule="exact"/>
              <w:rPr>
                <w:sz w:val="20"/>
                <w:szCs w:val="20"/>
                <w:color w:val="auto"/>
              </w:rPr>
            </w:pPr>
            <w:r>
              <w:rPr>
                <w:rFonts w:ascii="Arial" w:cs="Arial" w:eastAsia="Arial" w:hAnsi="Arial"/>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2,321</w:t>
            </w:r>
          </w:p>
        </w:tc>
        <w:tc>
          <w:tcPr>
            <w:tcW w:w="2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293,403,243 units issued and outstanding at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2021 and 241,338,835 units issued and outstanding at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rPr>
              <w:t>ICAHN ENTERPRISES L.P. AND SUBSIDIARIES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40" w:type="dxa"/>
            <w:vAlign w:val="bottom"/>
            <w:gridSpan w:val="4"/>
          </w:tcPr>
          <w:p>
            <w:pPr>
              <w:jc w:val="right"/>
              <w:ind w:right="131"/>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260"/>
              <w:spacing w:after="0" w:line="129" w:lineRule="exact"/>
              <w:rPr>
                <w:sz w:val="20"/>
                <w:szCs w:val="20"/>
                <w:color w:val="auto"/>
              </w:rPr>
            </w:pPr>
            <w:r>
              <w:rPr>
                <w:rFonts w:ascii="Arial" w:cs="Arial" w:eastAsia="Arial" w:hAnsi="Arial"/>
                <w:sz w:val="14"/>
                <w:szCs w:val="14"/>
                <w:color w:val="auto"/>
                <w:w w:val="91"/>
              </w:rPr>
              <w:t>(in millions,</w:t>
            </w: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5"/>
              </w:rPr>
              <w:t>except per unit</w:t>
            </w:r>
          </w:p>
        </w:tc>
        <w:tc>
          <w:tcPr>
            <w:tcW w:w="200" w:type="dxa"/>
            <w:vAlign w:val="bottom"/>
          </w:tcPr>
          <w:p>
            <w:pPr>
              <w:spacing w:after="0"/>
              <w:rPr>
                <w:sz w:val="11"/>
                <w:szCs w:val="11"/>
                <w:color w:val="auto"/>
              </w:rPr>
            </w:pPr>
          </w:p>
        </w:tc>
        <w:tc>
          <w:tcPr>
            <w:tcW w:w="860" w:type="dxa"/>
            <w:vAlign w:val="bottom"/>
            <w:gridSpan w:val="2"/>
          </w:tcPr>
          <w:p>
            <w:pPr>
              <w:jc w:val="right"/>
              <w:ind w:right="370"/>
              <w:spacing w:after="0" w:line="129" w:lineRule="exact"/>
              <w:rPr>
                <w:sz w:val="20"/>
                <w:szCs w:val="20"/>
                <w:color w:val="auto"/>
              </w:rPr>
            </w:pPr>
            <w:r>
              <w:rPr>
                <w:rFonts w:ascii="Arial" w:cs="Arial" w:eastAsia="Arial" w:hAnsi="Arial"/>
                <w:sz w:val="13"/>
                <w:szCs w:val="13"/>
                <w:color w:val="auto"/>
                <w:w w:val="70"/>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Net sales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6,815</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revenues from operations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Net gain (loss) from investment activities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dividend income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Gain (loss) on disposition of assets, net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(loss) income, net</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Cost of goods sold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expenses from operations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Icahn Enterprises</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Icahn Enterprises from:</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(518)</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(1,653)</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 attributable to Icahn Enterprises allocated to:</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Limited partners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(1,620)</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partner</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 and diluted loss per LP unit: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Discontinued operations</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loss per LP unit</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 average LP units outstanding</w:t>
            </w: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Distributions declared per LP unit</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60" w:type="dxa"/>
            <w:vAlign w:val="bottom"/>
            <w:gridSpan w:val="4"/>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8040" w:type="dxa"/>
            <w:vAlign w:val="bottom"/>
            <w:gridSpan w:val="7"/>
          </w:tcPr>
          <w:p>
            <w:pPr>
              <w:ind w:left="142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5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r>
      <w:tr>
        <w:trPr>
          <w:trHeight w:val="128"/>
        </w:trPr>
        <w:tc>
          <w:tcPr>
            <w:tcW w:w="5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3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Comprehensive income (loss) attributable to non-controlling interests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4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Icahn Enterprises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w w:val="97"/>
              </w:rPr>
              <w:t>Comprehensive (loss) income attributable to Icahn Enterprises allocated to:</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20" w:type="dxa"/>
            <w:vAlign w:val="bottom"/>
            <w:gridSpan w:val="10"/>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11"/>
          </w:tcPr>
          <w:p>
            <w:pPr>
              <w:ind w:left="2060"/>
              <w:spacing w:after="0"/>
              <w:rPr>
                <w:sz w:val="20"/>
                <w:szCs w:val="20"/>
                <w:color w:val="auto"/>
              </w:rPr>
            </w:pPr>
            <w:r>
              <w:rPr>
                <w:rFonts w:ascii="Arial" w:cs="Arial" w:eastAsia="Arial" w:hAnsi="Arial"/>
                <w:sz w:val="18"/>
                <w:szCs w:val="18"/>
                <w:b w:val="1"/>
                <w:bCs w:val="1"/>
                <w:color w:val="auto"/>
              </w:rPr>
              <w:t>CONSOLIDATED STATEMENT OF CHANGES IN EQUITY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0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3"/>
              </w:rPr>
              <w:t>Limited</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Partner’s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Partners’</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Partners’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(Deficit) Equity</w:t>
            </w:r>
          </w:p>
        </w:tc>
        <w:tc>
          <w:tcPr>
            <w:tcW w:w="12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Interests</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11"/>
              <w:spacing w:after="0" w:line="129" w:lineRule="exact"/>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Dividends and distributions to non-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controlling interests in subsidiaries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Dividends and distributions to non-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controlling interests in subsidiaries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Dividends and distributions to non-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controlling interests in subsidiaries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r>
      <w:tr>
        <w:trPr>
          <w:trHeight w:val="18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89"/>
              </w:rPr>
              <w:t>2019</w:t>
            </w:r>
          </w:p>
        </w:tc>
      </w:tr>
      <w:tr>
        <w:trPr>
          <w:trHeight w:val="18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(500)</w:t>
            </w:r>
          </w:p>
        </w:tc>
        <w:tc>
          <w:tcPr>
            <w:tcW w:w="3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(2,468)</w:t>
            </w:r>
          </w:p>
        </w:tc>
        <w:tc>
          <w:tcPr>
            <w:tcW w:w="420" w:type="dxa"/>
            <w:vAlign w:val="bottom"/>
            <w:gridSpan w:val="2"/>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(1,791)</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Loss from discontinued operations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Net (gain) loss from securities transactions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(570)</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Purchases of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(2,158)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(1,945)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(4,948)</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Proceeds from sales of securities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4,172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4,040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3,648</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Payments to cover securities sold, not yet 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(2,775)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(2,336)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(938)</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Proceeds from securities sold, not yet purchased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4,025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2,913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1,523</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Changes in receivables and payables relating to securities transactions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(2,035)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(1,880)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(220)</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Changes in derivative assets and liabilities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1,181</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(Gain) loss on disposition of assets, net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(141)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(253)</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519</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Deferred taxes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(168)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(89)</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Inventory write-down</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18</w:t>
            </w:r>
          </w:p>
        </w:tc>
      </w:tr>
      <w:tr>
        <w:trPr>
          <w:trHeight w:val="162"/>
        </w:trPr>
        <w:tc>
          <w:tcPr>
            <w:tcW w:w="58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Changes in other operating assets and liabilities: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5880" w:type="dxa"/>
            <w:vAlign w:val="bottom"/>
          </w:tcPr>
          <w:p>
            <w:pPr>
              <w:ind w:left="220"/>
              <w:spacing w:after="0" w:line="162" w:lineRule="exact"/>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(110)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(33)</w:t>
            </w:r>
          </w:p>
        </w:tc>
      </w:tr>
      <w:tr>
        <w:trPr>
          <w:trHeight w:val="162"/>
        </w:trPr>
        <w:tc>
          <w:tcPr>
            <w:tcW w:w="58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Inventories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r>
      <w:tr>
        <w:trPr>
          <w:trHeight w:val="162"/>
        </w:trPr>
        <w:tc>
          <w:tcPr>
            <w:tcW w:w="5880" w:type="dxa"/>
            <w:vAlign w:val="bottom"/>
          </w:tcPr>
          <w:p>
            <w:pPr>
              <w:ind w:left="220"/>
              <w:spacing w:after="0" w:line="162" w:lineRule="exact"/>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356</w:t>
            </w:r>
          </w:p>
        </w:tc>
      </w:tr>
      <w:tr>
        <w:trPr>
          <w:trHeight w:val="162"/>
        </w:trPr>
        <w:tc>
          <w:tcPr>
            <w:tcW w:w="58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145</w:t>
            </w:r>
          </w:p>
        </w:tc>
      </w:tr>
      <w:tr>
        <w:trPr>
          <w:trHeight w:val="162"/>
        </w:trPr>
        <w:tc>
          <w:tcPr>
            <w:tcW w:w="5880" w:type="dxa"/>
            <w:vAlign w:val="bottom"/>
            <w:tcBorders>
              <w:bottom w:val="single" w:sz="8" w:color="CCEEFF"/>
            </w:tcBorders>
          </w:tcPr>
          <w:p>
            <w:pPr>
              <w:ind w:left="220"/>
              <w:spacing w:after="0" w:line="162" w:lineRule="exact"/>
              <w:rPr>
                <w:sz w:val="20"/>
                <w:szCs w:val="20"/>
                <w:color w:val="auto"/>
              </w:rPr>
            </w:pPr>
            <w:r>
              <w:rPr>
                <w:rFonts w:ascii="Arial" w:cs="Arial" w:eastAsia="Arial" w:hAnsi="Arial"/>
                <w:sz w:val="15"/>
                <w:szCs w:val="15"/>
                <w:color w:val="auto"/>
              </w:rPr>
              <w:t>Accrued expenses and other liabilities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w:t>
            </w:r>
          </w:p>
        </w:tc>
      </w:tr>
      <w:tr>
        <w:trPr>
          <w:trHeight w:val="155"/>
        </w:trPr>
        <w:tc>
          <w:tcPr>
            <w:tcW w:w="58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Net cash provided by (used in) operating activities</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321</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(1,460)</w:t>
            </w:r>
          </w:p>
        </w:tc>
      </w:tr>
      <w:tr>
        <w:trPr>
          <w:trHeight w:val="155"/>
        </w:trPr>
        <w:tc>
          <w:tcPr>
            <w:tcW w:w="58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Capital expenditures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Turnaround expenditures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(159)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Acquisition of businesses, net of cash acquired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Purchases of investments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(337)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sale of investments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458</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Proceeds from disposition of businesses and assets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505</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net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56"/>
        </w:trPr>
        <w:tc>
          <w:tcPr>
            <w:tcW w:w="58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b w:val="1"/>
                <w:bCs w:val="1"/>
                <w:color w:val="auto"/>
              </w:rPr>
              <w:t>Net cash provided by (used in) investing activities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528</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(581)</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586</w:t>
            </w:r>
          </w:p>
        </w:tc>
      </w:tr>
      <w:tr>
        <w:trPr>
          <w:trHeight w:val="155"/>
        </w:trPr>
        <w:tc>
          <w:tcPr>
            <w:tcW w:w="58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Investment segment contributions from non-controlling interests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220</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Partnership contributions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Partnership distributions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(526)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additional interests in consolidated subsidiaries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(241)</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Dividends and distributions to non-controlling interests in subsidiaries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(119)</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Holding Company senior unsecured notes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2,507</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Repayments of Holding Company senior unsecured notes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(1,205)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(1,350)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(1,700)</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subsidiary borrowings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1,946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810</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Repayments of subsidiary borrowings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(1,545)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(1,644)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(847)</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net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r>
      <w:tr>
        <w:trPr>
          <w:trHeight w:val="156"/>
        </w:trPr>
        <w:tc>
          <w:tcPr>
            <w:tcW w:w="58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b w:val="1"/>
                <w:bCs w:val="1"/>
                <w:color w:val="auto"/>
              </w:rPr>
              <w:t>Net cash provided by (used in) financing activities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(653)</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566</w:t>
            </w:r>
          </w:p>
        </w:tc>
      </w:tr>
      <w:tr>
        <w:trPr>
          <w:trHeight w:val="129"/>
        </w:trPr>
        <w:tc>
          <w:tcPr>
            <w:tcW w:w="58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7"/>
              </w:rPr>
              <w:t>Effect of exchange rate changes on cash and cash equivalents and restricted cash and restricted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75"/>
        </w:trPr>
        <w:tc>
          <w:tcPr>
            <w:tcW w:w="5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equivalents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62"/>
        </w:trPr>
        <w:tc>
          <w:tcPr>
            <w:tcW w:w="5880" w:type="dxa"/>
            <w:vAlign w:val="bottom"/>
          </w:tcPr>
          <w:p>
            <w:pPr>
              <w:spacing w:after="0" w:line="162" w:lineRule="exact"/>
              <w:rPr>
                <w:sz w:val="20"/>
                <w:szCs w:val="20"/>
                <w:color w:val="auto"/>
              </w:rPr>
            </w:pPr>
            <w:r>
              <w:rPr>
                <w:rFonts w:ascii="Arial" w:cs="Arial" w:eastAsia="Arial" w:hAnsi="Arial"/>
                <w:sz w:val="15"/>
                <w:szCs w:val="15"/>
                <w:color w:val="auto"/>
              </w:rPr>
              <w:t>Add back change in cash and restricted cash of assets held for sale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(83)</w:t>
            </w:r>
          </w:p>
        </w:tc>
      </w:tr>
      <w:tr>
        <w:trPr>
          <w:trHeight w:val="145"/>
        </w:trPr>
        <w:tc>
          <w:tcPr>
            <w:tcW w:w="588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3"/>
              </w:rPr>
              <w:t>Net increase (decrease) in cash and cash equivalents and restricted cash and restricted</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9"/>
        </w:trPr>
        <w:tc>
          <w:tcPr>
            <w:tcW w:w="58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cash equivalents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5"/>
                <w:szCs w:val="15"/>
                <w:color w:val="auto"/>
                <w:w w:val="95"/>
              </w:rPr>
              <w:t>Cash and cash equivalents and restricted cash and restricted cash equivalents, beginning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5"/>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period</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4,945</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5,338</w:t>
            </w:r>
          </w:p>
        </w:tc>
      </w:tr>
      <w:tr>
        <w:trPr>
          <w:trHeight w:val="155"/>
        </w:trPr>
        <w:tc>
          <w:tcPr>
            <w:tcW w:w="58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w w:val="94"/>
              </w:rPr>
              <w:t>Cash and cash equivalents and restricted cash and restricted cash equivalents, end of period</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4,436</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3,291</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4,945</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References to “we,” “our” or “us” herein include Icahn Enterprises and its subsidiaries, unless the context otherwise requires.</w:t>
      </w:r>
    </w:p>
    <w:p>
      <w:pPr>
        <w:spacing w:after="0" w:line="184"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2021, representing an aggregate 1.99% general partner interest in Icahn Enterprises Holdings and us. Mr. Icahn and his affiliates owned approximately 88% of our outstanding depositary units as of December 31,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 xml:space="preserve">We are a diversified holding company owning subsidiaries currently engaged in the following continuing operating businesses: </w:t>
      </w:r>
      <w:r>
        <w:rPr>
          <w:rFonts w:ascii="Arial" w:cs="Arial" w:eastAsia="Arial" w:hAnsi="Arial"/>
          <w:sz w:val="18"/>
          <w:szCs w:val="18"/>
          <w:color w:val="231F20"/>
        </w:rPr>
        <w:t>Investment, Energy, Automotive, Food Packaging, Real Estate, Home Fashion and Pharma. In addition, we</w:t>
      </w:r>
      <w:r>
        <w:rPr>
          <w:rFonts w:ascii="Arial" w:cs="Arial" w:eastAsia="Arial" w:hAnsi="Arial"/>
          <w:sz w:val="18"/>
          <w:szCs w:val="18"/>
          <w:color w:val="auto"/>
        </w:rPr>
        <w:t xml:space="preserve"> </w:t>
      </w:r>
      <w:r>
        <w:rPr>
          <w:rFonts w:ascii="Arial" w:cs="Arial" w:eastAsia="Arial" w:hAnsi="Arial"/>
          <w:sz w:val="18"/>
          <w:szCs w:val="18"/>
          <w:color w:val="231F20"/>
        </w:rPr>
        <w:t xml:space="preserve">operated our Metals segment until sold in December 2021. </w:t>
      </w:r>
      <w:r>
        <w:rPr>
          <w:rFonts w:ascii="Arial" w:cs="Arial" w:eastAsia="Arial" w:hAnsi="Arial"/>
          <w:sz w:val="18"/>
          <w:szCs w:val="18"/>
          <w:color w:val="000000"/>
        </w:rPr>
        <w:t>We also report the results of our Holding Company, which</w:t>
      </w:r>
      <w:r>
        <w:rPr>
          <w:rFonts w:ascii="Arial" w:cs="Arial" w:eastAsia="Arial" w:hAnsi="Arial"/>
          <w:sz w:val="18"/>
          <w:szCs w:val="18"/>
          <w:color w:val="231F20"/>
        </w:rPr>
        <w:t xml:space="preserve"> </w:t>
      </w:r>
      <w:r>
        <w:rPr>
          <w:rFonts w:ascii="Arial" w:cs="Arial" w:eastAsia="Arial" w:hAnsi="Arial"/>
          <w:sz w:val="18"/>
          <w:szCs w:val="18"/>
          <w:color w:val="000000"/>
        </w:rPr>
        <w:t>includes the results of certain subsidiaries of Icahn Enterprises (unless otherwise noted), and investment activity and expenses associated with our Holding Company. Our historical results also report the results of our Mining segment, until sold on August 1, 2019. See Note 13, “Segment and Geographic Reporting,” for a reconciliation of each of our reporting segment’s results of operations to our consolidated results. Certain additional information with respect to our segments are discussed below.</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market value of approximately $4.2 billion and $4.3 billion as of December 31, 2021 and 2020,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36% of the outstanding common units of CVR Partners as of December 31, 2021. As of December 31, 2021, we owned approximately 71% of the total outstanding common stock of CVR Energy.</w:t>
      </w:r>
    </w:p>
    <w:p>
      <w:pPr>
        <w:spacing w:after="0" w:line="165"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On January 29, 2019, CVR Energy, pursuant to the exercise of its right to purchase all of the issued and outstanding common units in CVR Refining, purchased the remaining common units of CVR Refining not already owned by CVR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Energy, including the purchase of CVR Refining common units owned directly by us. Prior to this, CVR Energy owned approximately 81% of the common units of CVR Refining and we directly owned approximately 4%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We conduct our Automotive segment through our wholly-owned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October 2020, Viskase completed an equity private placement whereby we acquired an additional 50,000,000 shares of Viskase common stock for $100 million. In connection with this transaction, our ownership of Viskase increased from approximately 79% to 89%.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We conduct our Pharma segment through our wholly owned subsidiary, Vivus LLC (“Vivus”). We acquired all of the outstanding commons stock of Vivus in December 2020 upon its emergence from bankruptcy. Vivus is a specialty pharmaceutical company with two approved therapies and one product candidate in active clinical development.</w:t>
      </w:r>
    </w:p>
    <w:p>
      <w:pPr>
        <w:spacing w:after="0" w:line="149"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Prior to Vivus’ emergence from bankruptcy, we held an investment in Vivus’ convertible corporate debt securities with a fair value of $183 million. In addition to the fair value of the convertible corporate debt securities, our total consideration transferred included an exit financing facility of $81 million and a contingent liability of $3 million. The $81 million exit financing facility replaced an existing $63 million term loan previously held by 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jc w:val="both"/>
        <w:ind w:left="60" w:right="219" w:firstLine="324"/>
        <w:spacing w:after="0" w:line="301" w:lineRule="auto"/>
        <w:rPr>
          <w:sz w:val="20"/>
          <w:szCs w:val="20"/>
          <w:color w:val="auto"/>
        </w:rPr>
      </w:pPr>
      <w:r>
        <w:rPr>
          <w:rFonts w:ascii="Arial" w:cs="Arial" w:eastAsia="Arial" w:hAnsi="Arial"/>
          <w:sz w:val="16"/>
          <w:szCs w:val="16"/>
          <w:color w:val="auto"/>
        </w:rPr>
        <w:t>We conducted our Metals segment through our indirect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157"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On December 7, 2021, we closed on the previously announced sale of 100% of the equity interests in PSC Metals. In connection with this sale, we received proceeds of $323 million and recorded a pretax gain on disposition of assets of $163 million in the fourth quarter of 2021. As a result of the sale of PSC Metals, we no longer operate a Metals segment.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Mining</w:t>
      </w:r>
    </w:p>
    <w:p>
      <w:pPr>
        <w:spacing w:after="0" w:line="225"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Prior to the sale of Ferrous Resources, as discussed below, we owned approximately 77% of its total outstanding common stock.</w:t>
      </w:r>
    </w:p>
    <w:p>
      <w:pPr>
        <w:spacing w:after="0" w:line="157"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August 1, 2019, we closed on the previously announced sale of Ferrous Resources. Our proportionate share of the cash proceeds from the sale, net of adjustments, was $463 million. As a result of the sale of Ferrous Resources, our Mining segment recorded a pretax gain on disposition of assets of $252 million in 2019. Subsequent to the sale, we no longer operate an active Mining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The audited consolidated financial statements have been prepared in accordance with accounting principles generally accepted in the United States (“U.S. GAAP”).</w:t>
      </w:r>
    </w:p>
    <w:p>
      <w:pPr>
        <w:spacing w:after="0" w:line="170"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Our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9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Discontinued Operations and Held For Sale</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192"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The carrying values of cash and cash equivalents, cash held at consolidated affiliated partnerships and restricted cash, accounts receivable, due from brokers, accounts payable, accrued expenses and other liabilities and due to brokers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4" w:lineRule="exact"/>
        <w:rPr>
          <w:sz w:val="20"/>
          <w:szCs w:val="20"/>
          <w:color w:val="auto"/>
        </w:rPr>
      </w:pPr>
    </w:p>
    <w:p>
      <w:pPr>
        <w:ind w:left="60" w:right="399" w:firstLine="324"/>
        <w:spacing w:after="0" w:line="301" w:lineRule="auto"/>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2021 was approximately $7.7 billion and $7.8 billion, respectively. The carrying value and estimated fair value of our debt as of December 31, 2020 was approximately $8.1 billion and $8.2 billion,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Acquisitions of Businesses</w:t>
      </w:r>
    </w:p>
    <w:p>
      <w:pPr>
        <w:spacing w:after="0" w:line="225"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176"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Investments and Disposition of Entities under Common Control</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consider short-term investments, which are highly liquid with original maturities of three months or less at date of purchase, to be cash equivalents.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Our cash held at consolidated affiliated partnerships balance was $102 million and $686 million as of December 31, 2021 and 2020,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171"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restricted cash balance was $2,013 million and $926 million as of December 31, 2021 and 2020, respectively. Restricted cash includes, but is not limited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on a trade date basis. 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161"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Investments held by our Investment segment are carried at fair value. Our Investment segment applies the fair value option to those investments that are otherwise subject to the equity method of accounting.</w:t>
      </w:r>
    </w:p>
    <w:p>
      <w:pPr>
        <w:spacing w:after="0" w:line="170"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i w:val="1"/>
          <w:iCs w:val="1"/>
          <w:color w:val="auto"/>
        </w:rPr>
        <w:t xml:space="preserve">Valuation of Investments. </w:t>
      </w:r>
      <w:r>
        <w:rPr>
          <w:rFonts w:ascii="Arial" w:cs="Arial" w:eastAsia="Arial" w:hAnsi="Arial"/>
          <w:sz w:val="17"/>
          <w:szCs w:val="17"/>
          <w:color w:val="auto"/>
        </w:rPr>
        <w:t>Securities of the Investment Funds that are listed on a securities exchange are valued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176"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The books and records of the Investment Funds are maintained in U.S. dollars.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and liabilities 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spacing w:after="0" w:line="17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under applicable U.S. GAAP approximate the carrying amounts presented in the consolidated balance sheets.</w:t>
      </w:r>
    </w:p>
    <w:p>
      <w:pPr>
        <w:spacing w:after="0" w:line="184"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i w:val="1"/>
          <w:iCs w:val="1"/>
          <w:color w:val="auto"/>
        </w:rPr>
        <w:t xml:space="preserve">Securities Sold, Not Yet Purchased. </w:t>
      </w:r>
      <w:r>
        <w:rPr>
          <w:rFonts w:ascii="Arial" w:cs="Arial" w:eastAsia="Arial" w:hAnsi="Arial"/>
          <w:sz w:val="16"/>
          <w:szCs w:val="16"/>
          <w:color w:val="auto"/>
        </w:rPr>
        <w:t>The Investment Funds may sell an investment they do not own in anticipation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the fair value of that investment. When the Investment Funds sell an investment short, they must borrow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18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i w:val="1"/>
          <w:iCs w:val="1"/>
          <w:color w:val="auto"/>
        </w:rPr>
        <w:t xml:space="preserve">Due From Brokers. </w:t>
      </w:r>
      <w:r>
        <w:rPr>
          <w:rFonts w:ascii="Arial" w:cs="Arial" w:eastAsia="Arial" w:hAnsi="Arial"/>
          <w:sz w:val="18"/>
          <w:szCs w:val="18"/>
          <w:color w:val="auto"/>
        </w:rPr>
        <w:t>Due from brokers represents cash balances with the Investment Funds’ clearing brokers.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187"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securities.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Segments and Holding Company</w:t>
      </w:r>
    </w:p>
    <w:p>
      <w:pPr>
        <w:spacing w:after="0" w:line="225" w:lineRule="exact"/>
        <w:rPr>
          <w:sz w:val="20"/>
          <w:szCs w:val="20"/>
          <w:color w:val="auto"/>
        </w:rPr>
      </w:pPr>
    </w:p>
    <w:p>
      <w:pPr>
        <w:ind w:left="60" w:right="519" w:firstLine="324"/>
        <w:spacing w:after="0" w:line="259" w:lineRule="auto"/>
        <w:rPr>
          <w:sz w:val="20"/>
          <w:szCs w:val="20"/>
          <w:color w:val="auto"/>
        </w:rPr>
      </w:pPr>
      <w:r>
        <w:rPr>
          <w:rFonts w:ascii="Arial" w:cs="Arial" w:eastAsia="Arial" w:hAnsi="Arial"/>
          <w:sz w:val="18"/>
          <w:szCs w:val="18"/>
          <w:color w:val="auto"/>
        </w:rPr>
        <w:t>Investments in equity securities are carried at fair value with the unrealized gains or losses reflected in the consolidated statements of operations. For purposes of determining gains and losses, the cost of securities is based on specific identification. Dividend income is recorded on the ex-dividend date and interest income is recognized when earned.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225"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Arial" w:cs="Arial" w:eastAsia="Arial" w:hAnsi="Arial"/>
          <w:sz w:val="18"/>
          <w:szCs w:val="18"/>
          <w:i w:val="1"/>
          <w:iCs w:val="1"/>
          <w:color w:val="auto"/>
        </w:rPr>
        <w:t>Financial Instrument</w:t>
      </w:r>
      <w:r>
        <w:rPr>
          <w:rFonts w:ascii="Arial" w:cs="Arial" w:eastAsia="Arial" w:hAnsi="Arial"/>
          <w:sz w:val="18"/>
          <w:szCs w:val="18"/>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Accounts receivable, net consists of trade receivables from customers, including contract assets when we have an unconditional right to receive consideration. 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Energy segment inventories consist primarily of domestic and foreign crude oil, blending stock and components, work in progress, fertilizer products, and refined fuels and by-products. Inventories are valued at the lower of FIFO cost, or net realizable value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 Food Packaging, Home Fashion and Pharma</w:t>
      </w:r>
    </w:p>
    <w:p>
      <w:pPr>
        <w:spacing w:after="0" w:line="225"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Our Automotive, Food Packaging, Home Fashion and Pharma segments’ inventories are stated at the lower of cost or net realizable value. Cost is determined by using the first-in, first-out basis method (“FIFO”), except for our Automotive and Pharma segment, which also utilizes weighted-average cost. Our Automotive segment also determines cost using the last-in, first-out method for certain of its subsidiaries. Inventory recorded using the last-in, first-out method was $264 million and $555 million as of December 31, 2021 and 2020, respectively, all of which relates to finished goods. The cost of manufactured goods includes the cost of direct materials, labor and manufacturing overhead. Our Automotive, Food Packaging, Home Fashion and Pharma segments write-down inventory for estimated excess, slow-moving and obsolete inventory as well as inventory whose carrying value is in excess of net realizable value.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As disclosed above, we sold PSC Metals in December 2021. For December 31, 2020, our Metals segment inventories are stated at the lower of cost or net realizable value. Cost is determined using the average cost method. The production and accounting process utilized by our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left="60" w:right="319" w:firstLine="324"/>
        <w:spacing w:after="0" w:line="311" w:lineRule="auto"/>
        <w:rPr>
          <w:sz w:val="20"/>
          <w:szCs w:val="20"/>
          <w:color w:val="auto"/>
        </w:rPr>
      </w:pPr>
      <w:r>
        <w:rPr>
          <w:rFonts w:ascii="Arial" w:cs="Arial" w:eastAsia="Arial" w:hAnsi="Arial"/>
          <w:sz w:val="16"/>
          <w:szCs w:val="16"/>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w:t>
      </w:r>
    </w:p>
    <w:p>
      <w:pPr>
        <w:spacing w:after="0" w:line="178"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84"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Turnarounds generally occur every four to five years for our Energy segment’s refineries and every two to three years for its nitrogen fertilizer plants. Deferred turnaround costs, net of accumulated amortization, are included in other assets in the consolidated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Goodwill and indefinite-lived intangible assets primarily include trademarks and brand names acquired in acquisitions. For a complete discussion of the impairment of goodwill and indefinite-lived intangible assets related to our various segments, see Note 9, “Goodwill and Intangible Assets, Net.”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Goodwill is determined as the excess of the fair value of consideration transferred in a business combination over the net amounts of identifiable assets acquired and liabilities assumed. Goodwill is reviewed for impairment annually, or 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flows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Pension and Other Post-Retirement Benefit Plan Obligations</w:t>
      </w:r>
    </w:p>
    <w:p>
      <w:pPr>
        <w:spacing w:after="0" w:line="225"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Post-retirement benefit liabilities were $55 million and $81 million as of December 31, 2021 and 2020, respectively, and are included in accrued expenses and other liabilities in our consolidated balance sheets.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Accumulated other comprehensive loss is included in the limited partners and general partner components of equity in the consolidated balance sheets in the amounts of $74 million and $80 million as of December 31, 2021 and 2020, respectively. Refer to Note 15, “Changes in Accumulated Other Comprehensive Loss,”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Partnership Interest of Icahn Enterprises</w:t>
      </w:r>
    </w:p>
    <w:p>
      <w:pPr>
        <w:spacing w:after="0" w:line="225" w:lineRule="exact"/>
        <w:rPr>
          <w:sz w:val="20"/>
          <w:szCs w:val="20"/>
          <w:color w:val="auto"/>
        </w:rPr>
      </w:pPr>
    </w:p>
    <w:p>
      <w:pPr>
        <w:ind w:left="60" w:right="419" w:firstLine="324"/>
        <w:spacing w:after="0" w:line="257"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18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192"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188"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Basic and Diluted Income Per LP Unit</w:t>
      </w:r>
    </w:p>
    <w:p>
      <w:pPr>
        <w:spacing w:after="0" w:line="225"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(loss) adjusted for the potential effect of dilutive securities as well as the related weighted-average number of units and equivalent units outstanding.</w:t>
      </w:r>
    </w:p>
    <w:p>
      <w:pPr>
        <w:spacing w:after="0" w:line="170"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6"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184"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188"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left="60" w:right="399" w:firstLine="324"/>
        <w:spacing w:after="0" w:line="286" w:lineRule="auto"/>
        <w:rPr>
          <w:sz w:val="20"/>
          <w:szCs w:val="20"/>
          <w:color w:val="auto"/>
        </w:rPr>
      </w:pPr>
      <w:r>
        <w:rPr>
          <w:rFonts w:ascii="Arial" w:cs="Arial" w:eastAsia="Arial" w:hAnsi="Arial"/>
          <w:sz w:val="16"/>
          <w:szCs w:val="16"/>
          <w:color w:val="auto"/>
        </w:rPr>
        <w:t xml:space="preserve">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These assets leased to others are recorded at cost, net of accumulated depreciation, and are included in property, plant and equipment, net on our consolidated balance sheets.</w:t>
      </w:r>
    </w:p>
    <w:p>
      <w:pPr>
        <w:spacing w:after="0" w:line="1" w:lineRule="exact"/>
        <w:rPr>
          <w:sz w:val="20"/>
          <w:szCs w:val="20"/>
          <w:color w:val="auto"/>
        </w:rPr>
      </w:pPr>
    </w:p>
    <w:p>
      <w:pPr>
        <w:ind w:left="60" w:right="319"/>
        <w:spacing w:after="0" w:line="302" w:lineRule="auto"/>
        <w:rPr>
          <w:sz w:val="20"/>
          <w:szCs w:val="20"/>
          <w:color w:val="auto"/>
        </w:rPr>
      </w:pPr>
      <w:r>
        <w:rPr>
          <w:rFonts w:ascii="Arial" w:cs="Arial" w:eastAsia="Arial" w:hAnsi="Arial"/>
          <w:sz w:val="16"/>
          <w:szCs w:val="16"/>
          <w:color w:val="auto"/>
        </w:rPr>
        <w:t>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consolidated statements of operations; however, our Real Estate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and Geographic Reporting,” for our complete disaggregation of revenue information. In addition, we disclose additional information with respect to revenue from contracts with customers and contract balances for our Energy and Automotive segments below.</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Energy segment revenues from the sale of petroleum products are recorded upon delivery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to customers, which is the point 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petroleum business’ contracts with its customers state the terms of the sale, including the description, quantity, and price of each product sold. Depending on the product sold, and the type of contract, payments from customers are generally due in full within 30 days of product delivery or invoice date. Many of the petroleum business’ contracts have index-based pricing which is considered variable consideration that should be estimated in determining the transaction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17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Energy segment generally provides no warranty other than the implicit promise that goods delivered are free of liens and encumbrances and meet the agreed upon specifications. In addition, product returns are very rare and are accounted for as they occur; however, contracts do include provisions which state that the petroleum business will except returns of off-spec product, refund the customer, provide on-spec product, and pay for damages to any customer equipment which resulted from off-spec product. Typically, if a customer is not satisfied with a product, the price is adjusted downward instead of the product being returned or exchanged.</w:t>
      </w:r>
    </w:p>
    <w:p>
      <w:pPr>
        <w:spacing w:after="0" w:line="178"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As of December 31, 2021, our Energy segment had $10 million of remaining performance obligations for contracts with an original expected duration of more than one year. Our Energy segment expects to recognize approximately $6 million of these performance obligations as revenue by the end of 2022 and the remaining balance thereafter.</w:t>
      </w:r>
    </w:p>
    <w:p>
      <w:pPr>
        <w:spacing w:after="0" w:line="149"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Our Energy segment’s deferred revenue is a contract liability that primarily relates to fertilizer</w:t>
      </w:r>
      <w:r>
        <w:rPr>
          <w:rFonts w:ascii="Arial" w:cs="Arial" w:eastAsia="Arial" w:hAnsi="Arial"/>
          <w:sz w:val="16"/>
          <w:szCs w:val="16"/>
          <w:i w:val="1"/>
          <w:iCs w:val="1"/>
          <w:color w:val="auto"/>
        </w:rPr>
        <w:t xml:space="preserve"> </w:t>
      </w:r>
      <w:r>
        <w:rPr>
          <w:rFonts w:ascii="Arial" w:cs="Arial" w:eastAsia="Arial" w:hAnsi="Arial"/>
          <w:sz w:val="16"/>
          <w:szCs w:val="16"/>
          <w:color w:val="auto"/>
        </w:rPr>
        <w:t>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$87 million and $31 million as of December 31, 2021 and 2020, respectively. Deferred revenue is included in accrued expense and other liabilities in the consolidated balance sheets. For the year ended December 31, 2021, 2020 and 2019, our Energy segment recorded revenue of $30 million, $27 million and $68 million, respectively, with respect to deferred revenue outstanding as of the beginning of each respective year.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recognizes revenue when it satisfies a performance obligation by transferring</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a product or service to a customer. Our Automotive segment revenue from retail and commercial parts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w:t>
      </w:r>
    </w:p>
    <w:p>
      <w:pPr>
        <w:spacing w:after="0" w:line="6" w:lineRule="exact"/>
        <w:rPr>
          <w:sz w:val="20"/>
          <w:szCs w:val="20"/>
          <w:color w:val="auto"/>
        </w:rPr>
      </w:pPr>
    </w:p>
    <w:p>
      <w:pPr>
        <w:ind w:left="60" w:right="159"/>
        <w:spacing w:after="0" w:line="295" w:lineRule="auto"/>
        <w:rPr>
          <w:sz w:val="20"/>
          <w:szCs w:val="20"/>
          <w:color w:val="auto"/>
        </w:rPr>
      </w:pPr>
      <w:r>
        <w:rPr>
          <w:rFonts w:ascii="Arial" w:cs="Arial" w:eastAsia="Arial" w:hAnsi="Arial"/>
          <w:sz w:val="16"/>
          <w:szCs w:val="16"/>
          <w:color w:val="auto"/>
        </w:rPr>
        <w:t>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w:t>
      </w:r>
    </w:p>
    <w:p>
      <w:pPr>
        <w:spacing w:after="0" w:line="16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Automotive segment has deferred revenue with respect to extended warranty plans of $42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$41 million as of December 31, 2021 and 2020, respectively, which are included in accrued expenses and other liabilities in our consolidated balance sheets. For the year ended December 31, 2021, 2020 and 2019, our Automotive segment recorded revenue of $24 million, $25 million and $21 million, respectively, with respect to deferred revenue outstanding as of the beginning of each respective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 paid to customers, wholesalers and certified 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recognizes supply revenue on a gross basis. Our Pharma segment also recognizes license and royalty revenue, which are not significant.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Metals segment’s primary source of revenue was from the sale of processed ferrous scrap metal, non-ferrous scrap metals, steel pipe and steel plate. PSC Metals also generated revenues from sales of secondary plate and pipe, the brokering of scrap metals and from services performed. All sales were recognized when title passes to the customer. Revenues from services were recognized as the service is performed. Sales adjustments related to price and weight differences were reflected as a reduction of revenues when settled.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Mining</w:t>
      </w:r>
    </w:p>
    <w:p>
      <w:pPr>
        <w:spacing w:after="0" w:line="225"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Our Mining segment recognized revenue when title, ownership, and risk of loss pass to the customer, all of which occur upon shipment or delivery of the product and is based on the applicable shipping terms. Revenue was measured at the fair value of the consideration received or receivable, with any adjustments as a result of provisional pricing recorded against revenue.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Revenue and Expense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 from real estate sales and related costs are recognized at the time of closing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by specific identification. Substantially all of the property comprising our net lease portfolio is leased to others under long-term net leases classified as operating leases and we account for these leases in accordance with applicable U.S. GAAP. Operating lease revenue is recognized on a straight-line basis over the lease term.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Energy segment’s pass-through finished goods delivery costs reimbursed by customers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net sales, while an offsetting expense is included in cost of goods sold.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599" w:firstLine="324"/>
        <w:spacing w:after="0" w:line="263"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Automotive segment recognizes shipping and handling costs as incurred and is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general and administrative in the consolidated statements of operations for its commercial and retail parts businesses.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Concentrations of credit risk relate primarily to derivative instruments from our Investment segment. See Note 6, “Financial Instruments,” for further discussion.</w:t>
      </w:r>
    </w:p>
    <w:p>
      <w:pPr>
        <w:spacing w:after="0" w:line="170"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Exposure to this credit risk is reduced by placing such deposits with major financial institutions and monitoring their credit ratings and, therefore, these deposits bear minimal credit risk.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December 2019, the Financial Account Standards Board (“FASB”) issued Accounting Standards Update (“ASU”)</w:t>
      </w:r>
    </w:p>
    <w:p>
      <w:pPr>
        <w:spacing w:after="0" w:line="46" w:lineRule="exact"/>
        <w:rPr>
          <w:sz w:val="20"/>
          <w:szCs w:val="20"/>
          <w:color w:val="auto"/>
        </w:rPr>
      </w:pPr>
    </w:p>
    <w:p>
      <w:pPr>
        <w:ind w:left="60" w:right="399"/>
        <w:spacing w:after="0" w:line="252" w:lineRule="auto"/>
        <w:rPr>
          <w:sz w:val="20"/>
          <w:szCs w:val="20"/>
          <w:color w:val="auto"/>
        </w:rPr>
      </w:pPr>
      <w:r>
        <w:rPr>
          <w:rFonts w:ascii="Arial" w:cs="Arial" w:eastAsia="Arial" w:hAnsi="Arial"/>
          <w:sz w:val="18"/>
          <w:szCs w:val="18"/>
          <w:color w:val="auto"/>
        </w:rPr>
        <w:t xml:space="preserve">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We have adopted this standard on January 1, 2021. Certain amendments in this ASU are applied using a retrospective approach and others using the prospective approach. The adoption of this standard did not have a significant impact on our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June 30, 2023,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year ended December 31, 2020, Mr. Icahn and his affiliates (excluding us and Brett Icahn) contributed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$1,241 million to the Investment Funds consisting primarily of in-kind investments previously held directly by Mr. Icahn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his affiliates (excluding us). During the years ended December 31, 2019, Mr. Icahn and his affiliates (excluding us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Brett Icahn) invested $220 million in the Investment Funds, net of redemptions. As of December 31, 2021 and 2020,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fair market value of investments in the Investment Funds made by Mr. Icahn and his affiliates (excluding us and Brett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Icahn) was approximately $5.0 billion and $5.0 billion, respectively, representing approximately 54% and 54%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 Funds’ assets under management as of each respective date.</w:t>
      </w:r>
    </w:p>
    <w:p>
      <w:pPr>
        <w:spacing w:after="0" w:line="21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2021, 2020 and 2019, $15 million, $2 million and $23 million, respectively, was allocated to the Investment Funds based on this expense-sharing arrangement.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For the years ended December 31, 2020 and 2019, revenue from Hertz was $20 million and $54 million, respectively.</w:t>
      </w:r>
    </w:p>
    <w:p>
      <w:pPr>
        <w:spacing w:after="0" w:line="171"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During 2021, this agreement was amended to commence the early disposition of vehicles owned by 767 Leasing. As of December 31, 2021, substantially all of 767 Leasing’s assets were sold and its operations have ceased. Due to the nature of our involvement with 767 Leasing, which included Icahn Enterprises guaranteeing the payment obligations of 767 Leasing and sharing in the profits of 767 Leasing with Hertz, we determined that 767 Leasing was a variable interest entity. Furthermore, we determined that we were not the primary beneficiary as we did not have the power to direct the activities of 767 Leasing that most significantly impacted its economic performance. Therefore, we did not consolidate the results of 767 Leasing. Our exposure to loss with respect to 767 Leasing was primarily limited to our direct investment in 767 Leasing as well as any payment obligations of 767 Leasing that we guaranteed, which were not material.</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years ended December 31, 2021 and 2020, 767 Leasing distributed $36 million and $75 million, respectively,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us. For the year ended December 31, 2019 we invested $50 million in 767 Leasing. During the years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2020 and 2019, we had equity (losses) earnings from 767 Leasing of $(2) million, $(7) million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 million, respectively. As of December 31, 2021, we no longer had an equity method investment in 767 Leasing and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December 31, 2020, we had an equity method investment of $40 million, which is reported in our Automotive segment.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2021 and 2020, Brett Icahn contributed $76 million and $12 million, respectively, in accordance with the manager agreement. As of December 31, 2021 and 2020, Brett Icahn had investments in the Investment Funds with a fair market value of $93 million and $12 million,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all of which are reported at fair value in our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76"/>
        </w:trPr>
        <w:tc>
          <w:tcPr>
            <w:tcW w:w="512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Assets</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17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Utilities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Healthcare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Industrial</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debt securities</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17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Utilities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Healthcare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firstLine="324"/>
        <w:spacing w:after="0" w:line="263" w:lineRule="auto"/>
        <w:rPr>
          <w:sz w:val="20"/>
          <w:szCs w:val="20"/>
          <w:color w:val="auto"/>
        </w:rPr>
      </w:pPr>
      <w:r>
        <w:rPr>
          <w:rFonts w:ascii="Arial" w:cs="Arial" w:eastAsia="Arial" w:hAnsi="Arial"/>
          <w:sz w:val="18"/>
          <w:szCs w:val="18"/>
          <w:color w:val="auto"/>
        </w:rPr>
        <w:t>The portion of unrealized gains that relates to securities still held by our Investment segment, primarily equity securities, was $1,153 million, $65 million and $706 million for the years ended December 31, 2021, 2020 and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such presumption may be overcome based on specific facts and circumstances that demonstrate that the ability to exercise significant influence is present, such as when we have representation on the board of directors of such investee.</w:t>
      </w:r>
    </w:p>
    <w:p>
      <w:pPr>
        <w:spacing w:after="0" w:line="168"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of our Investment segment.</w:t>
      </w:r>
    </w:p>
    <w:p>
      <w:pPr>
        <w:spacing w:after="0" w:line="187"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During the second quarter of 2020, the Investment Funds sold their entire investment in Hertz. Prior to the sale of its investment in Hertz, the Investment Funds owned approximately 38.9% of the outstanding common stock of Hertz.</w:t>
      </w:r>
    </w:p>
    <w:p>
      <w:pPr>
        <w:spacing w:after="0" w:line="124"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In addition, in August 2020, the Investment Funds sold a portion of their investment in Herbalife Nutrition Ltd. (“Herbalife”) pursuant to Herbalife’s “modified Dutch auction” tender offer to purchase its common shares, and as a result, the Investment Funds ceased to have an ability to exercise significant influence over the operating and financial policies of Herbalife. Prior to this transaction, the Investment Funds owned approximately 23.8% of the outstanding common stock of Herbalife.</w:t>
      </w:r>
    </w:p>
    <w:p>
      <w:pPr>
        <w:spacing w:after="0" w:line="188"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Due to the nature of our Investment segment’s operations, the sales of Hertz and Herbalife are deemed to be in the ordinary course of business.</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following table contains summarized financial information with respect to our investments in Hertz and Herbalife during the respective periods (or partial periods) in which we possessed the ability to exercise significant influence over the operating and financial policies of the investee.</w:t>
      </w:r>
    </w:p>
    <w:p>
      <w:pPr>
        <w:sectPr>
          <w:pgSz w:w="11900" w:h="16838" w:orient="portrait"/>
          <w:cols w:equalWidth="0" w:num="1">
            <w:col w:w="9019"/>
          </w:cols>
          <w:pgMar w:left="1440" w:top="517" w:right="1440" w:bottom="1440" w:gutter="0" w:footer="0" w:header="0"/>
        </w:sectPr>
      </w:pPr>
    </w:p>
    <w:p>
      <w:pPr>
        <w:spacing w:after="0" w:line="19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Hertz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1457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7" w:lineRule="exact"/>
        <w:rPr>
          <w:sz w:val="20"/>
          <w:szCs w:val="20"/>
          <w:color w:val="auto"/>
        </w:rPr>
      </w:pPr>
    </w:p>
    <w:p>
      <w:pPr>
        <w:jc w:val="center"/>
        <w:ind w:left="44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29210</wp:posOffset>
            </wp:positionV>
            <wp:extent cx="1457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6" w:lineRule="exact"/>
        <w:rPr>
          <w:sz w:val="20"/>
          <w:szCs w:val="20"/>
          <w:color w:val="auto"/>
        </w:rPr>
      </w:pPr>
    </w:p>
    <w:p>
      <w:pPr>
        <w:ind w:left="4460"/>
        <w:spacing w:after="0"/>
        <w:tabs>
          <w:tab w:leader="none" w:pos="5280" w:val="left"/>
          <w:tab w:leader="none" w:pos="61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14605</wp:posOffset>
            </wp:positionV>
            <wp:extent cx="1457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Herbalife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17145</wp:posOffset>
            </wp:positionV>
            <wp:extent cx="14147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29210</wp:posOffset>
            </wp:positionV>
            <wp:extent cx="14147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00" w:val="left"/>
          <w:tab w:leader="none" w:pos="16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14147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500" w:space="340"/>
            <w:col w:w="21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sales/Other revenue from operations</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$ 2,755</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$ 9,779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$ 2,609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$ 4,877</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w w:val="98"/>
              </w:rPr>
              <w:t>Cost of goods sold/Other expenses from operations</w:t>
            </w:r>
          </w:p>
        </w:tc>
        <w:tc>
          <w:tcPr>
            <w:tcW w:w="42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3,231</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8,051</w:t>
            </w:r>
          </w:p>
        </w:tc>
        <w:tc>
          <w:tcPr>
            <w:tcW w:w="36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72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w w:val="93"/>
              </w:rPr>
              <w:t>Net (loss) income attributable to investee shareholders</w:t>
            </w:r>
          </w:p>
        </w:tc>
        <w:tc>
          <w:tcPr>
            <w:tcW w:w="42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(1,203)</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Held to maturity debt investments measured at amortized cost</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9"/>
        </w:trPr>
        <w:tc>
          <w:tcPr>
            <w:tcW w:w="66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79" w:firstLine="324"/>
        <w:spacing w:after="0" w:line="263" w:lineRule="auto"/>
        <w:rPr>
          <w:sz w:val="20"/>
          <w:szCs w:val="20"/>
          <w:color w:val="auto"/>
        </w:rPr>
      </w:pPr>
      <w:r>
        <w:rPr>
          <w:rFonts w:ascii="Arial" w:cs="Arial" w:eastAsia="Arial" w:hAnsi="Arial"/>
          <w:sz w:val="18"/>
          <w:szCs w:val="18"/>
          <w:color w:val="auto"/>
        </w:rPr>
        <w:t>The portion of unrealized losses that relates to equity securities still held by our other segments and our Holding Company was $61 million, $36 million and $421 million for the years ended December 31, 2021, 2020 and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4"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237"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88"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7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6"/>
              </w:rPr>
              <w:t>December 31, 2021</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4"/>
              </w:rPr>
              <w:t>December 31, 2020</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Level 2</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Assets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3"/>
          </w:tcPr>
          <w:p>
            <w:pPr>
              <w:jc w:val="right"/>
              <w:ind w:right="25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$ 9,060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$ 8,546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$ 8,761</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Derivative assets, net (Note 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$ 9,672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$ 8,546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$ 9,546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$ 5,340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$ 5,340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$ 2,521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$ 2,521</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Derivative liabilities, net (Note 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$ 5,340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1,281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$ 6,621</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$ 2,532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$ 3,374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firstLine="324"/>
        <w:spacing w:after="0" w:line="308" w:lineRule="auto"/>
        <w:rPr>
          <w:sz w:val="20"/>
          <w:szCs w:val="20"/>
          <w:color w:val="auto"/>
        </w:rPr>
      </w:pPr>
      <w:r>
        <w:rPr>
          <w:rFonts w:ascii="Arial" w:cs="Arial" w:eastAsia="Arial" w:hAnsi="Arial"/>
          <w:sz w:val="17"/>
          <w:szCs w:val="17"/>
          <w:color w:val="auto"/>
        </w:rPr>
        <w:t>Refer to Note 18, “Pension and Other Post-Retirement Benefit Plans,” for our Food Packaging segment’s defined benefit plan assets measured at fair value on a recurring basis as of December 31, 2021 and 2020.</w:t>
      </w:r>
    </w:p>
    <w:p>
      <w:pPr>
        <w:spacing w:after="0" w:line="146"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we use Level 3 inputs to determine fair value are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3"/>
              </w:rPr>
              <w:t>Year Ended December 31,</w:t>
            </w:r>
          </w:p>
        </w:tc>
      </w:tr>
      <w:tr>
        <w:trPr>
          <w:trHeight w:val="210"/>
        </w:trPr>
        <w:tc>
          <w:tcPr>
            <w:tcW w:w="4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128"/>
        </w:trPr>
        <w:tc>
          <w:tcPr>
            <w:tcW w:w="44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90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Transfer in from Level 2</w:t>
            </w: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in income</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Purchases</w:t>
            </w: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Transfer out of Level 3</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w:t>
            </w: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During 2020, we transferred our debt investment in Vivus from Level 2 to Level 3 due to the reduction in market observable sources occurring during the period. The fair value of this investment was derived from the enterprise value of Vivus at emergence from bankruptcy, which was valued using a discounted cash flow method. We recognized a gain of $48 million as a result of adjusting the fair value of this investment just prior to emergence. In the fourth quarter of 2020, this debt investment, consisting of convertible debt securities, along with a separate debt investment in Vivus, consisting of a term loan, was transferred out of Level 3 upon Vivus’ emergence from bankruptcy, at which point, we acquired all of the equity interests in Vivus, resulting in Vivus becoming a consolidated subsidiary of ours.</w:t>
      </w:r>
    </w:p>
    <w:p>
      <w:pPr>
        <w:spacing w:after="0" w:line="166" w:lineRule="exact"/>
        <w:rPr>
          <w:sz w:val="20"/>
          <w:szCs w:val="20"/>
          <w:color w:val="auto"/>
        </w:rPr>
      </w:pPr>
    </w:p>
    <w:p>
      <w:pPr>
        <w:ind w:left="60" w:right="479" w:firstLine="324"/>
        <w:spacing w:after="0" w:line="342" w:lineRule="auto"/>
        <w:rPr>
          <w:sz w:val="20"/>
          <w:szCs w:val="20"/>
          <w:color w:val="auto"/>
        </w:rPr>
      </w:pPr>
      <w:r>
        <w:rPr>
          <w:rFonts w:ascii="Arial" w:cs="Arial" w:eastAsia="Arial" w:hAnsi="Arial"/>
          <w:sz w:val="16"/>
          <w:szCs w:val="16"/>
          <w:color w:val="auto"/>
        </w:rPr>
        <w:t>During 2020, our Real Estate segment recorded an impairment of certain development property, included in other assets in the consolidated balance sheets, of $5 million, and property, plant and equipment, net of $2 million.</w:t>
      </w:r>
    </w:p>
    <w:p>
      <w:pPr>
        <w:spacing w:after="0" w:line="124" w:lineRule="exact"/>
        <w:rPr>
          <w:sz w:val="20"/>
          <w:szCs w:val="20"/>
          <w:color w:val="auto"/>
        </w:rPr>
      </w:pPr>
    </w:p>
    <w:p>
      <w:pPr>
        <w:ind w:left="60" w:right="939" w:firstLine="324"/>
        <w:spacing w:after="0" w:line="277" w:lineRule="auto"/>
        <w:rPr>
          <w:sz w:val="20"/>
          <w:szCs w:val="20"/>
          <w:color w:val="auto"/>
        </w:rPr>
      </w:pPr>
      <w:r>
        <w:rPr>
          <w:rFonts w:ascii="Arial" w:cs="Arial" w:eastAsia="Arial" w:hAnsi="Arial"/>
          <w:sz w:val="18"/>
          <w:szCs w:val="18"/>
          <w:color w:val="auto"/>
        </w:rPr>
        <w:t>Refer to Note 9, “Goodwill and Intangible Assets, Net,” for discussion of our goodwill and intangible asset impairments.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Refer to Note 13, “Segment and Geographic Reporting,” for total impairment recorded by each of our segments.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18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between the forward foreign exchange rates at the dates of entry into such contracts and the forward rates at the reporting date.</w:t>
      </w:r>
    </w:p>
    <w:p>
      <w:pPr>
        <w:spacing w:after="0" w:line="170" w:lineRule="exact"/>
        <w:rPr>
          <w:sz w:val="20"/>
          <w:szCs w:val="20"/>
          <w:color w:val="auto"/>
        </w:rPr>
      </w:pPr>
    </w:p>
    <w:p>
      <w:pPr>
        <w:jc w:val="both"/>
        <w:ind w:left="60" w:right="179" w:firstLine="324"/>
        <w:spacing w:after="0" w:line="296"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161"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December 31, 2021 and 2020 was $0 million and $1 million, respectively.</w:t>
      </w:r>
    </w:p>
    <w:p>
      <w:pPr>
        <w:spacing w:after="0" w:line="192"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9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Long</w:t>
            </w: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Short</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Long</w:t>
            </w: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Notional</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Notional</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Notional</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Exposure</w:t>
            </w:r>
          </w:p>
        </w:tc>
        <w:tc>
          <w:tcPr>
            <w:tcW w:w="18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ind w:left="56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contracts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1,582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8,623</w:t>
            </w:r>
          </w:p>
        </w:tc>
        <w:tc>
          <w:tcPr>
            <w:tcW w:w="0" w:type="dxa"/>
            <w:vAlign w:val="bottom"/>
          </w:tcPr>
          <w:p>
            <w:pPr>
              <w:spacing w:after="0"/>
              <w:rPr>
                <w:sz w:val="1"/>
                <w:szCs w:val="1"/>
                <w:color w:val="auto"/>
              </w:rPr>
            </w:pPr>
          </w:p>
        </w:tc>
      </w:tr>
      <w:tr>
        <w:trPr>
          <w:trHeight w:val="353"/>
        </w:trPr>
        <w:tc>
          <w:tcPr>
            <w:tcW w:w="5240" w:type="dxa"/>
            <w:vAlign w:val="bottom"/>
          </w:tcPr>
          <w:p>
            <w:pPr>
              <w:ind w:left="12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1" w:lineRule="exact"/>
        <w:rPr>
          <w:sz w:val="20"/>
          <w:szCs w:val="20"/>
          <w:color w:val="auto"/>
        </w:rPr>
      </w:pPr>
    </w:p>
    <w:p>
      <w:pPr>
        <w:ind w:left="380" w:right="99" w:hanging="330"/>
        <w:spacing w:after="0" w:line="255" w:lineRule="auto"/>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$6.6 billion at December 31, 2021. However, because credit spreads cannot compress below zero, our downside short notional exposure to loss is approximately $2.1 billion as of December 31, 2021. The short notional amount on our credit default swap positions was approximately $6.3 billion as of December 31, 2020. However, because credit spreads cannot compress below zero, our downside short notional exposure to loss is $2.1 billion as of December 31, 2020.</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Derivative Assets</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Derivative Liabilities</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2021</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2021</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gridSpan w:val="3"/>
          </w:tcPr>
          <w:p>
            <w:pPr>
              <w:ind w:left="50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r>
      <w:tr>
        <w:trPr>
          <w:trHeight w:val="216"/>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9"/>
        </w:trPr>
        <w:tc>
          <w:tcPr>
            <w:tcW w:w="24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r>
      <w:tr>
        <w:trPr>
          <w:trHeight w:val="192"/>
        </w:trPr>
        <w:tc>
          <w:tcPr>
            <w:tcW w:w="2460" w:type="dxa"/>
            <w:vAlign w:val="bottom"/>
            <w:gridSpan w:val="2"/>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460" w:type="dxa"/>
            <w:vAlign w:val="bottom"/>
            <w:gridSpan w:val="2"/>
          </w:tcPr>
          <w:p>
            <w:pPr>
              <w:ind w:left="24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7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9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09"/>
        </w:trPr>
        <w:tc>
          <w:tcPr>
            <w:tcW w:w="24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339" w:hanging="330"/>
        <w:spacing w:after="0" w:line="238"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December 31, 2021 and 2020 was $1,906 million and $872 million, respectively, across all counterparties, which are included in cash held at consolidated affiliated partnerships and restricted cash in the consolidated balance sheets.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amount of gain (loss) recognized in the consolidated statements of operations for our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 segment’s derivatives not designated as hedging instruments:</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-8890</wp:posOffset>
            </wp:positionV>
            <wp:extent cx="25800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4445</wp:posOffset>
            </wp:positionV>
            <wp:extent cx="25800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320"/>
        <w:spacing w:after="0"/>
        <w:tabs>
          <w:tab w:leader="none" w:pos="6720" w:val="left"/>
          <w:tab w:leader="none" w:pos="81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25800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(1,583)</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6" w:lineRule="exact"/>
        <w:rPr>
          <w:sz w:val="20"/>
          <w:szCs w:val="20"/>
          <w:color w:val="auto"/>
        </w:rPr>
      </w:pPr>
    </w:p>
    <w:p>
      <w:pPr>
        <w:ind w:left="380" w:right="219" w:hanging="330"/>
        <w:spacing w:after="0" w:line="25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As of December 31, 2021 and 2020, CVR Refining had zero and 7 million, respectively, outstanding commodity swap positions. As of December 31, 2021 and 2020, CVR Refining had open forward purchase and sale commitments for 2 million barrels and 6 million barrels, respectively. As of December 31, 2021, CVR Refining had open fixed-price commitments to purchase a net 3 million RINs.</w:t>
      </w:r>
    </w:p>
    <w:p>
      <w:pPr>
        <w:spacing w:after="0" w:line="187" w:lineRule="exact"/>
        <w:rPr>
          <w:sz w:val="20"/>
          <w:szCs w:val="20"/>
          <w:color w:val="auto"/>
        </w:rPr>
      </w:pPr>
    </w:p>
    <w:p>
      <w:pPr>
        <w:ind w:left="60" w:right="259" w:firstLine="369"/>
        <w:spacing w:after="0" w:line="301"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December 31, 2021, our Energy segment had net asset derivatives of $1 million and net liability derivatives of $2 million and as of December 31, 2020, our Energy segment had net liability derivatives of $17 million. (Losses) gains recognized on derivatives for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our Energy segment were $(44) million, $55 million and $19 million for the years ended December 31, 2021, 2020 and 2019, respectively. Gains recognized on derivatives for our Energy segment are included in cost of goods sold on the consolidated statements of operations.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7. Inventories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Inventories consists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6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6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129"/>
        </w:trPr>
        <w:tc>
          <w:tcPr>
            <w:tcW w:w="6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09"/>
        </w:trPr>
        <w:tc>
          <w:tcPr>
            <w:tcW w:w="66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During the fourth quarter of 2021, our Automotive segment had inventories with a carrying value in excess of net realizable value. As a result, our Automotive segment recorded a write-down of its inventories of $56 million, which is included in cost of goods sold in the consolidated statements of operations for the year ended December 31, 2021. During the first quarter of 2020, our Energy segment had inventories with a carrying value in excess of net realizable value. As a result, our Energy segment recorded a write-down of its inventories of $58 million, which is included in cost of goods sold in the consolidated statements of operations for the year ended December 31, 2020. The write-down represents the difference between the carrying value of inventories accounted for using the first-in-first-out method and selling prices for refined products subsequent to March 31, 2020.</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320"/>
              <w:spacing w:after="0"/>
              <w:rPr>
                <w:sz w:val="20"/>
                <w:szCs w:val="20"/>
                <w:color w:val="auto"/>
              </w:rPr>
            </w:pPr>
            <w:r>
              <w:rPr>
                <w:rFonts w:ascii="Arial" w:cs="Arial" w:eastAsia="Arial" w:hAnsi="Arial"/>
                <w:sz w:val="18"/>
                <w:szCs w:val="18"/>
                <w:color w:val="auto"/>
              </w:rPr>
              <w:t>Property, plant and equipment, net consists of the following:</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8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w w:val="99"/>
              </w:rPr>
              <w:t>Useful Life</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128"/>
        </w:trPr>
        <w:tc>
          <w:tcPr>
            <w:tcW w:w="5380" w:type="dxa"/>
            <w:vAlign w:val="bottom"/>
          </w:tcPr>
          <w:p>
            <w:pPr>
              <w:spacing w:after="0"/>
              <w:rPr>
                <w:sz w:val="11"/>
                <w:szCs w:val="11"/>
                <w:color w:val="auto"/>
              </w:rPr>
            </w:pPr>
          </w:p>
        </w:tc>
        <w:tc>
          <w:tcPr>
            <w:tcW w:w="1040" w:type="dxa"/>
            <w:vAlign w:val="bottom"/>
          </w:tcPr>
          <w:p>
            <w:pPr>
              <w:jc w:val="right"/>
              <w:ind w:right="153"/>
              <w:spacing w:after="0" w:line="129" w:lineRule="exact"/>
              <w:rPr>
                <w:sz w:val="20"/>
                <w:szCs w:val="20"/>
                <w:color w:val="auto"/>
              </w:rPr>
            </w:pPr>
            <w:r>
              <w:rPr>
                <w:rFonts w:ascii="Arial" w:cs="Arial" w:eastAsia="Arial" w:hAnsi="Arial"/>
                <w:sz w:val="14"/>
                <w:szCs w:val="14"/>
                <w:color w:val="auto"/>
              </w:rPr>
              <w:t>(in years)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5 - 40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furniture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2 - 20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Assets leased to others</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5 - 39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1 - 18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2021, 2020 and 2019 was $383 million, $406 million and $410 million, respectively.</w:t>
      </w:r>
    </w:p>
    <w:p>
      <w:pPr>
        <w:spacing w:after="0" w:line="170"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See Note 5, “Fair Value Measurements,” for discussion regarding certain impairments to our property, plant and equipment.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left="380" w:right="5999" w:hanging="330"/>
        <w:spacing w:after="0" w:line="572" w:lineRule="auto"/>
        <w:tabs>
          <w:tab w:leader="none" w:pos="28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6"/>
              </w:rPr>
              <w:t>December 31, 2021</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Food</w:t>
            </w:r>
          </w:p>
        </w:tc>
        <w:tc>
          <w:tcPr>
            <w:tcW w:w="180" w:type="dxa"/>
            <w:vAlign w:val="bottom"/>
          </w:tcPr>
          <w:p>
            <w:pPr>
              <w:spacing w:after="0"/>
              <w:rPr>
                <w:sz w:val="16"/>
                <w:szCs w:val="16"/>
                <w:color w:val="auto"/>
              </w:rPr>
            </w:pPr>
          </w:p>
        </w:tc>
        <w:tc>
          <w:tcPr>
            <w:tcW w:w="82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rPr>
              <w:t>Home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Automotive</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6"/>
              </w:rPr>
              <w:t>Packaging</w:t>
            </w:r>
          </w:p>
        </w:tc>
        <w:tc>
          <w:tcPr>
            <w:tcW w:w="18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Fashion</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Pharma</w:t>
            </w:r>
          </w:p>
        </w:tc>
        <w:tc>
          <w:tcPr>
            <w:tcW w:w="740" w:type="dxa"/>
            <w:vAlign w:val="bottom"/>
            <w:gridSpan w:val="3"/>
          </w:tcPr>
          <w:p>
            <w:pPr>
              <w:ind w:left="20"/>
              <w:spacing w:after="0"/>
              <w:rPr>
                <w:sz w:val="20"/>
                <w:szCs w:val="20"/>
                <w:color w:val="auto"/>
              </w:rPr>
            </w:pPr>
            <w:r>
              <w:rPr>
                <w:rFonts w:ascii="Arial" w:cs="Arial" w:eastAsia="Arial" w:hAnsi="Arial"/>
                <w:sz w:val="18"/>
                <w:szCs w:val="18"/>
                <w:b w:val="1"/>
                <w:bCs w:val="1"/>
                <w:color w:val="auto"/>
              </w:rPr>
              <w:t>Metals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 Jan 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Dispositions</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 Dec 31</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Jan 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Dec 31</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 Dec 31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6"/>
              </w:rPr>
              <w:t>December 31, 2020</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Food</w:t>
            </w:r>
          </w:p>
        </w:tc>
        <w:tc>
          <w:tcPr>
            <w:tcW w:w="180" w:type="dxa"/>
            <w:vAlign w:val="bottom"/>
          </w:tcPr>
          <w:p>
            <w:pPr>
              <w:spacing w:after="0"/>
              <w:rPr>
                <w:sz w:val="16"/>
                <w:szCs w:val="16"/>
                <w:color w:val="auto"/>
              </w:rPr>
            </w:pPr>
          </w:p>
        </w:tc>
        <w:tc>
          <w:tcPr>
            <w:tcW w:w="82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rPr>
              <w:t>Home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Automotive</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6"/>
              </w:rPr>
              <w:t>Packaging</w:t>
            </w:r>
          </w:p>
        </w:tc>
        <w:tc>
          <w:tcPr>
            <w:tcW w:w="18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Fashion</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Pharma</w:t>
            </w:r>
          </w:p>
        </w:tc>
        <w:tc>
          <w:tcPr>
            <w:tcW w:w="740" w:type="dxa"/>
            <w:vAlign w:val="bottom"/>
            <w:gridSpan w:val="3"/>
          </w:tcPr>
          <w:p>
            <w:pPr>
              <w:ind w:left="20"/>
              <w:spacing w:after="0"/>
              <w:rPr>
                <w:sz w:val="20"/>
                <w:szCs w:val="20"/>
                <w:color w:val="auto"/>
              </w:rPr>
            </w:pPr>
            <w:r>
              <w:rPr>
                <w:rFonts w:ascii="Arial" w:cs="Arial" w:eastAsia="Arial" w:hAnsi="Arial"/>
                <w:sz w:val="18"/>
                <w:szCs w:val="18"/>
                <w:b w:val="1"/>
                <w:bCs w:val="1"/>
                <w:color w:val="auto"/>
              </w:rPr>
              <w:t>Metals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 Jan 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carrying amount, Dec 31</w:t>
            </w: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Accumulated impairment, Jan 1</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Dec 31</w:t>
            </w: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Net carrying value, Dec 31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00" w:type="dxa"/>
            <w:vAlign w:val="bottom"/>
            <w:gridSpan w:val="4"/>
          </w:tcPr>
          <w:p>
            <w:pPr>
              <w:ind w:left="340"/>
              <w:spacing w:after="0"/>
              <w:rPr>
                <w:sz w:val="20"/>
                <w:szCs w:val="20"/>
                <w:color w:val="auto"/>
              </w:rPr>
            </w:pPr>
            <w:r>
              <w:rPr>
                <w:rFonts w:ascii="Arial" w:cs="Arial" w:eastAsia="Arial" w:hAnsi="Arial"/>
                <w:sz w:val="18"/>
                <w:szCs w:val="18"/>
                <w:color w:val="auto"/>
                <w:w w:val="95"/>
              </w:rPr>
              <w:t>Intangible assets, net consists of the following:</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45"/>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3"/>
              </w:rPr>
              <w:t>December 31, 2021</w:t>
            </w: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8"/>
                <w:szCs w:val="18"/>
                <w:b w:val="1"/>
                <w:bCs w:val="1"/>
                <w:color w:val="auto"/>
                <w:w w:val="88"/>
              </w:rPr>
              <w:t>December 31, 2020</w:t>
            </w:r>
          </w:p>
        </w:tc>
        <w:tc>
          <w:tcPr>
            <w:tcW w:w="640" w:type="dxa"/>
            <w:vAlign w:val="bottom"/>
            <w:tcBorders>
              <w:bottom w:val="single" w:sz="8" w:color="auto"/>
            </w:tcBorders>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91" w:lineRule="exact"/>
              <w:rPr>
                <w:sz w:val="20"/>
                <w:szCs w:val="20"/>
                <w:color w:val="auto"/>
              </w:rPr>
            </w:pPr>
            <w:r>
              <w:rPr>
                <w:rFonts w:ascii="Arial" w:cs="Arial" w:eastAsia="Arial" w:hAnsi="Arial"/>
                <w:sz w:val="18"/>
                <w:szCs w:val="18"/>
                <w:b w:val="1"/>
                <w:bCs w:val="1"/>
                <w:color w:val="auto"/>
                <w:w w:val="96"/>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for the years ended December 31, 2021, 2020 and 2019 was $62 million, $44 million and $40 million, respectively. We utilize the straight-line method of amortization, recognized over the estimated useful lives of the assets.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60" w:type="dxa"/>
            <w:vAlign w:val="bottom"/>
            <w:gridSpan w:val="2"/>
          </w:tcPr>
          <w:p>
            <w:pPr>
              <w:ind w:left="34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7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(in millions)</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10"/>
        </w:trPr>
        <w:tc>
          <w:tcPr>
            <w:tcW w:w="7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We perform the annual goodwill impairment test for our Automotive segment as of October 1 of each year, or more frequently if impairment indicators exist.</w:t>
      </w:r>
    </w:p>
    <w:p>
      <w:pPr>
        <w:spacing w:after="0" w:line="170"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During 2021, our Automotive segment considered qualitative factors to determine that goodwill at its Service reporting unit did not require further testing for impairment.</w:t>
      </w:r>
    </w:p>
    <w:p>
      <w:pPr>
        <w:spacing w:after="0" w:line="170"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During the first quarter of 2020, due to the COVID-19 pandemic and its impact on our Automotive segment’s operations, we performed an interim goodwill impairment analysis. At such time, our Automotive segment had $250 million of goodwill, all of which was allocated to its Service reporting unit. Based on the interim impairment analysis, we determined that the fair value of our Automotive segment’s Service reporting unit was significantly in excess of its carrying value and therefore, no impairment is required. For our Automotive segment’s annual impairment test for 2020, our Automotive segment considered qualitative factors to determine that goodwill at its Service reporting unit did not require further testing for impairment.</w:t>
      </w:r>
    </w:p>
    <w:p>
      <w:pPr>
        <w:spacing w:after="0" w:line="195"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During 2019, our Automotive segment considered qualitative factors to determine that goodwill at its Service reporting unit did not require further testing for impairment.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We perform the annual goodwill impairment test for our Home Fashion segment as of October 1 of each year, or more frequently if impairment indicators exist. During the second quarter of 2020, our Home Fashion segment impaired a portion of its goodwill in the amount of $3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638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r>
      <w:tr>
        <w:trPr>
          <w:trHeight w:val="210"/>
        </w:trPr>
        <w:tc>
          <w:tcPr>
            <w:tcW w:w="6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r>
      <w:tr>
        <w:trPr>
          <w:trHeight w:val="129"/>
        </w:trPr>
        <w:tc>
          <w:tcPr>
            <w:tcW w:w="6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jc w:val="right"/>
              <w:ind w:right="450"/>
              <w:spacing w:after="0" w:line="129"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1"/>
                <w:szCs w:val="1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467</w:t>
            </w:r>
          </w:p>
        </w:tc>
        <w:tc>
          <w:tcPr>
            <w:tcW w:w="18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556</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573</w:t>
            </w:r>
          </w:p>
        </w:tc>
      </w:tr>
      <w:tr>
        <w:trPr>
          <w:trHeight w:val="216"/>
        </w:trPr>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December 31, 2021 and 2020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4.1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4.9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10.5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860" w:type="dxa"/>
            <w:vAlign w:val="bottom"/>
            <w:gridSpan w:val="4"/>
          </w:tcPr>
          <w:p>
            <w:pPr>
              <w:jc w:val="right"/>
              <w:ind w:right="298"/>
              <w:spacing w:after="0"/>
              <w:rPr>
                <w:sz w:val="20"/>
                <w:szCs w:val="20"/>
                <w:color w:val="auto"/>
              </w:rPr>
            </w:pPr>
            <w:r>
              <w:rPr>
                <w:rFonts w:ascii="Arial" w:cs="Arial" w:eastAsia="Arial" w:hAnsi="Arial"/>
                <w:sz w:val="18"/>
                <w:szCs w:val="18"/>
                <w:b w:val="1"/>
                <w:bCs w:val="1"/>
                <w:color w:val="auto"/>
                <w:w w:val="90"/>
              </w:rPr>
              <w:t>Lease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Leases as of December 31, 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gridSpan w:val="2"/>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3.1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20" w:type="dxa"/>
            <w:vAlign w:val="bottom"/>
          </w:tcPr>
          <w:p>
            <w:pPr>
              <w:spacing w:after="0"/>
              <w:rPr>
                <w:sz w:val="18"/>
                <w:szCs w:val="18"/>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4.6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11.1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tcPr>
          <w:p>
            <w:pPr>
              <w:spacing w:after="0"/>
              <w:rPr>
                <w:sz w:val="18"/>
                <w:szCs w:val="18"/>
                <w:color w:val="auto"/>
              </w:rPr>
            </w:pPr>
          </w:p>
        </w:tc>
      </w:tr>
      <w:tr>
        <w:trPr>
          <w:trHeight w:val="216"/>
        </w:trPr>
        <w:tc>
          <w:tcPr>
            <w:tcW w:w="5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6060" w:type="dxa"/>
            <w:vAlign w:val="bottom"/>
            <w:gridSpan w:val="5"/>
          </w:tcPr>
          <w:p>
            <w:pPr>
              <w:ind w:left="320"/>
              <w:spacing w:after="0"/>
              <w:rPr>
                <w:sz w:val="20"/>
                <w:szCs w:val="20"/>
                <w:color w:val="auto"/>
              </w:rPr>
            </w:pPr>
            <w:r>
              <w:rPr>
                <w:rFonts w:ascii="Arial" w:cs="Arial" w:eastAsia="Arial" w:hAnsi="Arial"/>
                <w:sz w:val="18"/>
                <w:szCs w:val="18"/>
                <w:color w:val="auto"/>
              </w:rPr>
              <w:t>Maturities of lease liabilities as of December 31, 2021 are as follows: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2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Financing</w:t>
            </w:r>
          </w:p>
        </w:tc>
      </w:tr>
      <w:tr>
        <w:trPr>
          <w:trHeight w:val="234"/>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Leases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Leases</w:t>
            </w:r>
          </w:p>
        </w:tc>
      </w:tr>
      <w:tr>
        <w:trPr>
          <w:trHeight w:val="20"/>
        </w:trPr>
        <w:tc>
          <w:tcPr>
            <w:tcW w:w="2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color w:val="auto"/>
              </w:rPr>
              <w:t>(in millions)</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For the year ended December 31, 2021, lease cost was comprised of operating lease cost of $196 million, amortization of financing lease right-of use assets of $10 million and interest expense on financing lease liabilities of $6 million. For the year ended December 31, 2020, lease cost was comprised of operating lease cost of $200 million, amortization of financing lease right-of use assets of $11 million and interest expense on financing lease liabilities of $7 million. For</w:t>
      </w:r>
    </w:p>
    <w:p>
      <w:pPr>
        <w:spacing w:after="0" w:line="1" w:lineRule="exact"/>
        <w:rPr>
          <w:sz w:val="20"/>
          <w:szCs w:val="20"/>
          <w:color w:val="auto"/>
        </w:rPr>
      </w:pPr>
    </w:p>
    <w:p>
      <w:pPr>
        <w:ind w:left="60" w:right="539"/>
        <w:spacing w:after="0" w:line="323" w:lineRule="auto"/>
        <w:rPr>
          <w:sz w:val="20"/>
          <w:szCs w:val="20"/>
          <w:color w:val="auto"/>
        </w:rPr>
      </w:pPr>
      <w:r>
        <w:rPr>
          <w:rFonts w:ascii="Arial" w:cs="Arial" w:eastAsia="Arial" w:hAnsi="Arial"/>
          <w:sz w:val="16"/>
          <w:szCs w:val="16"/>
          <w:color w:val="auto"/>
        </w:rPr>
        <w:t>the year ended December 31, 2019, lease cost was comprised of operating lease cost of $202 million, amortization of financing lease right-of use assets of $14 million and interest expense on financing lease liabilities of $7</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million. Our Automotive segment accounted for $163 million, $166 million and $173 million of total lease cost for the years ended December 31, 2021,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December 31, 2021 and 2020, our Real Estate segment has assets leased to others included in property, plant and equipment of $251 million and $222 million, respectively, net of accumulated depreciation. Our Real Estate segment’s revenue from operating leases were $8 million, $32 million and $33 million for the years ended December 31, 2021, 2020 and 2019, respectively, and are included in other revenue from operations in the consolidated statements of operations. Our Real Estate segment’s anticipated future receipts of minimum operating lease payments receivable are $3 million for 2022, $6 million in 2023, $8 million for each of 2024 and 2025, $7 million for 2026 and an aggregate of $78 million for 2027 and thereafter.</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4800" w:type="dxa"/>
            <w:vAlign w:val="bottom"/>
          </w:tcPr>
          <w:p>
            <w:pPr>
              <w:ind w:left="320"/>
              <w:spacing w:after="0"/>
              <w:rPr>
                <w:sz w:val="20"/>
                <w:szCs w:val="20"/>
                <w:color w:val="auto"/>
              </w:rPr>
            </w:pPr>
            <w:r>
              <w:rPr>
                <w:rFonts w:ascii="Arial" w:cs="Arial" w:eastAsia="Arial" w:hAnsi="Arial"/>
                <w:sz w:val="18"/>
                <w:szCs w:val="18"/>
                <w:color w:val="auto"/>
              </w:rPr>
              <w:t>Debt consists of the following:</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4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129"/>
        </w:trPr>
        <w:tc>
          <w:tcPr>
            <w:tcW w:w="4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Holding Company:</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6.250% senior unsecured notes due 2022</w:t>
            </w:r>
          </w:p>
        </w:tc>
        <w:tc>
          <w:tcPr>
            <w:tcW w:w="20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6.750% senior unsecured notes due 2024</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4.750% senior unsecured notes due 2024</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6.375% senior unsecured notes due 2025</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6.250% senior unsecured notes due 2026</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5.250% senior unsecured notes due 2027</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4.375% senior unsecured notes due 2029</w:t>
            </w:r>
          </w:p>
        </w:tc>
        <w:tc>
          <w:tcPr>
            <w:tcW w:w="1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09"/>
        </w:trPr>
        <w:tc>
          <w:tcPr>
            <w:tcW w:w="4800" w:type="dxa"/>
            <w:vAlign w:val="bottom"/>
          </w:tcPr>
          <w:p>
            <w:pPr>
              <w:spacing w:after="0"/>
              <w:rPr>
                <w:sz w:val="20"/>
                <w:szCs w:val="20"/>
                <w:color w:val="auto"/>
              </w:rPr>
            </w:pPr>
            <w:r>
              <w:rPr>
                <w:rFonts w:ascii="Arial" w:cs="Arial" w:eastAsia="Arial" w:hAnsi="Arial"/>
                <w:sz w:val="18"/>
                <w:szCs w:val="18"/>
                <w:b w:val="1"/>
                <w:bCs w:val="1"/>
                <w:color w:val="auto"/>
              </w:rPr>
              <w:t>Reporting Segments: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Automotive</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Real Estate</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Metals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48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Total Debt</w:t>
            </w:r>
          </w:p>
        </w:tc>
        <w:tc>
          <w:tcPr>
            <w:tcW w:w="18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76"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January 2021, the Issuers issued $750 million in aggregate principal amount of 4.375% senior unsecured notes due 2029. The proceeds from these notes were used to redeem $750 million principal amount of 6.250% senior unsecured notes due 2022, and to pay accrued interest, related fees and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April 2021, the Issuers issued $455 million in aggregate principal amount of 4.750% senior unsecured notes due 2024 and $250 million in aggregate principal amount of 5.250% senior unsecured notes due 2027. The proceeds from these issuances, together with cash on hand, were used to redeem in full our prior outstanding $1.35 billion principal amount of the 5.875% senior unsecured notes due 2022, and to pay accrued interest, related fees and expenses.</w:t>
      </w:r>
    </w:p>
    <w:p>
      <w:pPr>
        <w:spacing w:after="0" w:line="49" w:lineRule="exact"/>
        <w:rPr>
          <w:sz w:val="20"/>
          <w:szCs w:val="20"/>
          <w:color w:val="auto"/>
        </w:rPr>
      </w:pPr>
    </w:p>
    <w:p>
      <w:pPr>
        <w:jc w:val="both"/>
        <w:ind w:left="60" w:right="159" w:firstLine="324"/>
        <w:spacing w:after="0" w:line="311" w:lineRule="auto"/>
        <w:rPr>
          <w:sz w:val="20"/>
          <w:szCs w:val="20"/>
          <w:color w:val="auto"/>
        </w:rPr>
      </w:pPr>
      <w:r>
        <w:rPr>
          <w:rFonts w:ascii="Arial" w:cs="Arial" w:eastAsia="Arial" w:hAnsi="Arial"/>
          <w:sz w:val="16"/>
          <w:szCs w:val="16"/>
          <w:color w:val="auto"/>
        </w:rPr>
        <w:t>In January 2020, the Issuers issued $600 million in aggregate principal amount of additional 5.250% senior unsecured notes due 2027. The proceeds from this issuance were used to redeem the remaining $455 million principal amount of the 6.250% senior unsecured notes due 2022, and to pay accrued interest, related fees and expenses.</w:t>
      </w:r>
    </w:p>
    <w:p>
      <w:pPr>
        <w:spacing w:after="0" w:line="41"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In May and June 2019, the Issuers issued $1.250 billion in aggregate principal amount of 6.250% senior unsecured notes due 2026. The proceeds from these notes, together with cash on hand, were used to redeem all of the prior outstanding 6.000% senior unsecured notes due 2020 and to pay accrued interest, related fees and expenses.</w:t>
      </w:r>
    </w:p>
    <w:p>
      <w:pPr>
        <w:spacing w:after="0" w:line="41" w:lineRule="exact"/>
        <w:rPr>
          <w:sz w:val="20"/>
          <w:szCs w:val="20"/>
          <w:color w:val="auto"/>
        </w:rPr>
      </w:pPr>
    </w:p>
    <w:p>
      <w:pPr>
        <w:ind w:left="60" w:right="279" w:firstLine="324"/>
        <w:spacing w:after="0" w:line="308" w:lineRule="auto"/>
        <w:rPr>
          <w:sz w:val="20"/>
          <w:szCs w:val="20"/>
          <w:color w:val="auto"/>
        </w:rPr>
      </w:pPr>
      <w:r>
        <w:rPr>
          <w:rFonts w:ascii="Arial" w:cs="Arial" w:eastAsia="Arial" w:hAnsi="Arial"/>
          <w:sz w:val="17"/>
          <w:szCs w:val="17"/>
          <w:color w:val="auto"/>
        </w:rPr>
        <w:t>In September 2019, the Issuers issued $500 million in aggregate principal amount of 4.750% senior unsecured notes due 2024. The proceeds from these notes were used for general limited partnership purposes.</w:t>
      </w:r>
    </w:p>
    <w:p>
      <w:pPr>
        <w:spacing w:after="0" w:line="38" w:lineRule="exact"/>
        <w:rPr>
          <w:sz w:val="20"/>
          <w:szCs w:val="20"/>
          <w:color w:val="auto"/>
        </w:rPr>
      </w:pPr>
    </w:p>
    <w:p>
      <w:pPr>
        <w:ind w:left="60" w:right="319" w:firstLine="324"/>
        <w:spacing w:after="0" w:line="308" w:lineRule="auto"/>
        <w:rPr>
          <w:sz w:val="20"/>
          <w:szCs w:val="20"/>
          <w:color w:val="auto"/>
        </w:rPr>
      </w:pPr>
      <w:r>
        <w:rPr>
          <w:rFonts w:ascii="Arial" w:cs="Arial" w:eastAsia="Arial" w:hAnsi="Arial"/>
          <w:sz w:val="17"/>
          <w:szCs w:val="17"/>
          <w:color w:val="auto"/>
        </w:rPr>
        <w:t>In December 2019, the Issuers issued $750 million in aggregate principal amount of 5.250% senior unsecured notes due 2027. The proceeds from these notes were used for general limited partnership purposes.</w:t>
      </w:r>
    </w:p>
    <w:p>
      <w:pPr>
        <w:spacing w:after="0" w:line="38"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Icahn Enterprises recorded a gain on extinguishment of debt of $3 million in 2021, a loss on extinguishment of debt of $4 million in 2020 and a gain on extinguishment of debt of $2 million in 2019 in connection with the debt transactions discussed above.</w:t>
      </w:r>
    </w:p>
    <w:p>
      <w:pPr>
        <w:spacing w:after="0" w:line="76"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5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indentures governing each of our senior unsecured notes: restrict the payment of cash distributions, the purchase of equity interests or the purchase, redemption, defeasance or acquisition of debt subordinated to the senior unsecured notes; restrict the incurrence of debt or the issuance of disqualified stock, as defined in the indenture, with certain exceptions; require that on each quarterly determination date, Icahn Enterprises and the guarantor of each of the senior unsecured notes (currently only Icahn Enterprises Holdings) maintain certain minimum financial ratios, as defined therein; and restrict the creation of liens, mergers, consolidations and sales of substantially all of our assets, and transactions with affiliates. Additionally, each of the senior unsecured notes outstanding as of December 31, 2021, except for the 4.750% senior unsecured notes due 2024, the 5.250% senior unsecured notes due 2027 and the 4.375% senior unsecured notes due 2029, are subject to optional redemption premiums in the event we redeem any of the notes prior to certain dates as described in the indentures.</w:t>
      </w:r>
    </w:p>
    <w:p>
      <w:pPr>
        <w:spacing w:after="0" w:line="77"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As of December 31, 2021 and 2020, we were in compliance with all covenants, including maintaining certain minimum financial ratios, as defined in the indentures. Additionally, as of December 31, 2021, based on covenants in the indentures governing our senior unsecured notes, we are not permitted to incur additional indebtedness; however, we are permitted to issue new notes in connection with debt refinancings of existing notes.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In February 2022, we repaid all of our outstanding $500 million aggregate principal amount of 6.750% senior unsecured notes due 2024 at par.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Energy segment’s debt primarily consists of (i) $600 million in aggregate principal amount of 5.25% senior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secured notes due 2025 and $400 million in aggregate principal amount of 5.75% senior secured notes due 2028 (each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issued by CVR Energy) and (ii) $65 million in aggregate principal amount of 9.25% senior secured notes due 2023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$550 million in aggregate principal amount of 6.125% senior secured notes due 2028 (issued by CVR Partners). Interest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of these notes are accrued and paid based on contractual terms.</w:t>
      </w:r>
    </w:p>
    <w:p>
      <w:pPr>
        <w:spacing w:after="0" w:line="103"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$550 million in aggregate principal amount of 6.125% senior secured notes due 2028 were issued by CVR Partners in June 2021. Proceeds from these notes were used to fund a partial redemption of its existing 9.25% senior secured notes due 2023. During 2021, an additional $30 million of CVR Partners’ existing 9.25% senior secured notes due 2023 were redeemed and in February 2022, the remaining $65 million was redeemed. The $600 million in aggregate principal amount of 5.25% senior secured notes due 2025 and $400 million in aggregate principal amount of 5.75% senior secured notes due 2028 were issued by CVR Energy in January 2020. A portion of the net proceeds from the issuance of these notes were used to fund the redemption of CVR Energy’s existing $500 million senior secured notes due 2022 (issued by CVR Refining). The remaining net proceeds were used for CVR Energy’s general corporate purposes. In connection with these transactions, our Energy segment recorded a loss on extinguishment of debt of $8 million.</w:t>
      </w:r>
    </w:p>
    <w:p>
      <w:pPr>
        <w:spacing w:after="0" w:line="58"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57"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As of December 31, 2021 and 2020, total availability under CVR Refining and CVR Partners variable rate asset based revolving credit facilities aggregated $396 million and $385 million, respectively. CVR Refining also had $39 million and $35 million of letters of credit outstanding as of December 31, 2021 and 2020.</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As of December 31, 2020, Icahn Automotive’s debt primarily consisted of an asset-based revolving credit facility with variable interest rates. Icahn Automotive’s debt outstanding under this credit facility was $350 million as of December 31, 2020 with a maturity date in the third quarter of 2021. Interest for the credit facility was accrued and paid based on contractual terms. The interest rate on the credit facility was 2.01% as of December 31, 2020. Substantially all of Icahn Automotive’s assets were pledged as collateral under the above credit facility. Icahn Automotive also had $45 million of letters of credit outstanding as of December 31, 2020. In August 2021, all of our Automotive segment’s outstanding credit facility was repaid in full in the amount of $350 million, and the credit facility was closed.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Viskase’s debt primarily consists of a credit agreement providing for a $150 million term loan and a $30 million revolving credit facility issued in October 2020 and maturing in 2023. The proceeds from the term loan, plus cash received from Viskase’s equity private placement in October 2020, as discussed in Note 1, “Description of Business,” were used to repay in full Viskase’s existing term loan. Interest for this note is accrued and paid based on contractual terms. The interest rate on Viskase’s term loans were 2.47% and 3.72% as of December 31, 2021 and 2020,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consolidated statements of operations were $5 million, $4 million and $6 million for the years ended December 31, 2021, 2020 and 2019, respectively.</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Maturities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The following is a summary of the maturities of our debt as of December 31, 2021: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 payments (excluding financing lease payments)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Less: unamortized discounts, premiums and deferred financing fees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leases (Note 10)</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438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Income (Loss) Per LP Unit</w:t>
      </w:r>
    </w:p>
    <w:p>
      <w:pPr>
        <w:spacing w:after="0" w:line="121"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components of the computation of basic and diluted income (loss) per LP unit from continuing and discontinued operations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3"/>
              </w:rPr>
              <w:t>except per unit</w:t>
            </w:r>
          </w:p>
        </w:tc>
        <w:tc>
          <w:tcPr>
            <w:tcW w:w="1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color w:val="auto"/>
              </w:rPr>
              <w:t>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 from 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line="201" w:lineRule="exact"/>
              <w:rPr>
                <w:sz w:val="20"/>
                <w:szCs w:val="20"/>
                <w:color w:val="auto"/>
              </w:rPr>
            </w:pPr>
            <w:r>
              <w:rPr>
                <w:rFonts w:ascii="Arial" w:cs="Arial" w:eastAsia="Arial" w:hAnsi="Arial"/>
                <w:sz w:val="18"/>
                <w:szCs w:val="18"/>
                <w:color w:val="auto"/>
                <w:w w:val="94"/>
              </w:rPr>
              <w:t>Less: net income attributable to Icahn Enterprises from continuing operations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allocated 100% to general partner</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Net loss attributable to Icahn Enterprises from continuing operations allocable to</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40" w:type="dxa"/>
            <w:vAlign w:val="bottom"/>
            <w:vMerge w:val="continue"/>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(616)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(1,653)</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limited partners</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18"/>
                <w:szCs w:val="18"/>
                <w:color w:val="auto"/>
                <w:w w:val="90"/>
              </w:rPr>
              <w:t>Net loss attributable to Icahn Enterprises from continuing operations allocated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40" w:type="dxa"/>
            <w:vAlign w:val="bottom"/>
            <w:vMerge w:val="continue"/>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(1,620)</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57"/>
        </w:trPr>
        <w:tc>
          <w:tcPr>
            <w:tcW w:w="5840" w:type="dxa"/>
            <w:vAlign w:val="bottom"/>
          </w:tcPr>
          <w:p>
            <w:pPr>
              <w:ind w:left="140"/>
              <w:spacing w:after="0"/>
              <w:rPr>
                <w:sz w:val="20"/>
                <w:szCs w:val="20"/>
                <w:color w:val="auto"/>
              </w:rPr>
            </w:pPr>
            <w:r>
              <w:rPr>
                <w:rFonts w:ascii="Arial" w:cs="Arial" w:eastAsia="Arial" w:hAnsi="Arial"/>
                <w:sz w:val="18"/>
                <w:szCs w:val="18"/>
                <w:color w:val="auto"/>
              </w:rPr>
              <w:t>limited partners (98.01% allocation)</w:t>
            </w:r>
          </w:p>
        </w:tc>
        <w:tc>
          <w:tcPr>
            <w:tcW w:w="20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line="201" w:lineRule="exact"/>
              <w:rPr>
                <w:sz w:val="20"/>
                <w:szCs w:val="20"/>
                <w:color w:val="auto"/>
              </w:rPr>
            </w:pPr>
            <w:r>
              <w:rPr>
                <w:rFonts w:ascii="Arial" w:cs="Arial" w:eastAsia="Arial" w:hAnsi="Arial"/>
                <w:sz w:val="18"/>
                <w:szCs w:val="18"/>
                <w:color w:val="auto"/>
                <w:w w:val="91"/>
              </w:rPr>
              <w:t>Net loss attributable to Icahn Enterprises from discontinued operations allocable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17"/>
                <w:szCs w:val="17"/>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 limited partners</w:t>
            </w:r>
          </w:p>
        </w:tc>
        <w:tc>
          <w:tcPr>
            <w:tcW w:w="20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6"/>
              </w:rPr>
              <w:t>Net loss attributable to Icahn Enterprises from discontinued operations allocated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limited partners (98.01% allocation)</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LP unit: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loss per LP unit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LP units outstanding</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GP Allocation</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As disclosed in Note 2, “Basis of Presentation and Summary of Significant Accounting Policies - Acquisition, Investments and Disposition of Entities under Common Control,” upon the sale of common control entities, such as PSC Metals,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following table summarizes the changes in our outstanding depositary units during each of the years ended December 31, 2021, 2020 and 2019.</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Mr. Icahn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Public</w:t>
            </w:r>
          </w:p>
        </w:tc>
        <w:tc>
          <w:tcPr>
            <w:tcW w:w="102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Affiliates</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Unitholders</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175,441,588</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15,924,509</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191,366,097</w:t>
            </w: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Unit 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21,608,064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290,789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21,898,853</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 Incentive Plan</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w:t>
            </w: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At-the-market offerings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794,349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794,349</w:t>
            </w: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197,049,652</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17,028,906</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214,078,558</w:t>
            </w:r>
          </w:p>
        </w:tc>
      </w:tr>
      <w:tr>
        <w:trPr>
          <w:trHeight w:val="209"/>
        </w:trPr>
        <w:tc>
          <w:tcPr>
            <w:tcW w:w="5560" w:type="dxa"/>
            <w:vAlign w:val="bottom"/>
          </w:tcPr>
          <w:p>
            <w:pPr>
              <w:ind w:left="120"/>
              <w:spacing w:after="0"/>
              <w:rPr>
                <w:sz w:val="20"/>
                <w:szCs w:val="20"/>
                <w:color w:val="auto"/>
              </w:rPr>
            </w:pPr>
            <w:r>
              <w:rPr>
                <w:rFonts w:ascii="Arial" w:cs="Arial" w:eastAsia="Arial" w:hAnsi="Arial"/>
                <w:sz w:val="18"/>
                <w:szCs w:val="18"/>
                <w:color w:val="auto"/>
              </w:rPr>
              <w:t>Unit 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24,902,568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449,610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25,352,178</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At-the-market offerings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1,908,099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1,908,099</w:t>
            </w: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Sale to Brett Icahn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(202,758)</w:t>
            </w:r>
          </w:p>
        </w:tc>
        <w:tc>
          <w:tcPr>
            <w:tcW w:w="940" w:type="dxa"/>
            <w:vAlign w:val="bottom"/>
          </w:tcPr>
          <w:p>
            <w:pPr>
              <w:jc w:val="right"/>
              <w:spacing w:after="0"/>
              <w:rPr>
                <w:sz w:val="20"/>
                <w:szCs w:val="20"/>
                <w:color w:val="auto"/>
              </w:rPr>
            </w:pPr>
            <w:r>
              <w:rPr>
                <w:rFonts w:ascii="Arial" w:cs="Arial" w:eastAsia="Arial" w:hAnsi="Arial"/>
                <w:sz w:val="18"/>
                <w:szCs w:val="18"/>
                <w:color w:val="auto"/>
              </w:rPr>
              <w:t>202,758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221,749,462</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19,589,373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241,338,835</w:t>
            </w:r>
          </w:p>
        </w:tc>
      </w:tr>
      <w:tr>
        <w:trPr>
          <w:trHeight w:val="209"/>
        </w:trPr>
        <w:tc>
          <w:tcPr>
            <w:tcW w:w="5560" w:type="dxa"/>
            <w:vAlign w:val="bottom"/>
          </w:tcPr>
          <w:p>
            <w:pPr>
              <w:ind w:left="120"/>
              <w:spacing w:after="0"/>
              <w:rPr>
                <w:sz w:val="20"/>
                <w:szCs w:val="20"/>
                <w:color w:val="auto"/>
              </w:rPr>
            </w:pPr>
            <w:r>
              <w:rPr>
                <w:rFonts w:ascii="Arial" w:cs="Arial" w:eastAsia="Arial" w:hAnsi="Arial"/>
                <w:sz w:val="18"/>
                <w:szCs w:val="18"/>
                <w:color w:val="auto"/>
              </w:rPr>
              <w:t>Unit 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35,297,798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1,577,600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36,875,398</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 Incentive Plan</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w:t>
            </w: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At-the-market offerings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15,170,519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15,170,519</w:t>
            </w: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257,047,260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36,355,983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293,403,243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During each of the years ended December 31, 2021, 2020 and 2019, we declared four quarterly distributions. Depositary unitholders were given the option to make an election to receive the distributions in either cash or additional depositary units. If a holder did not make a timely election, it was automatically deemed to have elected to receive the distributions in additional depositary units.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At-The-Market-Offerings</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May 2019, Icahn Enterprises entered into a new Open Market Sale Agreement, pursuant to which Icahn Enterprises was able to sell its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2021, Icahn Enterprises sold depositary units pursuant to this agreement, resulting in gross proceeds of $833 million. As of December 31, 2021, we continue to have an active Open Market Sale Agreement and Icahn Enterprises may sell its depositary units for up to an additional $328 million in aggregate gross sale proceeds pursuant to this agreement entered into on December 3,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During the years ended December 31, 2021, 2020 and 2019, we distributed depositary units, net of payroll withholdings, with respect to certain restricted depositary units and deferred unit awards that vested during the respective periods in connection with the Icahn Enterprises L.P. 2017 Long Term Incentive Plan (the “2017 Incentive Plan”). The aggregate impact of the 2017 Incentive Plan is not material with respect to our consolidated financial statements, including the calculation of potentially dilutive units and diluted income per LP unit.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and Geographic Reporting</w:t>
      </w:r>
    </w:p>
    <w:p>
      <w:pPr>
        <w:spacing w:after="0" w:line="22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 Our condensed statements of operations and balance sheets by reporting segment are presented below.</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12"/>
          </w:tcPr>
          <w:p>
            <w:pPr>
              <w:ind w:left="420"/>
              <w:spacing w:after="0"/>
              <w:rPr>
                <w:sz w:val="20"/>
                <w:szCs w:val="20"/>
                <w:color w:val="auto"/>
              </w:rPr>
            </w:pPr>
            <w:r>
              <w:rPr>
                <w:rFonts w:ascii="Arial" w:cs="Arial" w:eastAsia="Arial" w:hAnsi="Arial"/>
                <w:sz w:val="13"/>
                <w:szCs w:val="13"/>
                <w:b w:val="1"/>
                <w:bCs w:val="1"/>
                <w:color w:val="auto"/>
                <w:w w:val="89"/>
              </w:rPr>
              <w:t>Year Ended December 31, 2021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40" w:type="dxa"/>
            <w:vAlign w:val="bottom"/>
          </w:tcPr>
          <w:p>
            <w:pPr>
              <w:spacing w:after="0"/>
              <w:rPr>
                <w:sz w:val="9"/>
                <w:szCs w:val="9"/>
                <w:color w:val="auto"/>
              </w:rPr>
            </w:pPr>
          </w:p>
        </w:tc>
        <w:tc>
          <w:tcPr>
            <w:tcW w:w="5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Home</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740" w:type="dxa"/>
            <w:vAlign w:val="bottom"/>
            <w:gridSpan w:val="4"/>
          </w:tcPr>
          <w:p>
            <w:pPr>
              <w:ind w:left="60"/>
              <w:spacing w:after="0" w:line="139" w:lineRule="exact"/>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2"/>
                <w:szCs w:val="12"/>
                <w:color w:val="auto"/>
              </w:rPr>
            </w:pPr>
          </w:p>
        </w:tc>
        <w:tc>
          <w:tcPr>
            <w:tcW w:w="44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86"/>
              </w:rPr>
              <w:t>Energy</w:t>
            </w:r>
          </w:p>
        </w:tc>
        <w:tc>
          <w:tcPr>
            <w:tcW w:w="760" w:type="dxa"/>
            <w:vAlign w:val="bottom"/>
            <w:gridSpan w:val="3"/>
          </w:tcPr>
          <w:p>
            <w:pPr>
              <w:ind w:left="120"/>
              <w:spacing w:after="0" w:line="139" w:lineRule="exact"/>
              <w:rPr>
                <w:sz w:val="20"/>
                <w:szCs w:val="20"/>
                <w:color w:val="auto"/>
              </w:rPr>
            </w:pPr>
            <w:r>
              <w:rPr>
                <w:rFonts w:ascii="Arial" w:cs="Arial" w:eastAsia="Arial" w:hAnsi="Arial"/>
                <w:sz w:val="13"/>
                <w:szCs w:val="13"/>
                <w:b w:val="1"/>
                <w:bCs w:val="1"/>
                <w:color w:val="auto"/>
                <w:w w:val="86"/>
              </w:rPr>
              <w:t>Automotive</w:t>
            </w:r>
          </w:p>
        </w:tc>
        <w:tc>
          <w:tcPr>
            <w:tcW w:w="700" w:type="dxa"/>
            <w:vAlign w:val="bottom"/>
            <w:gridSpan w:val="3"/>
          </w:tcPr>
          <w:p>
            <w:pPr>
              <w:ind w:left="140"/>
              <w:spacing w:after="0" w:line="139" w:lineRule="exact"/>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2"/>
                <w:szCs w:val="12"/>
                <w:color w:val="auto"/>
              </w:rPr>
            </w:pPr>
          </w:p>
        </w:tc>
        <w:tc>
          <w:tcPr>
            <w:tcW w:w="3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7"/>
              </w:rPr>
              <w:t>Estate</w:t>
            </w:r>
          </w:p>
        </w:tc>
        <w:tc>
          <w:tcPr>
            <w:tcW w:w="660" w:type="dxa"/>
            <w:vAlign w:val="bottom"/>
            <w:gridSpan w:val="4"/>
          </w:tcPr>
          <w:p>
            <w:pPr>
              <w:ind w:left="120"/>
              <w:spacing w:after="0" w:line="139" w:lineRule="exact"/>
              <w:rPr>
                <w:sz w:val="20"/>
                <w:szCs w:val="20"/>
                <w:color w:val="auto"/>
              </w:rPr>
            </w:pPr>
            <w:r>
              <w:rPr>
                <w:rFonts w:ascii="Arial" w:cs="Arial" w:eastAsia="Arial" w:hAnsi="Arial"/>
                <w:sz w:val="13"/>
                <w:szCs w:val="13"/>
                <w:b w:val="1"/>
                <w:bCs w:val="1"/>
                <w:color w:val="auto"/>
              </w:rPr>
              <w:t>Fashion</w:t>
            </w:r>
          </w:p>
        </w:tc>
        <w:tc>
          <w:tcPr>
            <w:tcW w:w="560" w:type="dxa"/>
            <w:vAlign w:val="bottom"/>
            <w:gridSpan w:val="4"/>
          </w:tcPr>
          <w:p>
            <w:pPr>
              <w:ind w:left="40"/>
              <w:spacing w:after="0" w:line="139" w:lineRule="exact"/>
              <w:rPr>
                <w:sz w:val="20"/>
                <w:szCs w:val="20"/>
                <w:color w:val="auto"/>
              </w:rPr>
            </w:pPr>
            <w:r>
              <w:rPr>
                <w:rFonts w:ascii="Arial" w:cs="Arial" w:eastAsia="Arial" w:hAnsi="Arial"/>
                <w:sz w:val="13"/>
                <w:szCs w:val="13"/>
                <w:b w:val="1"/>
                <w:bCs w:val="1"/>
                <w:color w:val="auto"/>
              </w:rPr>
              <w:t>Pharma</w:t>
            </w:r>
          </w:p>
        </w:tc>
        <w:tc>
          <w:tcPr>
            <w:tcW w:w="40" w:type="dxa"/>
            <w:vAlign w:val="bottom"/>
          </w:tcPr>
          <w:p>
            <w:pPr>
              <w:spacing w:after="0"/>
              <w:rPr>
                <w:sz w:val="12"/>
                <w:szCs w:val="12"/>
                <w:color w:val="auto"/>
              </w:rPr>
            </w:pPr>
          </w:p>
        </w:tc>
        <w:tc>
          <w:tcPr>
            <w:tcW w:w="3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8"/>
              </w:rPr>
              <w:t>Metals</w:t>
            </w:r>
          </w:p>
        </w:tc>
        <w:tc>
          <w:tcPr>
            <w:tcW w:w="540" w:type="dxa"/>
            <w:vAlign w:val="bottom"/>
            <w:gridSpan w:val="3"/>
          </w:tcPr>
          <w:p>
            <w:pPr>
              <w:ind w:left="140"/>
              <w:spacing w:after="0" w:line="139" w:lineRule="exact"/>
              <w:rPr>
                <w:sz w:val="20"/>
                <w:szCs w:val="20"/>
                <w:color w:val="auto"/>
              </w:rPr>
            </w:pPr>
            <w:r>
              <w:rPr>
                <w:rFonts w:ascii="Arial" w:cs="Arial" w:eastAsia="Arial" w:hAnsi="Arial"/>
                <w:sz w:val="13"/>
                <w:szCs w:val="13"/>
                <w:b w:val="1"/>
                <w:bCs w:val="1"/>
                <w:color w:val="auto"/>
                <w:w w:val="90"/>
              </w:rPr>
              <w:t>Mining</w:t>
            </w:r>
          </w:p>
        </w:tc>
        <w:tc>
          <w:tcPr>
            <w:tcW w:w="660" w:type="dxa"/>
            <w:vAlign w:val="bottom"/>
            <w:gridSpan w:val="3"/>
          </w:tcPr>
          <w:p>
            <w:pPr>
              <w:ind w:left="140"/>
              <w:spacing w:after="0" w:line="139" w:lineRule="exact"/>
              <w:rPr>
                <w:sz w:val="20"/>
                <w:szCs w:val="20"/>
                <w:color w:val="auto"/>
              </w:rPr>
            </w:pPr>
            <w:r>
              <w:rPr>
                <w:rFonts w:ascii="Arial" w:cs="Arial" w:eastAsia="Arial" w:hAnsi="Arial"/>
                <w:sz w:val="13"/>
                <w:szCs w:val="13"/>
                <w:b w:val="1"/>
                <w:bCs w:val="1"/>
                <w:color w:val="auto"/>
                <w:w w:val="84"/>
              </w:rPr>
              <w:t>Company</w:t>
            </w:r>
          </w:p>
        </w:tc>
        <w:tc>
          <w:tcPr>
            <w:tcW w:w="140" w:type="dxa"/>
            <w:vAlign w:val="bottom"/>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Pr>
          <w:p>
            <w:pPr>
              <w:ind w:left="20"/>
              <w:spacing w:after="0" w:line="122" w:lineRule="exact"/>
              <w:rPr>
                <w:sz w:val="20"/>
                <w:szCs w:val="20"/>
                <w:color w:val="auto"/>
              </w:rPr>
            </w:pPr>
            <w:r>
              <w:rPr>
                <w:rFonts w:ascii="Arial" w:cs="Arial" w:eastAsia="Arial" w:hAnsi="Arial"/>
                <w:sz w:val="12"/>
                <w:szCs w:val="12"/>
                <w:color w:val="auto"/>
                <w:w w:val="74"/>
              </w:rPr>
              <w:t>(in</w:t>
            </w:r>
          </w:p>
        </w:tc>
        <w:tc>
          <w:tcPr>
            <w:tcW w:w="420" w:type="dxa"/>
            <w:vAlign w:val="bottom"/>
            <w:tcBorders>
              <w:top w:val="single" w:sz="8" w:color="auto"/>
            </w:tcBorders>
            <w:gridSpan w:val="2"/>
          </w:tcPr>
          <w:p>
            <w:pPr>
              <w:ind w:left="40"/>
              <w:spacing w:after="0" w:line="122" w:lineRule="exact"/>
              <w:rPr>
                <w:sz w:val="20"/>
                <w:szCs w:val="20"/>
                <w:color w:val="auto"/>
              </w:rPr>
            </w:pPr>
            <w:r>
              <w:rPr>
                <w:rFonts w:ascii="Arial" w:cs="Arial" w:eastAsia="Arial" w:hAnsi="Arial"/>
                <w:sz w:val="13"/>
                <w:szCs w:val="13"/>
                <w:color w:val="auto"/>
                <w:w w:val="75"/>
              </w:rPr>
              <w:t>millions)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7,242</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1,789</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416</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10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8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524</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10,304</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9"/>
              </w:rPr>
              <w:t>Other revenues from operations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21"/>
        </w:trPr>
        <w:tc>
          <w:tcPr>
            <w:tcW w:w="1940" w:type="dxa"/>
            <w:vAlign w:val="bottom"/>
          </w:tcPr>
          <w:p>
            <w:pPr>
              <w:ind w:left="100"/>
              <w:spacing w:after="0" w:line="121" w:lineRule="exact"/>
              <w:rPr>
                <w:sz w:val="20"/>
                <w:szCs w:val="20"/>
                <w:color w:val="auto"/>
              </w:rPr>
            </w:pPr>
            <w:r>
              <w:rPr>
                <w:rFonts w:ascii="Arial" w:cs="Arial" w:eastAsia="Arial" w:hAnsi="Arial"/>
                <w:sz w:val="13"/>
                <w:szCs w:val="13"/>
                <w:color w:val="auto"/>
              </w:rPr>
              <w:t>Net gain (loss) from investment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220"/>
              <w:spacing w:after="0"/>
              <w:rPr>
                <w:sz w:val="20"/>
                <w:szCs w:val="20"/>
                <w:color w:val="auto"/>
              </w:rPr>
            </w:pPr>
            <w:r>
              <w:rPr>
                <w:rFonts w:ascii="Arial" w:cs="Arial" w:eastAsia="Arial" w:hAnsi="Arial"/>
                <w:sz w:val="13"/>
                <w:szCs w:val="13"/>
                <w:color w:val="auto"/>
              </w:rPr>
              <w:t>activities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21"/>
        </w:trPr>
        <w:tc>
          <w:tcPr>
            <w:tcW w:w="1940" w:type="dxa"/>
            <w:vAlign w:val="bottom"/>
          </w:tcPr>
          <w:p>
            <w:pPr>
              <w:ind w:left="100"/>
              <w:spacing w:after="0" w:line="121" w:lineRule="exact"/>
              <w:rPr>
                <w:sz w:val="20"/>
                <w:szCs w:val="20"/>
                <w:color w:val="auto"/>
              </w:rPr>
            </w:pPr>
            <w:r>
              <w:rPr>
                <w:rFonts w:ascii="Arial" w:cs="Arial" w:eastAsia="Arial" w:hAnsi="Arial"/>
                <w:sz w:val="13"/>
                <w:szCs w:val="13"/>
                <w:color w:val="auto"/>
              </w:rPr>
              <w:t>(Loss) gain on disposition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220"/>
              <w:spacing w:after="0"/>
              <w:rPr>
                <w:sz w:val="20"/>
                <w:szCs w:val="20"/>
                <w:color w:val="auto"/>
              </w:rPr>
            </w:pPr>
            <w:r>
              <w:rPr>
                <w:rFonts w:ascii="Arial" w:cs="Arial" w:eastAsia="Arial" w:hAnsi="Arial"/>
                <w:sz w:val="13"/>
                <w:szCs w:val="13"/>
                <w:color w:val="auto"/>
              </w:rPr>
              <w:t>assets, net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28"/>
        </w:trPr>
        <w:tc>
          <w:tcPr>
            <w:tcW w:w="1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7,327</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402</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85</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684</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11,328</w:t>
            </w:r>
          </w:p>
        </w:tc>
        <w:tc>
          <w:tcPr>
            <w:tcW w:w="0" w:type="dxa"/>
            <w:vAlign w:val="bottom"/>
          </w:tcPr>
          <w:p>
            <w:pPr>
              <w:spacing w:after="0"/>
              <w:rPr>
                <w:sz w:val="1"/>
                <w:szCs w:val="1"/>
                <w:color w:val="auto"/>
              </w:rPr>
            </w:pPr>
          </w:p>
        </w:tc>
      </w:tr>
      <w:tr>
        <w:trPr>
          <w:trHeight w:val="128"/>
        </w:trPr>
        <w:tc>
          <w:tcPr>
            <w:tcW w:w="1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Expenses: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7,069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1,335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9,481</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7"/>
              </w:rPr>
              <w:t>Other expenses from operations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w w:val="91"/>
              </w:rPr>
              <w:t>Selling, general and administrative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880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1940" w:type="dxa"/>
            <w:vAlign w:val="bottom"/>
          </w:tcPr>
          <w:p>
            <w:pPr>
              <w:ind w:left="100"/>
              <w:spacing w:after="0" w:line="135" w:lineRule="exact"/>
              <w:rPr>
                <w:sz w:val="20"/>
                <w:szCs w:val="20"/>
                <w:color w:val="auto"/>
              </w:rPr>
            </w:pPr>
            <w:r>
              <w:rPr>
                <w:rFonts w:ascii="Arial" w:cs="Arial" w:eastAsia="Arial" w:hAnsi="Arial"/>
                <w:sz w:val="13"/>
                <w:szCs w:val="13"/>
                <w:color w:val="auto"/>
              </w:rPr>
              <w:t>Impairment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29"/>
        </w:trPr>
        <w:tc>
          <w:tcPr>
            <w:tcW w:w="1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7,325</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2,692</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400</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104</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498</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358</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11,906</w:t>
            </w:r>
          </w:p>
        </w:tc>
        <w:tc>
          <w:tcPr>
            <w:tcW w:w="0" w:type="dxa"/>
            <w:vAlign w:val="bottom"/>
          </w:tcPr>
          <w:p>
            <w:pPr>
              <w:spacing w:after="0"/>
              <w:rPr>
                <w:sz w:val="1"/>
                <w:szCs w:val="1"/>
                <w:color w:val="auto"/>
              </w:rPr>
            </w:pPr>
          </w:p>
        </w:tc>
      </w:tr>
      <w:tr>
        <w:trPr>
          <w:trHeight w:val="101"/>
        </w:trPr>
        <w:tc>
          <w:tcPr>
            <w:tcW w:w="194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(Loss) income from continuing</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operations before income tax</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benefit (expense)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28"/>
        </w:trPr>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(loss) income</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21"/>
        </w:trPr>
        <w:tc>
          <w:tcPr>
            <w:tcW w:w="1940" w:type="dxa"/>
            <w:vAlign w:val="bottom"/>
          </w:tcPr>
          <w:p>
            <w:pPr>
              <w:spacing w:after="0" w:line="121" w:lineRule="exact"/>
              <w:rPr>
                <w:sz w:val="20"/>
                <w:szCs w:val="20"/>
                <w:color w:val="auto"/>
              </w:rPr>
            </w:pPr>
            <w:r>
              <w:rPr>
                <w:rFonts w:ascii="Arial" w:cs="Arial" w:eastAsia="Arial" w:hAnsi="Arial"/>
                <w:sz w:val="13"/>
                <w:szCs w:val="13"/>
                <w:color w:val="auto"/>
              </w:rPr>
              <w:t>Less: net (loss) income from</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120"/>
              <w:spacing w:after="0" w:line="135" w:lineRule="exact"/>
              <w:rPr>
                <w:sz w:val="20"/>
                <w:szCs w:val="20"/>
                <w:color w:val="auto"/>
              </w:rPr>
            </w:pPr>
            <w:r>
              <w:rPr>
                <w:rFonts w:ascii="Arial" w:cs="Arial" w:eastAsia="Arial" w:hAnsi="Arial"/>
                <w:sz w:val="13"/>
                <w:szCs w:val="13"/>
                <w:color w:val="auto"/>
                <w:w w:val="93"/>
              </w:rPr>
              <w:t>continuing operations attributable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120"/>
              <w:spacing w:after="0"/>
              <w:rPr>
                <w:sz w:val="20"/>
                <w:szCs w:val="20"/>
                <w:color w:val="auto"/>
              </w:rPr>
            </w:pPr>
            <w:r>
              <w:rPr>
                <w:rFonts w:ascii="Arial" w:cs="Arial" w:eastAsia="Arial" w:hAnsi="Arial"/>
                <w:sz w:val="13"/>
                <w:szCs w:val="13"/>
                <w:color w:val="auto"/>
              </w:rPr>
              <w:t>to non-controlling interests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01"/>
        </w:trPr>
        <w:tc>
          <w:tcPr>
            <w:tcW w:w="194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w:t>
            </w: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operations attributable to Icahn</w:t>
            </w:r>
          </w:p>
        </w:tc>
        <w:tc>
          <w:tcPr>
            <w:tcW w:w="2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380" w:type="dxa"/>
            <w:vAlign w:val="bottom"/>
            <w:gridSpan w:val="2"/>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Enterprises</w:t>
            </w: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60"/>
        </w:trPr>
        <w:tc>
          <w:tcPr>
            <w:tcW w:w="194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343</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87</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14</w:t>
            </w: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3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11"/>
          </w:tcPr>
          <w:p>
            <w:pPr>
              <w:jc w:val="right"/>
              <w:spacing w:after="0"/>
              <w:rPr>
                <w:sz w:val="20"/>
                <w:szCs w:val="20"/>
                <w:color w:val="auto"/>
              </w:rPr>
            </w:pPr>
            <w:r>
              <w:rPr>
                <w:rFonts w:ascii="Arial" w:cs="Arial" w:eastAsia="Arial" w:hAnsi="Arial"/>
                <w:sz w:val="13"/>
                <w:szCs w:val="13"/>
                <w:b w:val="1"/>
                <w:bCs w:val="1"/>
                <w:color w:val="auto"/>
              </w:rPr>
              <w:t>Year Ended December 31, 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20" w:type="dxa"/>
            <w:vAlign w:val="bottom"/>
          </w:tcPr>
          <w:p>
            <w:pPr>
              <w:spacing w:after="0"/>
              <w:rPr>
                <w:sz w:val="9"/>
                <w:szCs w:val="9"/>
                <w:color w:val="auto"/>
              </w:rPr>
            </w:pPr>
          </w:p>
        </w:tc>
        <w:tc>
          <w:tcPr>
            <w:tcW w:w="50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8"/>
              </w:rPr>
              <w:t>Holding</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w w:val="87"/>
              </w:rPr>
              <w:t>Estate</w:t>
            </w:r>
          </w:p>
        </w:tc>
        <w:tc>
          <w:tcPr>
            <w:tcW w:w="620" w:type="dxa"/>
            <w:vAlign w:val="bottom"/>
            <w:gridSpan w:val="4"/>
          </w:tcPr>
          <w:p>
            <w:pPr>
              <w:ind w:left="120"/>
              <w:spacing w:after="0"/>
              <w:rPr>
                <w:sz w:val="20"/>
                <w:szCs w:val="20"/>
                <w:color w:val="auto"/>
              </w:rPr>
            </w:pPr>
            <w:r>
              <w:rPr>
                <w:rFonts w:ascii="Arial" w:cs="Arial" w:eastAsia="Arial" w:hAnsi="Arial"/>
                <w:sz w:val="13"/>
                <w:szCs w:val="13"/>
                <w:b w:val="1"/>
                <w:bCs w:val="1"/>
                <w:color w:val="auto"/>
                <w:w w:val="96"/>
              </w:rPr>
              <w:t>Fashion</w:t>
            </w:r>
          </w:p>
        </w:tc>
        <w:tc>
          <w:tcPr>
            <w:tcW w:w="500" w:type="dxa"/>
            <w:vAlign w:val="bottom"/>
            <w:gridSpan w:val="3"/>
          </w:tcPr>
          <w:p>
            <w:pPr>
              <w:ind w:left="60"/>
              <w:spacing w:after="0"/>
              <w:rPr>
                <w:sz w:val="20"/>
                <w:szCs w:val="20"/>
                <w:color w:val="auto"/>
              </w:rPr>
            </w:pPr>
            <w:r>
              <w:rPr>
                <w:rFonts w:ascii="Arial" w:cs="Arial" w:eastAsia="Arial" w:hAnsi="Arial"/>
                <w:sz w:val="13"/>
                <w:szCs w:val="13"/>
                <w:b w:val="1"/>
                <w:bCs w:val="1"/>
                <w:color w:val="auto"/>
                <w:w w:val="87"/>
              </w:rPr>
              <w:t>Pharma</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3"/>
                <w:szCs w:val="13"/>
                <w:b w:val="1"/>
                <w:bCs w:val="1"/>
                <w:color w:val="auto"/>
                <w:w w:val="88"/>
              </w:rPr>
              <w:t>Metals</w:t>
            </w:r>
          </w:p>
        </w:tc>
        <w:tc>
          <w:tcPr>
            <w:tcW w:w="54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Mining</w:t>
            </w:r>
          </w:p>
        </w:tc>
        <w:tc>
          <w:tcPr>
            <w:tcW w:w="1460" w:type="dxa"/>
            <w:vAlign w:val="bottom"/>
            <w:gridSpan w:val="6"/>
          </w:tcPr>
          <w:p>
            <w:pPr>
              <w:ind w:left="140"/>
              <w:spacing w:after="0"/>
              <w:rPr>
                <w:sz w:val="20"/>
                <w:szCs w:val="20"/>
                <w:color w:val="auto"/>
              </w:rPr>
            </w:pPr>
            <w:r>
              <w:rPr>
                <w:rFonts w:ascii="Arial" w:cs="Arial" w:eastAsia="Arial" w:hAnsi="Arial"/>
                <w:sz w:val="13"/>
                <w:szCs w:val="13"/>
                <w:b w:val="1"/>
                <w:bCs w:val="1"/>
                <w:color w:val="auto"/>
                <w:w w:val="89"/>
              </w:rPr>
              <w:t>Company Consolidated</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ind w:left="220"/>
              <w:spacing w:after="0" w:line="115" w:lineRule="exact"/>
              <w:rPr>
                <w:sz w:val="20"/>
                <w:szCs w:val="20"/>
                <w:color w:val="auto"/>
              </w:rPr>
            </w:pPr>
            <w:r>
              <w:rPr>
                <w:rFonts w:ascii="Arial" w:cs="Arial" w:eastAsia="Arial" w:hAnsi="Arial"/>
                <w:sz w:val="13"/>
                <w:szCs w:val="13"/>
                <w:color w:val="auto"/>
              </w:rPr>
              <w:t>(in</w:t>
            </w:r>
          </w:p>
        </w:tc>
        <w:tc>
          <w:tcPr>
            <w:tcW w:w="440" w:type="dxa"/>
            <w:vAlign w:val="bottom"/>
            <w:gridSpan w:val="2"/>
          </w:tcPr>
          <w:p>
            <w:pPr>
              <w:spacing w:after="0" w:line="115" w:lineRule="exact"/>
              <w:rPr>
                <w:sz w:val="20"/>
                <w:szCs w:val="20"/>
                <w:color w:val="auto"/>
              </w:rPr>
            </w:pPr>
            <w:r>
              <w:rPr>
                <w:rFonts w:ascii="Arial" w:cs="Arial" w:eastAsia="Arial" w:hAnsi="Arial"/>
                <w:sz w:val="13"/>
                <w:szCs w:val="13"/>
                <w:color w:val="auto"/>
                <w:w w:val="88"/>
              </w:rPr>
              <w:t>millions)</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3,930</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1,929</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409</w:t>
            </w:r>
          </w:p>
        </w:tc>
        <w:tc>
          <w:tcPr>
            <w:tcW w:w="2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188</w:t>
            </w:r>
          </w:p>
        </w:tc>
        <w:tc>
          <w:tcPr>
            <w:tcW w:w="60" w:type="dxa"/>
            <w:vAlign w:val="bottom"/>
          </w:tcPr>
          <w:p>
            <w:pPr>
              <w:spacing w:after="0"/>
              <w:rPr>
                <w:sz w:val="11"/>
                <w:szCs w:val="11"/>
                <w:color w:val="auto"/>
              </w:rPr>
            </w:pPr>
          </w:p>
        </w:tc>
        <w:tc>
          <w:tcPr>
            <w:tcW w:w="2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313</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6,815</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21"/>
        </w:trPr>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Net (loss) gain from investment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rPr>
                <w:sz w:val="20"/>
                <w:szCs w:val="20"/>
                <w:color w:val="auto"/>
              </w:rPr>
            </w:pPr>
            <w:r>
              <w:rPr>
                <w:rFonts w:ascii="Arial" w:cs="Arial" w:eastAsia="Arial" w:hAnsi="Arial"/>
                <w:sz w:val="13"/>
                <w:szCs w:val="13"/>
                <w:color w:val="auto"/>
              </w:rPr>
              <w:t>activities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(1,421)</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21"/>
        </w:trPr>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w w:val="94"/>
              </w:rPr>
              <w:t>(Loss) gain on disposition of assets,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rPr>
                <w:sz w:val="20"/>
                <w:szCs w:val="20"/>
                <w:color w:val="auto"/>
              </w:rPr>
            </w:pPr>
            <w:r>
              <w:rPr>
                <w:rFonts w:ascii="Arial" w:cs="Arial" w:eastAsia="Arial" w:hAnsi="Arial"/>
                <w:sz w:val="13"/>
                <w:szCs w:val="13"/>
                <w:color w:val="auto"/>
              </w:rPr>
              <w:t>net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3,966</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317</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6,123</w:t>
            </w:r>
          </w:p>
        </w:tc>
        <w:tc>
          <w:tcPr>
            <w:tcW w:w="0" w:type="dxa"/>
            <w:vAlign w:val="bottom"/>
          </w:tcPr>
          <w:p>
            <w:pPr>
              <w:spacing w:after="0"/>
              <w:rPr>
                <w:sz w:val="1"/>
                <w:szCs w:val="1"/>
                <w:color w:val="auto"/>
              </w:rPr>
            </w:pPr>
          </w:p>
        </w:tc>
      </w:tr>
      <w:tr>
        <w:trPr>
          <w:trHeight w:val="128"/>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Expenses: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4,164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298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6,320</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w w:val="98"/>
              </w:rPr>
              <w:t>Selling, general and administrative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Impairment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342</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4,405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2,717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114</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317</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8,707</w:t>
            </w:r>
          </w:p>
        </w:tc>
        <w:tc>
          <w:tcPr>
            <w:tcW w:w="0" w:type="dxa"/>
            <w:vAlign w:val="bottom"/>
          </w:tcPr>
          <w:p>
            <w:pPr>
              <w:spacing w:after="0"/>
              <w:rPr>
                <w:sz w:val="1"/>
                <w:szCs w:val="1"/>
                <w:color w:val="auto"/>
              </w:rPr>
            </w:pPr>
          </w:p>
        </w:tc>
      </w:tr>
      <w:tr>
        <w:trPr>
          <w:trHeight w:val="101"/>
        </w:trPr>
        <w:tc>
          <w:tcPr>
            <w:tcW w:w="20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(Loss) income from continuing</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2"/>
              </w:rPr>
              <w:t>operations before income tax benefit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(2,584)</w:t>
            </w:r>
          </w:p>
        </w:tc>
        <w:tc>
          <w:tcPr>
            <w:tcW w:w="0" w:type="dxa"/>
            <w:vAlign w:val="bottom"/>
          </w:tcPr>
          <w:p>
            <w:pPr>
              <w:spacing w:after="0"/>
              <w:rPr>
                <w:sz w:val="1"/>
                <w:szCs w:val="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01"/>
        </w:trPr>
        <w:tc>
          <w:tcPr>
            <w:tcW w:w="20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w:t>
            </w: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w w:val="91"/>
              </w:rPr>
              <w:t>Less: net (loss) income from continuing</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20"/>
              <w:spacing w:after="0" w:line="135" w:lineRule="exact"/>
              <w:rPr>
                <w:sz w:val="20"/>
                <w:szCs w:val="20"/>
                <w:color w:val="auto"/>
              </w:rPr>
            </w:pPr>
            <w:r>
              <w:rPr>
                <w:rFonts w:ascii="Arial" w:cs="Arial" w:eastAsia="Arial" w:hAnsi="Arial"/>
                <w:sz w:val="13"/>
                <w:szCs w:val="13"/>
                <w:color w:val="auto"/>
              </w:rPr>
              <w:t>operations attributable to non-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20"/>
              <w:spacing w:after="0"/>
              <w:rPr>
                <w:sz w:val="20"/>
                <w:szCs w:val="20"/>
                <w:color w:val="auto"/>
              </w:rPr>
            </w:pPr>
            <w:r>
              <w:rPr>
                <w:rFonts w:ascii="Arial" w:cs="Arial" w:eastAsia="Arial" w:hAnsi="Arial"/>
                <w:sz w:val="13"/>
                <w:szCs w:val="13"/>
                <w:color w:val="auto"/>
              </w:rPr>
              <w:t>controlling interests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01"/>
        </w:trPr>
        <w:tc>
          <w:tcPr>
            <w:tcW w:w="208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w:t>
            </w: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operations attributable to Icahn</w:t>
            </w:r>
          </w:p>
        </w:tc>
        <w:tc>
          <w:tcPr>
            <w:tcW w:w="20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6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Enterprises</w:t>
            </w:r>
          </w:p>
        </w:tc>
        <w:tc>
          <w:tcPr>
            <w:tcW w:w="2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60"/>
        </w:trPr>
        <w:tc>
          <w:tcPr>
            <w:tcW w:w="208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343</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2"/>
              </w:rPr>
              <w:t>Year Ended December 31, 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7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Investment</w:t>
            </w:r>
          </w:p>
        </w:tc>
        <w:tc>
          <w:tcPr>
            <w:tcW w:w="560" w:type="dxa"/>
            <w:vAlign w:val="bottom"/>
            <w:gridSpan w:val="3"/>
          </w:tcPr>
          <w:p>
            <w:pPr>
              <w:jc w:val="right"/>
              <w:ind w:right="140"/>
              <w:spacing w:after="0" w:line="139" w:lineRule="exact"/>
              <w:rPr>
                <w:sz w:val="20"/>
                <w:szCs w:val="20"/>
                <w:color w:val="auto"/>
              </w:rPr>
            </w:pPr>
            <w:r>
              <w:rPr>
                <w:rFonts w:ascii="Arial" w:cs="Arial" w:eastAsia="Arial" w:hAnsi="Arial"/>
                <w:sz w:val="13"/>
                <w:szCs w:val="13"/>
                <w:b w:val="1"/>
                <w:bCs w:val="1"/>
                <w:color w:val="auto"/>
                <w:w w:val="90"/>
              </w:rPr>
              <w:t>Energy</w:t>
            </w:r>
          </w:p>
        </w:tc>
        <w:tc>
          <w:tcPr>
            <w:tcW w:w="7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Pharma</w:t>
            </w:r>
          </w:p>
        </w:tc>
        <w:tc>
          <w:tcPr>
            <w:tcW w:w="5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Metals</w:t>
            </w:r>
          </w:p>
        </w:tc>
        <w:tc>
          <w:tcPr>
            <w:tcW w:w="5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Mining</w:t>
            </w:r>
          </w:p>
        </w:tc>
        <w:tc>
          <w:tcPr>
            <w:tcW w:w="6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2"/>
                <w:szCs w:val="12"/>
                <w:color w:val="auto"/>
                <w:w w:val="74"/>
              </w:rPr>
              <w:t>(in</w:t>
            </w:r>
          </w:p>
        </w:tc>
        <w:tc>
          <w:tcPr>
            <w:tcW w:w="420" w:type="dxa"/>
            <w:vAlign w:val="bottom"/>
            <w:tcBorders>
              <w:top w:val="single" w:sz="8" w:color="auto"/>
            </w:tcBorders>
            <w:gridSpan w:val="2"/>
          </w:tcPr>
          <w:p>
            <w:pPr>
              <w:ind w:left="20"/>
              <w:spacing w:after="0" w:line="122" w:lineRule="exact"/>
              <w:rPr>
                <w:sz w:val="20"/>
                <w:szCs w:val="20"/>
                <w:color w:val="auto"/>
              </w:rPr>
            </w:pPr>
            <w:r>
              <w:rPr>
                <w:rFonts w:ascii="Arial" w:cs="Arial" w:eastAsia="Arial" w:hAnsi="Arial"/>
                <w:sz w:val="13"/>
                <w:szCs w:val="13"/>
                <w:color w:val="auto"/>
                <w:w w:val="79"/>
              </w:rPr>
              <w:t>millions)</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6,364</w:t>
            </w:r>
          </w:p>
        </w:tc>
        <w:tc>
          <w:tcPr>
            <w:tcW w:w="14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2,293</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385</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187</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340</w:t>
            </w:r>
          </w:p>
        </w:tc>
        <w:tc>
          <w:tcPr>
            <w:tcW w:w="12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9,722</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(1,599)</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(332)</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21"/>
        </w:trPr>
        <w:tc>
          <w:tcPr>
            <w:tcW w:w="2120" w:type="dxa"/>
            <w:vAlign w:val="bottom"/>
          </w:tcPr>
          <w:p>
            <w:pPr>
              <w:ind w:left="120"/>
              <w:spacing w:after="0" w:line="121" w:lineRule="exact"/>
              <w:rPr>
                <w:sz w:val="20"/>
                <w:szCs w:val="20"/>
                <w:color w:val="auto"/>
              </w:rPr>
            </w:pPr>
            <w:r>
              <w:rPr>
                <w:rFonts w:ascii="Arial" w:cs="Arial" w:eastAsia="Arial" w:hAnsi="Arial"/>
                <w:sz w:val="13"/>
                <w:szCs w:val="13"/>
                <w:color w:val="auto"/>
                <w:w w:val="96"/>
              </w:rPr>
              <w:t>Gain (loss) on disposition of assets,</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40"/>
              <w:spacing w:after="0"/>
              <w:rPr>
                <w:sz w:val="20"/>
                <w:szCs w:val="20"/>
                <w:color w:val="auto"/>
              </w:rPr>
            </w:pPr>
            <w:r>
              <w:rPr>
                <w:rFonts w:ascii="Arial" w:cs="Arial" w:eastAsia="Arial" w:hAnsi="Arial"/>
                <w:sz w:val="13"/>
                <w:szCs w:val="13"/>
                <w:color w:val="auto"/>
              </w:rPr>
              <w:t>net</w:t>
            </w:r>
          </w:p>
        </w:tc>
        <w:tc>
          <w:tcPr>
            <w:tcW w:w="1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8"/>
        </w:trPr>
        <w:tc>
          <w:tcPr>
            <w:tcW w:w="2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(1,414)</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6,385</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2,895</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103</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186</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341</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382</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8,994</w:t>
            </w: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5,707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1,615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159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8,205</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Arial" w:cs="Arial" w:eastAsia="Arial" w:hAnsi="Arial"/>
                <w:sz w:val="13"/>
                <w:szCs w:val="13"/>
                <w:color w:val="auto"/>
                <w:w w:val="99"/>
              </w:rPr>
              <w:t>Selling, general and administrative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28"/>
        </w:trPr>
        <w:tc>
          <w:tcPr>
            <w:tcW w:w="2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5,959</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3,147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393</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203</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363</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376</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10,733</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(Loss) income from continuing</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operations before income tax</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 benefit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(1,543)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(637)</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01"/>
        </w:trPr>
        <w:tc>
          <w:tcPr>
            <w:tcW w:w="2120" w:type="dxa"/>
            <w:vAlign w:val="bottom"/>
            <w:tcBorders>
              <w:top w:val="single" w:sz="8" w:color="CCEEFF"/>
            </w:tcBorders>
            <w:shd w:val="clear" w:color="auto" w:fill="CCEEFF"/>
          </w:tcPr>
          <w:p>
            <w:pPr>
              <w:ind w:left="20"/>
              <w:spacing w:after="0" w:line="101" w:lineRule="exact"/>
              <w:rPr>
                <w:sz w:val="20"/>
                <w:szCs w:val="20"/>
                <w:color w:val="auto"/>
              </w:rPr>
            </w:pPr>
            <w:r>
              <w:rPr>
                <w:rFonts w:ascii="Arial" w:cs="Arial" w:eastAsia="Arial" w:hAnsi="Arial"/>
                <w:sz w:val="10"/>
                <w:szCs w:val="10"/>
                <w:color w:val="auto"/>
              </w:rPr>
              <w:t>Net (loss) income from continuing</w:t>
            </w: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operations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(1,543)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(599)</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1" w:lineRule="exact"/>
              <w:rPr>
                <w:sz w:val="20"/>
                <w:szCs w:val="20"/>
                <w:color w:val="auto"/>
              </w:rPr>
            </w:pPr>
            <w:r>
              <w:rPr>
                <w:rFonts w:ascii="Arial" w:cs="Arial" w:eastAsia="Arial" w:hAnsi="Arial"/>
                <w:sz w:val="13"/>
                <w:szCs w:val="13"/>
                <w:color w:val="auto"/>
              </w:rPr>
              <w:t>Less: net (loss) income from</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140"/>
              <w:spacing w:after="0" w:line="135" w:lineRule="exact"/>
              <w:rPr>
                <w:sz w:val="20"/>
                <w:szCs w:val="20"/>
                <w:color w:val="auto"/>
              </w:rPr>
            </w:pPr>
            <w:r>
              <w:rPr>
                <w:rFonts w:ascii="Arial" w:cs="Arial" w:eastAsia="Arial" w:hAnsi="Arial"/>
                <w:sz w:val="13"/>
                <w:szCs w:val="13"/>
                <w:color w:val="auto"/>
                <w:w w:val="95"/>
              </w:rPr>
              <w:t>continuing operations attributable to</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(768)</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380" w:type="dxa"/>
            <w:vAlign w:val="bottom"/>
            <w:gridSpan w:val="2"/>
          </w:tcPr>
          <w:p>
            <w:pPr>
              <w:jc w:val="right"/>
              <w:ind w:right="10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01"/>
        </w:trPr>
        <w:tc>
          <w:tcPr>
            <w:tcW w:w="2120" w:type="dxa"/>
            <w:vAlign w:val="bottom"/>
            <w:tcBorders>
              <w:top w:val="single" w:sz="8" w:color="CCEEFF"/>
            </w:tcBorders>
            <w:shd w:val="clear" w:color="auto" w:fill="CCEEFF"/>
          </w:tcPr>
          <w:p>
            <w:pPr>
              <w:ind w:left="20"/>
              <w:spacing w:after="0" w:line="101" w:lineRule="exact"/>
              <w:rPr>
                <w:sz w:val="20"/>
                <w:szCs w:val="20"/>
                <w:color w:val="auto"/>
              </w:rPr>
            </w:pPr>
            <w:r>
              <w:rPr>
                <w:rFonts w:ascii="Arial" w:cs="Arial" w:eastAsia="Arial" w:hAnsi="Arial"/>
                <w:sz w:val="10"/>
                <w:szCs w:val="10"/>
                <w:color w:val="auto"/>
              </w:rPr>
              <w:t>Net (loss) income from continuing</w:t>
            </w: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operations attributable to Icahn</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(775)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(197)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(599)</w:t>
            </w: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Enterprises</w:t>
            </w:r>
          </w:p>
        </w:tc>
        <w:tc>
          <w:tcPr>
            <w:tcW w:w="16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60"/>
        </w:trPr>
        <w:tc>
          <w:tcPr>
            <w:tcW w:w="212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352</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50"/>
              <w:spacing w:after="0"/>
              <w:rPr>
                <w:sz w:val="20"/>
                <w:szCs w:val="20"/>
                <w:color w:val="auto"/>
              </w:rPr>
            </w:pPr>
            <w:r>
              <w:rPr>
                <w:rFonts w:ascii="Arial" w:cs="Arial" w:eastAsia="Arial" w:hAnsi="Arial"/>
                <w:sz w:val="18"/>
                <w:szCs w:val="18"/>
                <w:b w:val="1"/>
                <w:bCs w:val="1"/>
                <w:color w:val="auto"/>
                <w:w w:val="90"/>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4"/>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Petroleum products</w:t>
            </w:r>
          </w:p>
        </w:tc>
        <w:tc>
          <w:tcPr>
            <w:tcW w:w="2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Nitrogen fertilizer products</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50"/>
              <w:spacing w:after="0"/>
              <w:rPr>
                <w:sz w:val="20"/>
                <w:szCs w:val="20"/>
                <w:color w:val="auto"/>
              </w:rPr>
            </w:pPr>
            <w:r>
              <w:rPr>
                <w:rFonts w:ascii="Arial" w:cs="Arial" w:eastAsia="Arial" w:hAnsi="Arial"/>
                <w:sz w:val="18"/>
                <w:szCs w:val="18"/>
                <w:b w:val="1"/>
                <w:bCs w:val="1"/>
                <w:color w:val="auto"/>
                <w:w w:val="90"/>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4"/>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2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Aftermarket parts sales</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00" w:type="dxa"/>
            <w:vAlign w:val="bottom"/>
            <w:vMerge w:val="restart"/>
          </w:tcPr>
          <w:p>
            <w:pPr>
              <w:jc w:val="right"/>
              <w:ind w:right="83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3"/>
                <w:szCs w:val="13"/>
                <w:b w:val="1"/>
                <w:bCs w:val="1"/>
                <w:color w:val="auto"/>
                <w:w w:val="99"/>
              </w:rPr>
              <w:t>December 31, 2021</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89"/>
              </w:rPr>
              <w:t>Home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Investment</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1300" w:type="dxa"/>
            <w:vAlign w:val="bottom"/>
            <w:gridSpan w:val="6"/>
          </w:tcPr>
          <w:p>
            <w:pPr>
              <w:ind w:left="60"/>
              <w:spacing w:after="0"/>
              <w:rPr>
                <w:sz w:val="20"/>
                <w:szCs w:val="20"/>
                <w:color w:val="auto"/>
              </w:rPr>
            </w:pPr>
            <w:r>
              <w:rPr>
                <w:rFonts w:ascii="Arial" w:cs="Arial" w:eastAsia="Arial" w:hAnsi="Arial"/>
                <w:sz w:val="13"/>
                <w:szCs w:val="13"/>
                <w:b w:val="1"/>
                <w:bCs w:val="1"/>
                <w:color w:val="auto"/>
                <w:w w:val="87"/>
              </w:rPr>
              <w:t>Automotive Packaging</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w w:val="81"/>
              </w:rPr>
              <w:t>Estate</w:t>
            </w: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3"/>
                <w:szCs w:val="13"/>
                <w:b w:val="1"/>
                <w:bCs w:val="1"/>
                <w:color w:val="auto"/>
              </w:rPr>
              <w:t>Metals</w:t>
            </w: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1"/>
              </w:rPr>
              <w:t>Company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360"/>
              <w:spacing w:after="0" w:line="115" w:lineRule="exact"/>
              <w:rPr>
                <w:sz w:val="20"/>
                <w:szCs w:val="20"/>
                <w:color w:val="auto"/>
              </w:rPr>
            </w:pPr>
            <w:r>
              <w:rPr>
                <w:rFonts w:ascii="Arial" w:cs="Arial" w:eastAsia="Arial" w:hAnsi="Arial"/>
                <w:sz w:val="13"/>
                <w:szCs w:val="13"/>
                <w:color w:val="auto"/>
                <w:w w:val="82"/>
              </w:rPr>
              <w:t>(in</w:t>
            </w:r>
          </w:p>
        </w:tc>
        <w:tc>
          <w:tcPr>
            <w:tcW w:w="5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millions)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ind w:left="900"/>
              <w:spacing w:after="0" w:line="135" w:lineRule="exact"/>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30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2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8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1,707</w:t>
            </w:r>
          </w:p>
        </w:tc>
        <w:tc>
          <w:tcPr>
            <w:tcW w:w="20" w:type="dxa"/>
            <w:vAlign w:val="bottom"/>
          </w:tcPr>
          <w:p>
            <w:pPr>
              <w:spacing w:after="0"/>
              <w:rPr>
                <w:sz w:val="11"/>
                <w:szCs w:val="11"/>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8,952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Inventories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484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780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2,735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6,156</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4,587</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0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tcPr>
          <w:p>
            <w:pPr>
              <w:spacing w:after="0" w:line="121" w:lineRule="exact"/>
              <w:rPr>
                <w:sz w:val="20"/>
                <w:szCs w:val="20"/>
                <w:color w:val="auto"/>
              </w:rPr>
            </w:pPr>
            <w:r>
              <w:rPr>
                <w:rFonts w:ascii="Arial" w:cs="Arial" w:eastAsia="Arial" w:hAnsi="Arial"/>
                <w:sz w:val="13"/>
                <w:szCs w:val="13"/>
                <w:color w:val="auto"/>
                <w:w w:val="90"/>
              </w:rPr>
              <w:t>Accounts payable, accrued expenses and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3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2,405</w:t>
            </w:r>
          </w:p>
        </w:tc>
        <w:tc>
          <w:tcPr>
            <w:tcW w:w="1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1,579</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981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71</w:t>
            </w:r>
          </w:p>
        </w:tc>
        <w:tc>
          <w:tcPr>
            <w:tcW w:w="28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ind w:left="26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5,371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Securities sold, not yet purchased, at fair</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value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1,660</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155</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5,810</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7,745</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3,239</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w:t>
            </w: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Equity attributable to Icahn Enterprises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(3,994)</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tcPr>
          <w:p>
            <w:pPr>
              <w:spacing w:after="0" w:line="121" w:lineRule="exact"/>
              <w:rPr>
                <w:sz w:val="20"/>
                <w:szCs w:val="20"/>
                <w:color w:val="auto"/>
              </w:rPr>
            </w:pPr>
            <w:r>
              <w:rPr>
                <w:rFonts w:ascii="Arial" w:cs="Arial" w:eastAsia="Arial" w:hAnsi="Arial"/>
                <w:sz w:val="13"/>
                <w:szCs w:val="13"/>
                <w:color w:val="auto"/>
              </w:rPr>
              <w:t>Equity attributable to non-controlling</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00"/>
              <w:spacing w:after="0"/>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662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1,348</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(3,994)</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18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4,587</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3"/>
                <w:szCs w:val="13"/>
                <w:b w:val="1"/>
                <w:bCs w:val="1"/>
                <w:color w:val="auto"/>
                <w:w w:val="99"/>
              </w:rPr>
              <w:t>December 31, 2020</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89"/>
              </w:rPr>
              <w:t>Home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Investment</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1300" w:type="dxa"/>
            <w:vAlign w:val="bottom"/>
            <w:gridSpan w:val="6"/>
          </w:tcPr>
          <w:p>
            <w:pPr>
              <w:ind w:left="60"/>
              <w:spacing w:after="0"/>
              <w:rPr>
                <w:sz w:val="20"/>
                <w:szCs w:val="20"/>
                <w:color w:val="auto"/>
              </w:rPr>
            </w:pPr>
            <w:r>
              <w:rPr>
                <w:rFonts w:ascii="Arial" w:cs="Arial" w:eastAsia="Arial" w:hAnsi="Arial"/>
                <w:sz w:val="13"/>
                <w:szCs w:val="13"/>
                <w:b w:val="1"/>
                <w:bCs w:val="1"/>
                <w:color w:val="auto"/>
                <w:w w:val="87"/>
              </w:rPr>
              <w:t>Automotive Packaging</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w w:val="81"/>
              </w:rPr>
              <w:t>Estate</w:t>
            </w: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17"/>
              <w:spacing w:after="0"/>
              <w:rPr>
                <w:sz w:val="20"/>
                <w:szCs w:val="20"/>
                <w:color w:val="auto"/>
              </w:rPr>
            </w:pPr>
            <w:r>
              <w:rPr>
                <w:rFonts w:ascii="Arial" w:cs="Arial" w:eastAsia="Arial" w:hAnsi="Arial"/>
                <w:sz w:val="13"/>
                <w:szCs w:val="13"/>
                <w:b w:val="1"/>
                <w:bCs w:val="1"/>
                <w:color w:val="auto"/>
                <w:w w:val="83"/>
              </w:rPr>
              <w:t>Metals</w:t>
            </w: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1"/>
              </w:rPr>
              <w:t>Company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360"/>
              <w:spacing w:after="0" w:line="115" w:lineRule="exact"/>
              <w:rPr>
                <w:sz w:val="20"/>
                <w:szCs w:val="20"/>
                <w:color w:val="auto"/>
              </w:rPr>
            </w:pPr>
            <w:r>
              <w:rPr>
                <w:rFonts w:ascii="Arial" w:cs="Arial" w:eastAsia="Arial" w:hAnsi="Arial"/>
                <w:sz w:val="13"/>
                <w:szCs w:val="13"/>
                <w:color w:val="auto"/>
                <w:w w:val="82"/>
              </w:rPr>
              <w:t>(in</w:t>
            </w:r>
          </w:p>
        </w:tc>
        <w:tc>
          <w:tcPr>
            <w:tcW w:w="5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millions)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ind w:left="900"/>
              <w:spacing w:after="0" w:line="135" w:lineRule="exact"/>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30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8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c>
          <w:tcPr>
            <w:tcW w:w="2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925</w:t>
            </w:r>
          </w:p>
        </w:tc>
        <w:tc>
          <w:tcPr>
            <w:tcW w:w="20" w:type="dxa"/>
            <w:vAlign w:val="bottom"/>
          </w:tcPr>
          <w:p>
            <w:pPr>
              <w:spacing w:after="0"/>
              <w:rPr>
                <w:sz w:val="11"/>
                <w:szCs w:val="11"/>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8,239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366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Inventories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298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2,747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4,723</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tcPr>
          <w:p>
            <w:pPr>
              <w:spacing w:after="0" w:line="121" w:lineRule="exact"/>
              <w:rPr>
                <w:sz w:val="20"/>
                <w:szCs w:val="20"/>
                <w:color w:val="auto"/>
              </w:rPr>
            </w:pPr>
            <w:r>
              <w:rPr>
                <w:rFonts w:ascii="Arial" w:cs="Arial" w:eastAsia="Arial" w:hAnsi="Arial"/>
                <w:sz w:val="13"/>
                <w:szCs w:val="13"/>
                <w:color w:val="auto"/>
                <w:w w:val="90"/>
              </w:rPr>
              <w:t>Accounts payable, accrued expenses and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3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1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1,189</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1,163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65</w:t>
            </w:r>
          </w:p>
        </w:tc>
        <w:tc>
          <w:tcPr>
            <w:tcW w:w="28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w:t>
            </w: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114</w:t>
            </w:r>
          </w:p>
        </w:tc>
        <w:tc>
          <w:tcPr>
            <w:tcW w:w="2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5,151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Securities sold, not yet purchased, at fair</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value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2"/>
              </w:rPr>
              <w:t>1,691</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5,811</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8,059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4,777</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2,880</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1,531</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w:t>
            </w: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15,731</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Equity attributable to Icahn Enterprises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1,039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(4,606)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tcPr>
          <w:p>
            <w:pPr>
              <w:spacing w:after="0" w:line="121" w:lineRule="exact"/>
              <w:rPr>
                <w:sz w:val="20"/>
                <w:szCs w:val="20"/>
                <w:color w:val="auto"/>
              </w:rPr>
            </w:pPr>
            <w:r>
              <w:rPr>
                <w:rFonts w:ascii="Arial" w:cs="Arial" w:eastAsia="Arial" w:hAnsi="Arial"/>
                <w:sz w:val="13"/>
                <w:szCs w:val="13"/>
                <w:color w:val="auto"/>
              </w:rPr>
              <w:t>Equity attributable to non-controlling</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00"/>
              <w:spacing w:after="0"/>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9,342</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1,843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(4,606)</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18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4,723</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 following table presents our consolidated geographic net sales from external customers, other revenues from operations and property, plant and equipment, net for the periods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Property, Plant and</w:t>
            </w: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Net Sales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9"/>
          </w:tcPr>
          <w:p>
            <w:pPr>
              <w:ind w:left="20"/>
              <w:spacing w:after="0"/>
              <w:rPr>
                <w:sz w:val="20"/>
                <w:szCs w:val="20"/>
                <w:color w:val="auto"/>
              </w:rPr>
            </w:pPr>
            <w:r>
              <w:rPr>
                <w:rFonts w:ascii="Arial" w:cs="Arial" w:eastAsia="Arial" w:hAnsi="Arial"/>
                <w:sz w:val="18"/>
                <w:szCs w:val="18"/>
                <w:b w:val="1"/>
                <w:bCs w:val="1"/>
                <w:color w:val="auto"/>
                <w:w w:val="97"/>
              </w:rPr>
              <w:t>Other Revenues From Operations</w:t>
            </w:r>
          </w:p>
        </w:tc>
        <w:tc>
          <w:tcPr>
            <w:tcW w:w="140" w:type="dxa"/>
            <w:vAlign w:val="bottom"/>
          </w:tcPr>
          <w:p>
            <w:pPr>
              <w:spacing w:after="0"/>
              <w:rPr>
                <w:sz w:val="20"/>
                <w:szCs w:val="20"/>
                <w:color w:val="auto"/>
              </w:rPr>
            </w:pPr>
          </w:p>
        </w:tc>
        <w:tc>
          <w:tcPr>
            <w:tcW w:w="14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Equipment, Net</w:t>
            </w:r>
          </w:p>
        </w:tc>
      </w:tr>
      <w:tr>
        <w:trPr>
          <w:trHeight w:val="210"/>
        </w:trPr>
        <w:tc>
          <w:tcPr>
            <w:tcW w:w="2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5"/>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7"/>
          </w:tcPr>
          <w:p>
            <w:pPr>
              <w:jc w:val="right"/>
              <w:ind w:right="270"/>
              <w:spacing w:after="0"/>
              <w:rPr>
                <w:sz w:val="20"/>
                <w:szCs w:val="20"/>
                <w:color w:val="auto"/>
              </w:rPr>
            </w:pPr>
            <w:r>
              <w:rPr>
                <w:rFonts w:ascii="Arial" w:cs="Arial" w:eastAsia="Arial" w:hAnsi="Arial"/>
                <w:sz w:val="18"/>
                <w:szCs w:val="18"/>
                <w:b w:val="1"/>
                <w:bCs w:val="1"/>
                <w:color w:val="auto"/>
                <w:w w:val="95"/>
              </w:rPr>
              <w:t>Year Ended December 31,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2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2020</w:t>
            </w: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$ 6,462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$ 9,271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16"/>
        </w:trPr>
        <w:tc>
          <w:tcPr>
            <w:tcW w:w="20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0"/>
        </w:trPr>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$ 9,722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firstLine="324"/>
        <w:spacing w:after="0" w:line="308" w:lineRule="auto"/>
        <w:rPr>
          <w:sz w:val="20"/>
          <w:szCs w:val="20"/>
          <w:color w:val="auto"/>
        </w:rPr>
      </w:pPr>
      <w:r>
        <w:rPr>
          <w:rFonts w:ascii="Arial" w:cs="Arial" w:eastAsia="Arial" w:hAnsi="Arial"/>
          <w:sz w:val="17"/>
          <w:szCs w:val="17"/>
          <w:color w:val="auto"/>
        </w:rPr>
        <w:t>Geographic locations for net sales and other revenues from operations are based on locations of the customers and geographic locations for property, plant, and equipment are based on the locations of the assets.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difference between the book basis and the tax basis of our net assets, not directly subject to income taxes, is as follows:</w:t>
      </w:r>
    </w:p>
    <w:p>
      <w:pPr>
        <w:spacing w:after="0" w:line="180"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1174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11747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 w:lineRule="exact"/>
        <w:rPr>
          <w:sz w:val="20"/>
          <w:szCs w:val="20"/>
          <w:color w:val="auto"/>
        </w:rPr>
      </w:pPr>
    </w:p>
    <w:p>
      <w:pPr>
        <w:jc w:val="both"/>
        <w:ind w:left="7340"/>
        <w:spacing w:after="0"/>
        <w:tabs>
          <w:tab w:leader="none" w:pos="83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11747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4"/>
                <w:szCs w:val="14"/>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Book basis of net assets</w:t>
            </w:r>
          </w:p>
        </w:tc>
        <w:tc>
          <w:tcPr>
            <w:tcW w:w="2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3,383</w:t>
            </w: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Book/tax basis difference</w:t>
            </w:r>
          </w:p>
        </w:tc>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basis of net assets</w:t>
            </w:r>
          </w:p>
        </w:tc>
        <w:tc>
          <w:tcPr>
            <w:tcW w:w="2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2,608</w:t>
            </w:r>
          </w:p>
        </w:tc>
      </w:tr>
      <w:tr>
        <w:trPr>
          <w:trHeight w:val="20"/>
        </w:trPr>
        <w:tc>
          <w:tcPr>
            <w:tcW w:w="4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 benefit (expense)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8"/>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700" w:type="dxa"/>
            <w:vAlign w:val="bottom"/>
            <w:vMerge w:val="restart"/>
          </w:tcPr>
          <w:p>
            <w:pPr>
              <w:jc w:val="right"/>
              <w:ind w:right="17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200" w:type="dxa"/>
            <w:vAlign w:val="bottom"/>
          </w:tcPr>
          <w:p>
            <w:pPr>
              <w:ind w:left="320"/>
              <w:spacing w:after="0"/>
              <w:rPr>
                <w:sz w:val="20"/>
                <w:szCs w:val="20"/>
                <w:color w:val="auto"/>
              </w:rPr>
            </w:pPr>
            <w:r>
              <w:rPr>
                <w:rFonts w:ascii="Arial" w:cs="Arial" w:eastAsia="Arial" w:hAnsi="Arial"/>
                <w:sz w:val="18"/>
                <w:szCs w:val="18"/>
                <w:color w:val="auto"/>
                <w:w w:val="93"/>
              </w:rPr>
              <w:t>Income tax benefit (expense) attributable to continuing operations is as follows: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r>
      <w:tr>
        <w:trPr>
          <w:trHeight w:val="196"/>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Arial" w:cs="Arial" w:eastAsia="Arial" w:hAnsi="Arial"/>
                <w:sz w:val="18"/>
                <w:szCs w:val="18"/>
                <w:color w:val="auto"/>
              </w:rPr>
              <w:t>Domestic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Total current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Arial" w:cs="Arial" w:eastAsia="Arial" w:hAnsi="Arial"/>
                <w:sz w:val="18"/>
                <w:szCs w:val="18"/>
                <w:color w:val="auto"/>
              </w:rPr>
              <w:t>Domestic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9"/>
        </w:trPr>
        <w:tc>
          <w:tcPr>
            <w:tcW w:w="6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79" w:firstLine="324"/>
        <w:spacing w:after="0" w:line="308" w:lineRule="auto"/>
        <w:rPr>
          <w:sz w:val="20"/>
          <w:szCs w:val="20"/>
          <w:color w:val="auto"/>
        </w:rPr>
      </w:pPr>
      <w:r>
        <w:rPr>
          <w:rFonts w:ascii="Arial" w:cs="Arial" w:eastAsia="Arial" w:hAnsi="Arial"/>
          <w:sz w:val="17"/>
          <w:szCs w:val="17"/>
          <w:color w:val="auto"/>
        </w:rPr>
        <w:t>A reconciliation of the income tax benefit (expense) calculated at the federal statutory rate to income tax benefit (expense) on continuing operations as shown in the consolidated statements of operations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8"/>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U.S. statutory rate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Tax effect from: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rate changes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Dividends received</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not subject to taxation</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720" w:type="dxa"/>
            <w:vAlign w:val="bottom"/>
            <w:vMerge w:val="restart"/>
          </w:tcPr>
          <w:p>
            <w:pPr>
              <w:jc w:val="right"/>
              <w:ind w:right="17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Property, plant and equipment</w:t>
            </w:r>
          </w:p>
        </w:tc>
        <w:tc>
          <w:tcPr>
            <w:tcW w:w="2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operating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Tax credits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Leases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9"/>
        </w:trPr>
        <w:tc>
          <w:tcPr>
            <w:tcW w:w="4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3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Property, plant and equipment</w:t>
            </w:r>
          </w:p>
        </w:tc>
        <w:tc>
          <w:tcPr>
            <w:tcW w:w="2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in partnerships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Investment in U.S. subsidiaries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firstLine="324"/>
        <w:spacing w:after="0" w:line="263" w:lineRule="auto"/>
        <w:rPr>
          <w:sz w:val="20"/>
          <w:szCs w:val="20"/>
          <w:color w:val="auto"/>
        </w:rPr>
      </w:pPr>
      <w:r>
        <w:rPr>
          <w:rFonts w:ascii="Arial" w:cs="Arial" w:eastAsia="Arial" w:hAnsi="Arial"/>
          <w:sz w:val="18"/>
          <w:szCs w:val="18"/>
          <w:color w:val="auto"/>
        </w:rPr>
        <w:t>We recorded deferred tax assets and deferred tax liabilities of $9 million and $390 million, respectively, as of December 31, 2020 and $10 million and $568 million, respectively, as of December 31, 2019. Deferred tax assets are included in other assets in our consolidated balance sheets.</w:t>
      </w:r>
    </w:p>
    <w:p>
      <w:pPr>
        <w:spacing w:after="0" w:line="184"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2021 we had a valuation allowance of approximately $971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2021, the valuation allowance on deferred tax assets decreased by $55 million. The decrease was primarily attributable to changes in state net operating loss carryforwards.</w:t>
      </w:r>
    </w:p>
    <w:p>
      <w:pPr>
        <w:spacing w:after="0" w:line="178" w:lineRule="exact"/>
        <w:rPr>
          <w:sz w:val="20"/>
          <w:szCs w:val="20"/>
          <w:color w:val="auto"/>
        </w:rPr>
      </w:pPr>
    </w:p>
    <w:p>
      <w:pPr>
        <w:jc w:val="both"/>
        <w:ind w:left="60" w:right="359" w:firstLine="324"/>
        <w:spacing w:after="0" w:line="259" w:lineRule="auto"/>
        <w:rPr>
          <w:sz w:val="20"/>
          <w:szCs w:val="20"/>
          <w:color w:val="auto"/>
        </w:rPr>
      </w:pPr>
      <w:r>
        <w:rPr>
          <w:rFonts w:ascii="Arial" w:cs="Arial" w:eastAsia="Arial" w:hAnsi="Arial"/>
          <w:sz w:val="18"/>
          <w:szCs w:val="18"/>
          <w:color w:val="auto"/>
        </w:rPr>
        <w:t>On December 11, 2020, we acquired all of the outstanding stock of Vivus upon its emergence from bankruptcy. On July 15, 2021, we contributed the stock of Vivus, Inc. to American Entertainment Properties Corp (“AEPC”), a wholly owned subsidiary, in a tax-free transaction. Immediately after the contribution, Vivus, Inc. converted into an LLC and became a disregarded entity of AEPC.</w:t>
      </w:r>
    </w:p>
    <w:p>
      <w:pPr>
        <w:spacing w:after="0" w:line="187"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At December 31, 2021, American Entertainment Properties Corp. (“AEPC”), a wholly-owned corporate subsidiary of Icahn Enterprises, which includes all or parts of our Automotive, Food Packaging, Metals, Pharma, Home Fashion and Real Estate segments had U.S federal net operating loss carryforwards of approximately $2.9 billion with expiration dates from 2024 through unlimited carryforward periods. Additionally, AEPC and its corporate subsidiaries had foreign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net operating loss carryforwards of $29 million with an unlimited carryforward period and less than $1 million with a 5-year carryforward period.</w:t>
      </w:r>
    </w:p>
    <w:p>
      <w:pPr>
        <w:spacing w:after="0" w:line="170"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At December 31, 2021, CVR Energy had state income tax credits of $26 million, which are available to reduce future state income taxes. These credits, if not used, will begin expiring in 2036.</w:t>
      </w:r>
    </w:p>
    <w:p>
      <w:pPr>
        <w:spacing w:after="0" w:line="170"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On October 9, 2020, Viskase completed an equity private placement whereby AEPC ownership increased from approximately 79% to 89%. As a result of greater than 80% ownership, Viskase became a member of the consolidated federal tax group of AEPC and party to a tax allocation agreement with AEPC. The tax allocation agreement provides, among other things, that AEPC will pay all consolidated federal income taxes on behalf of the consolidated tax group and Viskase is required to make payments to AEPC in an amount equal to the tax liability, if any, that it would have paid if it were to file a separate company return.</w:t>
      </w:r>
    </w:p>
    <w:p>
      <w:pPr>
        <w:spacing w:after="0" w:line="192"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As of December 31, 2021, we have not provided taxes on approximately $64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Enactment of U.S. Tax Legislation</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Legislation. The GILTI provisions impose a tax on foreign income in excess of a deemed return on tangible assets of foreign corporations. We report additional tax from the GILTI inclusion as incurred and currently estimate no additional tax due in 2021.</w:t>
      </w:r>
    </w:p>
    <w:p>
      <w:pPr>
        <w:spacing w:after="0" w:line="187" w:lineRule="exact"/>
        <w:rPr>
          <w:sz w:val="20"/>
          <w:szCs w:val="20"/>
          <w:color w:val="auto"/>
        </w:rPr>
      </w:pPr>
    </w:p>
    <w:p>
      <w:pPr>
        <w:ind w:left="60" w:right="279" w:firstLine="324"/>
        <w:spacing w:after="0" w:line="308" w:lineRule="auto"/>
        <w:rPr>
          <w:sz w:val="20"/>
          <w:szCs w:val="20"/>
          <w:color w:val="auto"/>
        </w:rPr>
      </w:pPr>
      <w:r>
        <w:rPr>
          <w:rFonts w:ascii="Arial" w:cs="Arial" w:eastAsia="Arial" w:hAnsi="Arial"/>
          <w:sz w:val="17"/>
          <w:szCs w:val="17"/>
          <w:color w:val="auto"/>
        </w:rPr>
        <w:t>Under the Tax Legislation, an entity must pay a Base Erosion Anti-Abuse Tax (“BEAT”) if the BEAT is greater than its regular tax liability. We currently estimate no additional tax due in 2021 pursuant to the BEAT provisions.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 summary of the changes in the gross amounts of unrecognized tax benefits for the years ended December 31, 2021, 2020 and 2019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Borders>
              <w:bottom w:val="single" w:sz="8" w:color="auto"/>
            </w:tcBorders>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r>
      <w:tr>
        <w:trPr>
          <w:trHeight w:val="196"/>
        </w:trPr>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Addition based on tax positions related to the current year</w:t>
            </w:r>
          </w:p>
        </w:tc>
        <w:tc>
          <w:tcPr>
            <w:tcW w:w="7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for tax positions of prior years</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Decrease for tax positions of prior years</w:t>
            </w:r>
          </w:p>
        </w:tc>
        <w:tc>
          <w:tcPr>
            <w:tcW w:w="7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for statute of limitation expiration</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At December 31, 2021, 2020 and 2019, we had unrecognized tax benefits of $33 million, $35 million and $33 million, respectively. Of these totals, $29 million, $31 million and $27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During the next 12 months, we believe that it is reasonably possible that unrecognized tax benefits may decrease by approximately $5 million due to statute expirations.</w:t>
      </w:r>
    </w:p>
    <w:p>
      <w:pPr>
        <w:spacing w:after="0" w:line="170" w:lineRule="exact"/>
        <w:rPr>
          <w:sz w:val="20"/>
          <w:szCs w:val="20"/>
          <w:color w:val="auto"/>
        </w:rPr>
      </w:pPr>
    </w:p>
    <w:p>
      <w:pPr>
        <w:ind w:left="60" w:right="199" w:firstLine="324"/>
        <w:spacing w:after="0" w:line="253" w:lineRule="auto"/>
        <w:rPr>
          <w:sz w:val="20"/>
          <w:szCs w:val="20"/>
          <w:color w:val="auto"/>
        </w:rPr>
      </w:pPr>
      <w:r>
        <w:rPr>
          <w:rFonts w:ascii="Arial" w:cs="Arial" w:eastAsia="Arial" w:hAnsi="Arial"/>
          <w:sz w:val="18"/>
          <w:szCs w:val="18"/>
          <w:color w:val="auto"/>
        </w:rPr>
        <w:t>We recognize interest and penalties accrued related to unrecognized tax benefits as a component of income tax expense. We recorded $5 million, $3 million and $1 million as of December 31, 2021, 2020 and 2019, respectively, in liabilities for tax related net interest and penalties in our consolidated balance sheets. Income tax expense (benefit) related to interest and penalties were $2 million, $2 million and $0 million for the years December 31, 2021, 2020 and 2019, respectively. We or certain of our subsidiaries file income tax returns in the U.S. federal jurisdiction, various state jurisdictions and various non-U.S. jurisdictions. We and our subsidiaries are no longer subject to U.S. federal tax examinations for years before 2017 or state and local examinations for years before 2016, with limited exceptions. The AEPC group’s income tax returns are currently under examination by the Internal Revenue Service (“IRS”) for the years ended December 31, 2018 and 2017. As of December 31, 2021, AEPC has not been notified of any issues pursuant to the examination.</w:t>
      </w:r>
    </w:p>
    <w:p>
      <w:pPr>
        <w:spacing w:after="0" w:line="190" w:lineRule="exact"/>
        <w:rPr>
          <w:sz w:val="20"/>
          <w:szCs w:val="20"/>
          <w:color w:val="auto"/>
        </w:rPr>
      </w:pPr>
    </w:p>
    <w:p>
      <w:pPr>
        <w:ind w:left="360" w:hanging="310"/>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Translation</w:t>
            </w:r>
          </w:p>
        </w:tc>
        <w:tc>
          <w:tcPr>
            <w:tcW w:w="14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Post-Retirement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b w:val="1"/>
                <w:bCs w:val="1"/>
                <w:color w:val="auto"/>
              </w:rPr>
              <w:t>Adjustments, Net</w:t>
            </w:r>
          </w:p>
        </w:tc>
        <w:tc>
          <w:tcPr>
            <w:tcW w:w="14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Benefits and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of Tax</w:t>
            </w:r>
          </w:p>
        </w:tc>
        <w:tc>
          <w:tcPr>
            <w:tcW w:w="14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Other, Net of Tax</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(49)</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tcPr>
          <w:p>
            <w:pPr>
              <w:ind w:left="20"/>
              <w:spacing w:after="0" w:line="201" w:lineRule="exact"/>
              <w:rPr>
                <w:sz w:val="20"/>
                <w:szCs w:val="20"/>
                <w:color w:val="auto"/>
              </w:rPr>
            </w:pPr>
            <w:r>
              <w:rPr>
                <w:rFonts w:ascii="Arial" w:cs="Arial" w:eastAsia="Arial" w:hAnsi="Arial"/>
                <w:sz w:val="18"/>
                <w:szCs w:val="18"/>
                <w:color w:val="auto"/>
                <w:w w:val="89"/>
              </w:rPr>
              <w:t>Other comprehensive (loss) income before reclassifications,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Reclassifications from accumulated other comprehensive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16. Other Income, Net</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ind w:left="340"/>
              <w:spacing w:after="0"/>
              <w:rPr>
                <w:sz w:val="20"/>
                <w:szCs w:val="20"/>
                <w:color w:val="auto"/>
              </w:rPr>
            </w:pPr>
            <w:r>
              <w:rPr>
                <w:rFonts w:ascii="Arial" w:cs="Arial" w:eastAsia="Arial" w:hAnsi="Arial"/>
                <w:sz w:val="18"/>
                <w:szCs w:val="18"/>
                <w:color w:val="auto"/>
              </w:rPr>
              <w:t>Other income, net consists of the following: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ind w:left="300"/>
              <w:spacing w:after="0"/>
              <w:rPr>
                <w:sz w:val="20"/>
                <w:szCs w:val="20"/>
                <w:color w:val="auto"/>
              </w:rPr>
            </w:pPr>
            <w:r>
              <w:rPr>
                <w:rFonts w:ascii="Arial" w:cs="Arial" w:eastAsia="Arial" w:hAnsi="Arial"/>
                <w:sz w:val="18"/>
                <w:szCs w:val="18"/>
                <w:b w:val="1"/>
                <w:bCs w:val="1"/>
                <w:color w:val="auto"/>
                <w:w w:val="95"/>
              </w:rPr>
              <w:t>Year Ended December 31,</w:t>
            </w: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gridSpan w:val="5"/>
          </w:tcPr>
          <w:p>
            <w:pPr>
              <w:jc w:val="right"/>
              <w:ind w:right="67"/>
              <w:spacing w:after="0" w:line="129"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Equity earnings from non-consolidated affiliates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w w:val="91"/>
              </w:rPr>
              <w:t>Non-service pension and other post-retirement benefits expense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extinguishment of debt,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86"/>
              </w:rPr>
              <w:t>101</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3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$13 million and $37 million as of December 31, 2021 and 2020, respectively, primarily within our Energy segment and, prior to our sale of PSC Metals in December 2021, our Metals segment as well, and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67"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U.S. Environmental Protection Agency (the “EPA”) and the Kansas Department of Health and Environment (“KDHE”) alleging violations of the Clean Air Act and a 2012 Consent Decree (“CD”) between CVR Refining, the United States (on behalf of the EPA) and KDHE at its Coffeyville refinery, primarily relating to flares. In June 2020, a tolling agreement between the parties relating to such allegations expired, and the United States and KDHE sent demand letters relating to the allegations (the “Stipulated Claims”) and seeking stipulated penalties under the CD. In February 2021, the DOJ and KDHE sent CVR Refining a statement of position under the CD regarding its demand for Stipulated Claims. As CVR Refining disputes most claims asserted by the government, in accordance with the CD, CVR Refining deposited funds into a commercial escrow account pending resolution of disputed claims. The escrowed funds are legally restricted for use and are included within cash held at consolidated affiliated partnership and restricted cash on the consolidated balance sheets. In April 2021, CVR Refining filed a petition for judicial review of the Stipulated Claims with the United States District Court for the District of Kansas (“Kansas Federal District Court”), in accordance with the dispute resolution provisions of the CD. On September 23, 2021, the court ordered briefing on CVR Refining’s petition, which was completed in December 2021. Separately, in December 2020, the DOJ and KDHE filed a supplemental complaint in the Kansas Federal District Court asserting nine counts for alleged violations of the Clean Air Act, the Kansas State Implementation Plan and Kansas law seeking civil penalties, injunctive and related relief, which they sought leave to amend on February 10, 2022, to add an additional eight counts under Part 63 of the National Emissions Standards for Hazardous Air Pollutants from Petroleum Refineries Subparts CC and R (“NESHAP”), Kansas Law and CVR Refining’s permits relating to flares, heaters and related matters (collectively, the “Statutory Claims”). In March 2021, CVR Refining filed a partial motion to dismiss certain Statutory Claims, which is still pending with the Kansas Federal District Court. Negotiations relating to the Stipulated Claims and the Statutory Claims are ongoing and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181"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As of December 31, 2021 and 2020, our Energy segment had environmental accruals of $12 million and $11 million, respectively, representing estimated costs for future remediation efforts at certain sites.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CVR Refining is subject to the Renewable Fuel Standard (“RFS”) implemented primarily by the EPA which requires refiners to either blend renewable fuels into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or other exemptions from the EPA, to the extent available, in order to comply with the RFS.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years ended December 31, 2021, 2020 and 2019, our Energy segment recognized an expense of $435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$190 million and $43 million, respectively, for CVR Refining’s compliance with the RFS (based on our Energy segment’s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annual renewal volume obligation (“RVO”) and proposed preliminary 2021 RVO range, for the respective periods,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excluding the impacts of any exemptions or waivers to which our Energy segment may be entitled ). These expenses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are included in cost of goods sold in our consolidated statements of operations and represent costs to comply with the RFS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obligation through purchasing of RINs not otherwise reduced by blending of ethanol and biodiesel. At each reporting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period, to the extent RINs purchased or generated through blending are less than the RFS obligation (excluding the impact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exemptions or waivers to which our Energy segment may be entitled), the remaining position is marked-to-market using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RIN market prices at period end. As of December 31, 2021 and 2020, CVR Refining’s biofuel blending obligation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$494 million and $214 million, respectively, which is included in accrued expenses and other liabilities in our consolidated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sheets.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In 2019, CVR Energy, CVR Refining and its general partner, CVR Refining Holdings, Icahn Enterprises and certain directors and affiliates (collectively, the “Call Defendants”) were named in at least one of nine now consolidated lawsuits filed by purported former unitholders of CVR Refining, on behalf of themselves and an alleged class of similarly situated unitholders relating to CVR Energy’s exercise of the call option (“Call Option”) under the CVR Refining Amended and Restated Agreement of Limited Partnership assigned to it by CVR Refining’s general partner (the “Delaware Lawsuits”). The Call Option Lawsuits primarily allege breach of contract, tortious interference and breach of the implied covenant of good faith and fair dealing and seek monetary damages and attorneys’ fees, among other remedies. In January 2020, the court dismissed CVR Holdings and certain former directors of CVR Refining’s general partner from the Call Option Lawsuits, though permitted some or all of the claims to proceed against each remaining defendant. Trial of the Call Option Lawsuits concluded in July 2021, and the parties are currently in post-trial proceedings. CVR Energy believes the Call Option Lawsuits are without merit and intends to vigorously defend against them. Plaintiffs filed their Opening Post-Trial Brief on December 22, 2021, now quantifying alleged damages in excess of $300 million; the Call Defendants strongly dispute Plaintiff’s claims and are preparing responsive briefings. Accordingly, CVR Energy cannot determine at this time the outcome of the Call Option Lawsuits, including whether the outcome of this matter would have a material impact on our Energy segment’s financial position, results of operations, or cash flows. However, while CVR Energy firmly believes this matter is without merit, if it is concluded in a manner adverse to CVR Energy, it could have a material effect on our Energy segment’s financial position, results of operations, or cash flows.</w:t>
      </w:r>
    </w:p>
    <w:p>
      <w:pPr>
        <w:spacing w:after="0" w:line="17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Call Defendants are also parties to two lawsuits relating to insurance coverage for the Call Option Lawsuits, one filed on January 27, 2021, in the 434th Judicial District Court of Fort Bend County, Texas by the Call Defendants primary and excess insurers (the “Insurers”) seeking declaratory judgement determining that they owe no indemnity coverage for the Call Option Lawsuits in relation to insurance policies that have coverage limits of $50 million, and another filed on January 30, 2022 in the Superior Court of the State of Delaware by the Call Defendants against the Insurers for anticipatory breach of contract and breach of the implied covenant of good faith dealing (the “Delaware Coverage Case”). On November 3, 2021, the court in the Delaware Coverage Case granted partial summary judgment in favor of the Call Defendants relating to the deductible. As both lawsuits are in their early states, CVR Energy cannot determine at this time the outcome of the lawsuits, including whether the outcome would have a material impact on our Energy segment’s financial position, results of operations, or cash flows.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On June 25, 2021, the Supreme Court of the United States (the “Supreme Court”) overturned a decision of the 10th Circuit Court of Appeals (“10th Circuit”) vacating three small refinery exemptions (“SREs”) under the RFS, including one issued to CVR Refining’s Wynnewood Refinery for 2017, to the extent such SREs were vacated based on failure to have continuously received an SRE in all applicable preceding years. Following the Supreme Court ruling, the EPA notified CVR Refining that it would reconsider the 2017 SRE on other grounds referenced in the 10th Circuit decision. On July 20, 2021, after remand from the Supreme Court, the 10th Circuit vacated its prior judgment, recalled its previous mandate denying the 2017 SRE, entered a new judgment and issued a new mandate transferring jurisdiction back to the EPA. On August 26, 2021, the EPA filed a Motion for Clarification asking the 10th Circuit whether the alternative holdings that supported the 10th Circuit’s prior judgment remain in effect and whether the new mandate returns the agency actions back to the EPA, which Motion for Clarification was denied. On September 15, 2021, CVR Refining advised the EPA it considered its 2017 SRE intact and demanded that the EPA return the status of its 2017 SRE to “granted.” The EPA has not yet responded to CVR Refining’s demand. Given the EPA’s failure to respond, we cannot currently estimate the outcome, impact or timing of resolution of this matter.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88% of our outstanding depositary units as of December 31,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December 31, 2021. If the plans were voluntarily terminated, they would be underfunded by an aggregate of approximately $66 million as of December 31,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 Starfire will not make any distributions to its stockholders that would reduce its net worth to below $250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Nonetheless, Starfire may not be able to fund its indemnification obligations to us.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left="60" w:right="379" w:firstLine="324"/>
        <w:spacing w:after="0" w:line="293" w:lineRule="auto"/>
        <w:rPr>
          <w:sz w:val="20"/>
          <w:szCs w:val="20"/>
          <w:color w:val="auto"/>
        </w:rPr>
      </w:pPr>
      <w:r>
        <w:rPr>
          <w:rFonts w:ascii="Arial" w:cs="Arial" w:eastAsia="Arial" w:hAnsi="Arial"/>
          <w:sz w:val="16"/>
          <w:szCs w:val="16"/>
          <w:color w:val="auto"/>
        </w:rPr>
        <w:t>Unconditional purchase obligations are primarily within our Energy and Pharma segments. Our Energy segment’s unconditional purchase obligations relate to commitments for petroleum products storage and transportation, electricity supply agreements, product supply agreements, commitments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Energy</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Pharma</w:t>
            </w:r>
          </w:p>
        </w:tc>
      </w:tr>
      <w:tr>
        <w:trPr>
          <w:trHeight w:val="210"/>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4"/>
                <w:szCs w:val="14"/>
                <w:color w:val="auto"/>
              </w:rPr>
              <w:t>(in millions)</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6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39" w:firstLine="324"/>
        <w:spacing w:after="0" w:line="259" w:lineRule="auto"/>
        <w:rPr>
          <w:sz w:val="20"/>
          <w:szCs w:val="20"/>
          <w:color w:val="auto"/>
        </w:rPr>
      </w:pPr>
      <w:r>
        <w:rPr>
          <w:rFonts w:ascii="Arial" w:cs="Arial" w:eastAsia="Arial" w:hAnsi="Arial"/>
          <w:sz w:val="18"/>
          <w:szCs w:val="18"/>
          <w:color w:val="auto"/>
        </w:rPr>
        <w:t>CVR Energy is a party to various supply agreements which commit it to purchase minimum volumes of crude oil, hydrogen, oxygen, nitrogen, petroleum coke and natural gas to run its facilities’ operations. For the years ended December 31, 2021, 2020 and 2019, amounts purchased under these supply agreements totaled approximately $176 million, $153 million and $167 million,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Pension and Other Post-Retirement Benefit Plans</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184"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80" w:type="dxa"/>
            <w:vAlign w:val="bottom"/>
          </w:tcPr>
          <w:p>
            <w:pPr>
              <w:ind w:left="340"/>
              <w:spacing w:after="0"/>
              <w:rPr>
                <w:sz w:val="20"/>
                <w:szCs w:val="20"/>
                <w:color w:val="auto"/>
              </w:rPr>
            </w:pPr>
            <w:r>
              <w:rPr>
                <w:rFonts w:ascii="Arial" w:cs="Arial" w:eastAsia="Arial" w:hAnsi="Arial"/>
                <w:sz w:val="18"/>
                <w:szCs w:val="18"/>
                <w:color w:val="auto"/>
              </w:rPr>
              <w:t>Components of net periodic benefit cost (credit) are as follows: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6180" w:type="dxa"/>
            <w:vAlign w:val="bottom"/>
          </w:tcPr>
          <w:p>
            <w:pPr>
              <w:spacing w:after="0"/>
              <w:rPr>
                <w:sz w:val="24"/>
                <w:szCs w:val="24"/>
                <w:color w:val="auto"/>
              </w:rPr>
            </w:pPr>
          </w:p>
        </w:tc>
        <w:tc>
          <w:tcPr>
            <w:tcW w:w="2740" w:type="dxa"/>
            <w:vAlign w:val="bottom"/>
            <w:gridSpan w:val="9"/>
          </w:tcPr>
          <w:p>
            <w:pPr>
              <w:jc w:val="center"/>
              <w:ind w:right="20"/>
              <w:spacing w:after="0"/>
              <w:rPr>
                <w:sz w:val="20"/>
                <w:szCs w:val="20"/>
                <w:color w:val="auto"/>
              </w:rPr>
            </w:pPr>
            <w:r>
              <w:rPr>
                <w:rFonts w:ascii="Arial" w:cs="Arial" w:eastAsia="Arial" w:hAnsi="Arial"/>
                <w:sz w:val="18"/>
                <w:szCs w:val="18"/>
                <w:b w:val="1"/>
                <w:bCs w:val="1"/>
                <w:color w:val="auto"/>
                <w:w w:val="89"/>
              </w:rPr>
              <w:t>U.S. and Non-U.S. Pension Benefits</w:t>
            </w:r>
          </w:p>
        </w:tc>
      </w:tr>
      <w:tr>
        <w:trPr>
          <w:trHeight w:val="209"/>
        </w:trPr>
        <w:tc>
          <w:tcPr>
            <w:tcW w:w="6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Pr>
          <w:p>
            <w:pPr>
              <w:spacing w:after="0"/>
              <w:rPr>
                <w:sz w:val="18"/>
                <w:szCs w:val="18"/>
                <w:color w:val="auto"/>
              </w:rPr>
            </w:pPr>
          </w:p>
        </w:tc>
      </w:tr>
      <w:tr>
        <w:trPr>
          <w:trHeight w:val="209"/>
        </w:trPr>
        <w:tc>
          <w:tcPr>
            <w:tcW w:w="6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8"/>
                <w:szCs w:val="18"/>
                <w:color w:val="auto"/>
              </w:rPr>
            </w:pPr>
          </w:p>
        </w:tc>
      </w:tr>
      <w:tr>
        <w:trPr>
          <w:trHeight w:val="196"/>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6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79" w:firstLine="324"/>
        <w:spacing w:after="0" w:line="311" w:lineRule="auto"/>
        <w:rPr>
          <w:sz w:val="20"/>
          <w:szCs w:val="20"/>
          <w:color w:val="auto"/>
        </w:rPr>
      </w:pPr>
      <w:r>
        <w:rPr>
          <w:rFonts w:ascii="Arial" w:cs="Arial" w:eastAsia="Arial" w:hAnsi="Arial"/>
          <w:sz w:val="16"/>
          <w:szCs w:val="16"/>
          <w:color w:val="auto"/>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8"/>
              </w:rPr>
              <w:t>U.S and Non-U.S. Pension Benefits</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Benefit obligation, beginning of year</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166</w:t>
            </w:r>
          </w:p>
        </w:tc>
        <w:tc>
          <w:tcPr>
            <w:tcW w:w="240" w:type="dxa"/>
            <w:vAlign w:val="bottom"/>
          </w:tcPr>
          <w:p>
            <w:pPr>
              <w:spacing w:after="0"/>
              <w:rPr>
                <w:sz w:val="18"/>
                <w:szCs w:val="18"/>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Actuarial loss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Currency translation</w:t>
            </w:r>
          </w:p>
        </w:tc>
        <w:tc>
          <w:tcPr>
            <w:tcW w:w="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Change in plan assets: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plan assets, beginning of year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2"/>
        </w:trPr>
        <w:tc>
          <w:tcPr>
            <w:tcW w:w="5900" w:type="dxa"/>
            <w:vAlign w:val="bottom"/>
          </w:tcPr>
          <w:p>
            <w:pPr>
              <w:spacing w:after="0" w:line="182" w:lineRule="exact"/>
              <w:rPr>
                <w:sz w:val="20"/>
                <w:szCs w:val="20"/>
                <w:color w:val="auto"/>
              </w:rPr>
            </w:pPr>
            <w:r>
              <w:rPr>
                <w:rFonts w:ascii="Arial" w:cs="Arial" w:eastAsia="Arial" w:hAnsi="Arial"/>
                <w:sz w:val="18"/>
                <w:szCs w:val="18"/>
                <w:color w:val="auto"/>
                <w:w w:val="93"/>
              </w:rPr>
              <w:t>Funded status of the plan and amounts recognized in the consolidated balance</w:t>
            </w:r>
          </w:p>
        </w:tc>
        <w:tc>
          <w:tcPr>
            <w:tcW w:w="11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5"/>
                <w:szCs w:val="15"/>
                <w:color w:val="auto"/>
              </w:rPr>
            </w:pPr>
          </w:p>
        </w:tc>
        <w:tc>
          <w:tcPr>
            <w:tcW w:w="3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sheets</w:t>
            </w:r>
          </w:p>
        </w:tc>
        <w:tc>
          <w:tcPr>
            <w:tcW w:w="11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Defined Benefit Plans Measured at Fair Value on a Recurring Basis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Viskase’s defined benefit plan assets measured at fair value on a recurring basis: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8"/>
          </w:tcPr>
          <w:p>
            <w:pPr>
              <w:jc w:val="right"/>
              <w:ind w:right="392"/>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w w:val="96"/>
              </w:rPr>
              <w:t>December 31, 2020</w:t>
            </w: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Level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Level 1</w:t>
            </w:r>
          </w:p>
        </w:tc>
        <w:tc>
          <w:tcPr>
            <w:tcW w:w="18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Level 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Total</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 and Non-U.S. Plans: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Government debt securities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Exchange traded funds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Mutual funds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51"/>
        </w:trPr>
        <w:tc>
          <w:tcPr>
            <w:tcW w:w="566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r>
      <w:tr>
        <w:trPr>
          <w:trHeight w:val="129"/>
        </w:trPr>
        <w:tc>
          <w:tcPr>
            <w:tcW w:w="5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50"/>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Cash (payments) receipts for income taxes,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Non-cash dividends to non-controlling interests in subsidiary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w w:val="95"/>
              </w:rPr>
              <w:t>Non-cash Investment segment contributions from non-controlling interests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9"/>
              </w:rPr>
              <w:t>Non-cash consideration for obtaining a controlling interest in subsidiary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On February 23, 2022, the Board of Directors of the general partner of Icahn Enterprises declared a quarterly distribution in the amount of $2.00 per depositary unit, which will be paid on or about April 27, 2022 to depositary unitholders of record at the close of business on March 18, 2022. Depositary unitholders will have until April 14,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22, 2022.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As of December 31, 2021,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184" w:lineRule="exact"/>
        <w:rPr>
          <w:sz w:val="20"/>
          <w:szCs w:val="20"/>
          <w:color w:val="auto"/>
        </w:rPr>
      </w:pPr>
    </w:p>
    <w:p>
      <w:pPr>
        <w:ind w:left="60" w:right="259" w:firstLine="324"/>
        <w:spacing w:after="0" w:line="273" w:lineRule="auto"/>
        <w:rPr>
          <w:sz w:val="20"/>
          <w:szCs w:val="20"/>
          <w:color w:val="auto"/>
        </w:rPr>
      </w:pPr>
      <w:r>
        <w:rPr>
          <w:rFonts w:ascii="Arial" w:cs="Arial" w:eastAsia="Arial" w:hAnsi="Arial"/>
          <w:sz w:val="17"/>
          <w:szCs w:val="17"/>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178"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effectiveness of internal control over financial reporting.</w:t>
      </w:r>
    </w:p>
    <w:p>
      <w:pPr>
        <w:spacing w:after="0" w:line="187"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Our management has performed an assessment according to the guidelines established by COSO. Based on the assessment, management has concluded that our system of internal control over financial reporting, as of December 31, 2021, is effective.</w:t>
      </w:r>
    </w:p>
    <w:p>
      <w:pPr>
        <w:spacing w:after="0" w:line="184"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right="319" w:firstLine="324"/>
        <w:spacing w:after="0" w:line="308" w:lineRule="auto"/>
        <w:rPr>
          <w:sz w:val="20"/>
          <w:szCs w:val="20"/>
          <w:color w:val="auto"/>
        </w:rPr>
      </w:pPr>
      <w:r>
        <w:rPr>
          <w:rFonts w:ascii="Arial" w:cs="Arial" w:eastAsia="Arial" w:hAnsi="Arial"/>
          <w:sz w:val="17"/>
          <w:szCs w:val="17"/>
          <w:color w:val="auto"/>
        </w:rPr>
        <w:t>Grant Thornton LLP, our independent registered public accounting firm (PCAOB ID Number 248), has audited and issued their report on Icahn Enterprises’ internal control over financial reporting, which appears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during the fourth quarter of 2021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L.P.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ind w:left="60" w:right="59"/>
        <w:spacing w:after="0" w:line="292" w:lineRule="auto"/>
        <w:rPr>
          <w:sz w:val="20"/>
          <w:szCs w:val="20"/>
          <w:color w:val="auto"/>
        </w:rPr>
      </w:pPr>
      <w:r>
        <w:rPr>
          <w:rFonts w:ascii="Arial" w:cs="Arial" w:eastAsia="Arial" w:hAnsi="Arial"/>
          <w:sz w:val="16"/>
          <w:szCs w:val="16"/>
          <w:color w:val="auto"/>
        </w:rPr>
        <w:t xml:space="preserve">We have audited the internal control over financial reporting of Icahn Enterprises L.P. (a Delaware limited partnership) and subsidiaries (the “Partnership”)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opinion, the Partnership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6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Partnership as of and for the year ended December 31, 2021, and our report dated February 25, 2022 expressed an unqualified opinion on those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Basis </w:t>
      </w:r>
      <w:r>
        <w:rPr>
          <w:rFonts w:ascii="Arial" w:cs="Arial" w:eastAsia="Arial" w:hAnsi="Arial"/>
          <w:sz w:val="17"/>
          <w:szCs w:val="17"/>
          <w:b w:val="1"/>
          <w:bCs w:val="1"/>
          <w:color w:val="auto"/>
        </w:rPr>
        <w:t>for opinion</w:t>
      </w:r>
    </w:p>
    <w:p>
      <w:pPr>
        <w:spacing w:after="0" w:line="3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Definition </w:t>
      </w:r>
      <w:r>
        <w:rPr>
          <w:rFonts w:ascii="Arial" w:cs="Arial" w:eastAsia="Arial" w:hAnsi="Arial"/>
          <w:sz w:val="17"/>
          <w:szCs w:val="17"/>
          <w:b w:val="1"/>
          <w:bCs w:val="1"/>
          <w:color w:val="auto"/>
        </w:rPr>
        <w:t>and limitations of internal control over financial reporting</w:t>
      </w:r>
    </w:p>
    <w:p>
      <w:pPr>
        <w:spacing w:after="0" w:line="3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names, offices held and ages of the directors and executive officers of Icahn Enterprises G.P., Inc. (“Icahn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Enterprises GP”), the general partner of Icahn Enterprises L.P. (“Icahn Enterprises”)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4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Age</w:t>
            </w:r>
          </w:p>
        </w:tc>
        <w:tc>
          <w:tcPr>
            <w:tcW w:w="4660" w:type="dxa"/>
            <w:vAlign w:val="bottom"/>
          </w:tcPr>
          <w:p>
            <w:pPr>
              <w:ind w:left="20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w:t>
            </w:r>
          </w:p>
        </w:tc>
        <w:tc>
          <w:tcPr>
            <w:tcW w:w="18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David Willetts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Ted Papapostolou</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5"/>
              </w:rPr>
              <w:t>Chief Financial Officer, Chief Accounting Officer and Director</w:t>
            </w:r>
          </w:p>
        </w:tc>
      </w:tr>
      <w:tr>
        <w:trPr>
          <w:trHeight w:val="216"/>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Brett Icahn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Nevin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Denise Barton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Stephen A. Mongillo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Alvin B. Krongard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Nancy Dunlap</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115"/>
        </w:trPr>
        <w:tc>
          <w:tcPr>
            <w:tcW w:w="22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60" w:type="dxa"/>
            <w:vAlign w:val="bottom"/>
          </w:tcPr>
          <w:p>
            <w:pPr>
              <w:spacing w:after="0"/>
              <w:rPr>
                <w:sz w:val="10"/>
                <w:szCs w:val="10"/>
                <w:color w:val="auto"/>
              </w:rPr>
            </w:pPr>
          </w:p>
        </w:tc>
      </w:tr>
    </w:tbl>
    <w:p>
      <w:pPr>
        <w:spacing w:after="0" w:line="6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188"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b w:val="1"/>
          <w:bCs w:val="1"/>
          <w:i w:val="1"/>
          <w:iCs w:val="1"/>
          <w:color w:val="auto"/>
        </w:rPr>
        <w:t xml:space="preserve">Carl C. Icahn </w:t>
      </w:r>
      <w:r>
        <w:rPr>
          <w:rFonts w:ascii="Arial" w:cs="Arial" w:eastAsia="Arial" w:hAnsi="Arial"/>
          <w:sz w:val="17"/>
          <w:szCs w:val="17"/>
          <w:color w:val="auto"/>
        </w:rPr>
        <w:t>has served as Chairman of the Board and a director of Starfire Holding Corporation, a privately-held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 company, and 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w:t>
      </w:r>
    </w:p>
    <w:p>
      <w:pPr>
        <w:spacing w:after="0" w:line="180"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187"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b w:val="1"/>
          <w:bCs w:val="1"/>
          <w:i w:val="1"/>
          <w:iCs w:val="1"/>
          <w:color w:val="auto"/>
        </w:rPr>
        <w:t xml:space="preserve">David Willetts </w:t>
      </w:r>
      <w:r>
        <w:rPr>
          <w:rFonts w:ascii="Arial" w:cs="Arial" w:eastAsia="Arial" w:hAnsi="Arial"/>
          <w:sz w:val="17"/>
          <w:szCs w:val="17"/>
          <w:color w:val="auto"/>
        </w:rPr>
        <w:t>has served as Chief Executive Officer of Icahn Enterprises since November 2021 and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2021. Mr. Willets previously served as Chief Financial Officer of Icahn Enterprises from June 2021 until November 2021. In addition, Mr. Willetts has served as a Managing Director at AlixPartners, a global consulting firm which specializes in improving corporate financial and operational performance and executing corporate turnarounds. Since 2012, Mr. Willetts has worked continuously with Private Equity firms and public companies in the industrial, automotive, consumer products, retail and energy sectors. Prior to that time, he was a senior operating executive at Cerberus Capital for eight years, serving in multiple financial and operating roles including Chief Financial Officer,</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divisional Chief Executive Officer and lead executive restructuring roles within Cerberus’ operating companies. Prior to 2005, Mr. Willetts was employed at General Electric in progressive finance executive roles within General Electric’s Corporate Audit Staff and industrial business units, including as the Chief Financial Officer of GE Lighting Systems and Chief Financial Officer of GE C&amp;I Lighting, North America. Mr. Willetts graduated from Franklin and Marshall College in 1997 Summa Cum Laude, with a B.A. in business, with a double concentration in accounting and finance. Mr. Willetts has served as director of Viskase Companies, Inc., since June 2021, and CVR Energy, Inc. and CVR Partners LP since July 2021. Viskase Companies, Inc., CVR Energy, Inc. and CVR Partners LP are each indirectly controlled by Carl C. Icahn.</w:t>
      </w:r>
    </w:p>
    <w:p>
      <w:pPr>
        <w:spacing w:after="0" w:line="166" w:lineRule="exact"/>
        <w:rPr>
          <w:sz w:val="20"/>
          <w:szCs w:val="20"/>
          <w:color w:val="auto"/>
        </w:rPr>
      </w:pPr>
    </w:p>
    <w:p>
      <w:pPr>
        <w:jc w:val="both"/>
        <w:ind w:left="60" w:right="519" w:firstLine="324"/>
        <w:spacing w:after="0" w:line="311" w:lineRule="auto"/>
        <w:rPr>
          <w:sz w:val="20"/>
          <w:szCs w:val="20"/>
          <w:color w:val="auto"/>
        </w:rPr>
      </w:pPr>
      <w:r>
        <w:rPr>
          <w:rFonts w:ascii="Arial" w:cs="Arial" w:eastAsia="Arial" w:hAnsi="Arial"/>
          <w:sz w:val="16"/>
          <w:szCs w:val="16"/>
          <w:color w:val="auto"/>
        </w:rPr>
        <w:t>Mr. Willetts brings to his service as a director his significant experience in leadership roles as director of various companies as discussed above. In particular, his experience as Chief Financial Officer and divisional Chief Executive Officer of Cerberus Capital enables him to understand the complex business and financial issues that we may face.</w:t>
      </w:r>
    </w:p>
    <w:p>
      <w:pPr>
        <w:spacing w:after="0" w:line="149"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b w:val="1"/>
          <w:bCs w:val="1"/>
          <w:i w:val="1"/>
          <w:iCs w:val="1"/>
          <w:color w:val="auto"/>
        </w:rPr>
        <w:t xml:space="preserve">Ted Papapostolou </w:t>
      </w:r>
      <w:r>
        <w:rPr>
          <w:rFonts w:ascii="Arial" w:cs="Arial" w:eastAsia="Arial" w:hAnsi="Arial"/>
          <w:sz w:val="18"/>
          <w:szCs w:val="18"/>
          <w:color w:val="auto"/>
        </w:rPr>
        <w:t>has served as Chief Financial Officer of Icahn Enterprises since November 2021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Officer of Icahn Enterprises since March 2020. In addition, Mr. Papapostolou has served as director of Icahn Enterprises since December 2021 and its Secretary since April 2020. Mr. Papapostolou served in various progressive accounting positions at Icahn Enterprises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director of Viskase Companies, Inc., since April 2020. Viskase Companies, Inc., is indirectly controlled by Carl C. Icahn.</w:t>
      </w:r>
    </w:p>
    <w:p>
      <w:pPr>
        <w:spacing w:after="0" w:line="192"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b w:val="1"/>
          <w:bCs w:val="1"/>
          <w:i w:val="1"/>
          <w:iCs w:val="1"/>
          <w:color w:val="auto"/>
        </w:rPr>
        <w:t xml:space="preserve">Brett Icahn </w:t>
      </w:r>
      <w:r>
        <w:rPr>
          <w:rFonts w:ascii="Arial" w:cs="Arial" w:eastAsia="Arial" w:hAnsi="Arial"/>
          <w:sz w:val="16"/>
          <w:szCs w:val="16"/>
          <w:color w:val="auto"/>
        </w:rPr>
        <w:t>has served as a director of Icahn Enterprises’ general partner, Icahn Enterprises GP and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Manager for Icahn Capital LP, a subsidiary of Icahn Enterprises since October 2020. Mr. Icahn was previously a consultant for Icahn Enterprises, where he exclusively provided investment advice to Carl C. Icahn with respect to the investment strategy for Icahn Enterprises’ Investment segment and with respect to capital allocation across Icahn Enterprises’ various operating subsidiaries from 2017 to 2020. From 2010 to 2017, Mr. Icahn was responsible for co-executing an investment strategy across all industries as a Portfolio Manager of the Sargon Portfolio for Icahn Capital LP, the entity through which Carl C. Icahn manages investment funds. From 2002 to 2010, Mr. Icahn served as an investment analyst for Icahn Capital LP and in a variety of investment advisory roles for Carl C. Icahn. Mr. Icahn has been a director of Newell Brands Inc., a global marketer of consumer and commercial products, since March 2018, and Bausch Health Companies Inc., a manufacturer and marketer of pharmaceuticals, over the counter products and medical devices, since March 2021. Mr. Icahn was previously a director of: Nuance Communications, Inc., a provider of voice and language solutions, from October 2013 to March 2016; Voltari Corporation, a mobile data services provider, from January 2010 to August 2014; American Railcar Industries, Inc., a railcar manufacturing company, from January 2007 to June 2014; Cadus Corporation, a company engaged in the acquisition of real estate for renovation or construction and resale, from January 2010 to February 2014; Take-Two Interactive Software Inc., a publisher of interactive entertainment products, from April 2010 to November 2013; and The Hain Celestial Group, Inc., a natural and organic products company, from July 2010 to November 2013. Voltari Corporation, American Railcar Industries and Cadus Corporation were previously indirectly controlled by Carl C. Icahn. Carl C. Icahn also has or previously had non-controlling interests in Newell Brands Inc., Nuance Communications, Inc., Take-Two Interactive Software Inc. and the Hain Celestial Group through the ownership of securities. Brett Icahn is the son of Carl C. Icahn.</w:t>
      </w:r>
    </w:p>
    <w:p>
      <w:pPr>
        <w:spacing w:after="0" w:line="182"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Mr. Icahn brings to his service as a director his significant experience in leadership roles as director of various companies as discussed above. In addition, Mr. Icahn is uniquely qualified based on his prior experience working as an investment analyst for Icahn Capital LP.</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 xml:space="preserve">Michael Nevin </w:t>
      </w:r>
      <w:r>
        <w:rPr>
          <w:rFonts w:ascii="Arial" w:cs="Arial" w:eastAsia="Arial" w:hAnsi="Arial"/>
          <w:sz w:val="18"/>
          <w:szCs w:val="18"/>
          <w:color w:val="auto"/>
        </w:rPr>
        <w:t>has served as a director of Icahn Enterprises’ general partner, Icahn Enterprises GP,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2018 and has served as Managing Director from June 2018 until August 2019. In addition, Mr. Nevin has served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Chief Financial Officer of Icahn Automotive Group LLC since February 2019. From July 2015 to June 2018, Mr. Nevin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served as a Financial Analyst at Icahn Enterprises. Prior to joining Icahn Enterprises, Mr. Nevin was employed by Jefferies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LLC as a Research Analyst from 2014 to 2015 covering the utilities sector. Mr. Nevin was also employed by JP Morgan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Bank in various roles from 2009 to 2014, most recently as an Associate from 2012 to 2014. Mr. Nevin currently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serves as director of certain subsidiaries of Icahn Automotive Group LLC. Mr. Nevin was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previously: a director of Viskase Companies, Inc. from April 2017 until January 2022; a director of Conduent Incorporated, a provider of business process outsourcing services, from December 2016 through August 2019; a director of Ferrous Resources Ltd, an iron ore mining company, from December 2016 through its sale in August 2019; a director of American Railcar Industries, Inc., a railcar manufacturing company, from February 2017 through its sale in December 2018; and a director of Federal-Mogul LLC, a supplier of automotive powertrain and safety components, from February 2016 through its sale in October 2018. Viskase Companies, Inc., is indirectly controlled by Carl C. Icahn. Ferrous Resources Ltd., American Railcar Industries, Inc. and Federal-Mogul LLC were previously indirectly controlled by Mr. Icahn. Carl C. Icahn also has a non-controlling interests in Conduent Incorporated through the ownership of securities. Mr. Nevin is married to the daughter of Carl C. Icahn.</w:t>
      </w:r>
    </w:p>
    <w:p>
      <w:pPr>
        <w:spacing w:after="0" w:line="181"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Mr. Nevin brings to his service as a director his significant experience in leadership roles as director of various companies as discussed above. In particular, his service as Chief Financial Officer of Icahn Automotive enables him to understand the complex business and financial issues that we may face.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 xml:space="preserve">Denise Barton </w:t>
      </w:r>
      <w:r>
        <w:rPr>
          <w:rFonts w:ascii="Arial" w:cs="Arial" w:eastAsia="Arial" w:hAnsi="Arial"/>
          <w:sz w:val="18"/>
          <w:szCs w:val="18"/>
          <w:color w:val="auto"/>
        </w:rPr>
        <w:t>has served as a director of Icahn Enterprises’ general partner, Icahn Enterprises GP,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2019 and was a member of our audit committee from September 2019 until April 2021. In addition, Ms. Barton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has served as Chief Financial Officer of IEH Auto Parts LLC, a subsidiary of Icahn Enterprises since July of 2021 and both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Chief Executive Officer and Chief Financial Officer of IEH Auto Parts LLC since September 2021. Ms. Barton currently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serves as director of certain subsidiaries of Icahn Automotive Group LLC. Previously, Ms. Barton has served on the board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directors and audit committee for Viskase Companies, Inc., a subsidiary of Icahn Enterprises, from May 2016 until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January 2022 and served on the board of directors and audit committee for Trump Entertainment Resorts, Inc., a subsidiary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Icahn Enterprises, from February 2016 through June 2017. Ms. Barton served as a member of the Operating Executive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Board of Gotham Private Equity Partners, LP, a New York based merchant banking firm, from March 2010 through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January 2014. Ms. Barton served as the Chief Financial Officer for Land Holdings I, LLC, a company formed to develop,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own and operate the Scarlet Pearl Casino Resort, from March 2012 through March 2017. In addition, Ms. Barton has over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 years’ experience in public accounting and has served as Chief Financial Officer in both public and private companies.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Ms. Barton is a certified public accountant and has been licensed by the Nevada State Gaming Control Commission,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Jersey Casino Control Commission and the Mississippi Gaming Commission.</w:t>
      </w:r>
    </w:p>
    <w:p>
      <w:pPr>
        <w:spacing w:after="0" w:line="211"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spacing w:after="0" w:line="184"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b w:val="1"/>
          <w:bCs w:val="1"/>
          <w:i w:val="1"/>
          <w:iCs w:val="1"/>
          <w:color w:val="auto"/>
        </w:rPr>
        <w:t xml:space="preserve">Stephen A. Mongillo </w:t>
      </w:r>
      <w:r>
        <w:rPr>
          <w:rFonts w:ascii="Arial" w:cs="Arial" w:eastAsia="Arial" w:hAnsi="Arial"/>
          <w:sz w:val="16"/>
          <w:szCs w:val="16"/>
          <w:color w:val="auto"/>
        </w:rPr>
        <w:t>has served as a director of Icahn Enterprises’ general partner, Icahn Enterprises GP,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2020 and is a member of our audit committee. Mr. Mongillo has served as a director of CVR Energy, Inc., a majority owned subsidiary of Icahn Enterprises, since May 2012. Mr. Mongillo is currently, and has been since April 2012, the Chairman and Chief Executive Officer of AMPF, Inc., a distributor of picture frame mouldings and supplies of which he is also the principal shareholder. Previously, Mr. Mongillo served as: a director of HERC Holdings, Inc., a publicly traded equipment rental company, from 2016 until 2018; a director of American Railcar Industries, Inc from 2009 until 2011; a director of WestPoint Home LLC, from March 2009 until January 2011; and a managing director of Icahn Capital LP, from January 2008 until January 2011. Icahn Capital LP and WestPoint Home, LLC are each indirectly controlled by Carl C. Icahn. American Railcar Industries, Inc. was previously indirectly controlled by Carl C. Icahn. Carl C. Icahn also previously had non-controlling interests in HERC Holdings, Inc through the ownership of securities. Mr. Mongillo received a B.A. from Trinity College and an M.B.A from the Amos Tuck School of Business Administration at Dartmouth College.</w:t>
      </w:r>
    </w:p>
    <w:p>
      <w:pPr>
        <w:spacing w:after="0" w:line="172" w:lineRule="exact"/>
        <w:rPr>
          <w:sz w:val="20"/>
          <w:szCs w:val="20"/>
          <w:color w:val="auto"/>
        </w:rPr>
      </w:pPr>
    </w:p>
    <w:p>
      <w:pPr>
        <w:ind w:left="60" w:right="439" w:firstLine="324"/>
        <w:spacing w:after="0" w:line="263" w:lineRule="auto"/>
        <w:rPr>
          <w:sz w:val="20"/>
          <w:szCs w:val="20"/>
          <w:color w:val="auto"/>
        </w:rPr>
      </w:pPr>
      <w:r>
        <w:rPr>
          <w:rFonts w:ascii="Arial" w:cs="Arial" w:eastAsia="Arial" w:hAnsi="Arial"/>
          <w:sz w:val="18"/>
          <w:szCs w:val="18"/>
          <w:color w:val="auto"/>
        </w:rPr>
        <w:t>Mr. Mongillo brings to his service as a director his significant experience in leadership roles as director of various companies as discussed above. In particular, his service as Chief Executive Officer of AMPF, Inc. enables him to understand the complex business and financial issues that we may face.</w:t>
      </w:r>
    </w:p>
    <w:p>
      <w:pPr>
        <w:spacing w:after="0" w:line="184"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b w:val="1"/>
          <w:bCs w:val="1"/>
          <w:i w:val="1"/>
          <w:iCs w:val="1"/>
          <w:color w:val="auto"/>
        </w:rPr>
        <w:t xml:space="preserve">Alvin B. Krongard </w:t>
      </w:r>
      <w:r>
        <w:rPr>
          <w:rFonts w:ascii="Arial" w:cs="Arial" w:eastAsia="Arial" w:hAnsi="Arial"/>
          <w:sz w:val="16"/>
          <w:szCs w:val="16"/>
          <w:color w:val="auto"/>
        </w:rPr>
        <w:t>has served as a director of Icahn Enterprises’ general partner, Icahn Enterprises GP,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2019 and is a member of our audit committee. Mr. Krongard currently serves as a director and a member of the audit committee of the board of directors of Apollo Global Management, LLC; as a director and chairman of the corporate governance committee and the investment committee of the board of directors of Iridium Communications Inc.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and previously served as the lead independent director and chairman of the audit committee of the board of directors of Under Armour, Inc from March 2019 until May 2020.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merger of Alex.Brown with Bankers Trust Corporation in 1997, Mr. Krongard became Vice Chairman of the Board of Bankers Trust and served in such capacity until joining the Central Intelligence Agency in 1998.</w:t>
      </w:r>
    </w:p>
    <w:p>
      <w:pPr>
        <w:spacing w:after="0" w:line="177"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Mr. Krongard brings to his service as a director his significant experience in leadership roles as director of various companies as discussed above. In particular, his service as Chief Executive Officer of Alex.Brown, Incorporated enables him to understand the complex business and financial issues that we may face.</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b w:val="1"/>
          <w:bCs w:val="1"/>
          <w:i w:val="1"/>
          <w:iCs w:val="1"/>
          <w:color w:val="auto"/>
        </w:rPr>
        <w:t xml:space="preserve">Nancy Dunlap </w:t>
      </w:r>
      <w:r>
        <w:rPr>
          <w:rFonts w:ascii="Arial" w:cs="Arial" w:eastAsia="Arial" w:hAnsi="Arial"/>
          <w:sz w:val="17"/>
          <w:szCs w:val="17"/>
          <w:color w:val="auto"/>
        </w:rPr>
        <w:t>has served as a director of Icahn Enterprises’ general partner, Icahn Enterprises GP, since April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a member of our audit committee. Ms. Dunlap currently serves as the private counsel and head of the private family office of former New Jersey Governor and United States Senator Jon S. Corzine. Since 1999, Ms. Dunlap has overseen all personal investment and legal affairs of the Corzine Family Office. As head of Mr. Corzine’s private family office, Ms. Dunlap also serves as a Trustee of the Jon S. Corzine Trust and as Director of the Jon S. Corzine Foundation. Ms. Dunlap was previously a director of: CVR Refining, LP, from July 2018 to February 2019; and Equita Sim, a private investment bank headquartered in Milan, Italy, from November 2010 to September 2015. CVR Partners LP is indirectly controlled by Mr. Icahn. Ms. Dunlap was also previously a director of Amp Electric Vehicles from March 2010 to September 2012. Ms. Dunlap received a Juris Doctor from St. John’s University School of Law and a Bachelor of Arts from University of Denver.</w:t>
      </w:r>
    </w:p>
    <w:p>
      <w:pPr>
        <w:spacing w:after="0" w:line="185"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Ms. Dunlap brings to her service as a director her significant experience in leadership roles as director of various companies as discussed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 xml:space="preserve">Stephen A. Mongillo, Alvin B. Krongard and Nancy Dunlap serve on our audit committee. Stephen A. Mongillo is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Arial" w:cs="Arial" w:eastAsia="Arial" w:hAnsi="Arial"/>
          <w:sz w:val="18"/>
          <w:szCs w:val="18"/>
          <w:i w:val="1"/>
          <w:iCs w:val="1"/>
          <w:color w:val="auto"/>
        </w:rPr>
        <w:t xml:space="preserve">www.ielp.com/corporate-governance </w:t>
      </w:r>
      <w:r>
        <w:rPr>
          <w:rFonts w:ascii="Arial" w:cs="Arial" w:eastAsia="Arial" w:hAnsi="Arial"/>
          <w:sz w:val="18"/>
          <w:szCs w:val="18"/>
          <w:color w:val="auto"/>
        </w:rPr>
        <w:t>or may be obtained without charge by writing to Icahn Enterprises L.P., 16690 Collins Avenue, PH-1, Sunny</w:t>
      </w:r>
      <w:r>
        <w:rPr>
          <w:rFonts w:ascii="Arial" w:cs="Arial" w:eastAsia="Arial" w:hAnsi="Arial"/>
          <w:sz w:val="18"/>
          <w:szCs w:val="18"/>
          <w:i w:val="1"/>
          <w:iCs w:val="1"/>
          <w:color w:val="auto"/>
        </w:rPr>
        <w:t xml:space="preserve"> </w:t>
      </w:r>
      <w:r>
        <w:rPr>
          <w:rFonts w:ascii="Arial" w:cs="Arial" w:eastAsia="Arial" w:hAnsi="Arial"/>
          <w:sz w:val="18"/>
          <w:szCs w:val="18"/>
          <w:color w:val="auto"/>
        </w:rPr>
        <w:t>Isles Beach, FL 33160, Attention: Investor Relations.</w:t>
      </w:r>
    </w:p>
    <w:p>
      <w:pPr>
        <w:spacing w:after="0" w:line="192"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When necessary, our audit committee holds informal meetings, meets with its independent counsel, and, when appropriate, with independent financial advisers.</w:t>
      </w:r>
    </w:p>
    <w:p>
      <w:pPr>
        <w:spacing w:after="0" w:line="166"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187"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Interested parties may directly communicate with the presiding director of the audit committee or with the non-management directors of the audit committee as a group by directing all inquiries to our ethics hotline at (800) 737-1213.</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The audit committee has confirmed that: (1) the audit committee reviewed and discussed our audited financial statements for the year ended December 31, 2021 with management; (2) the audit committee has discussed with our independent auditors the matters required to be discussed by the applicable requirements of the Public Company Accounting Oversight Board (“PCAOB”) and the SEC; (3) the audit committee has received the written disclosures and the letter from the independent accountants required by the applicable requirements of the PCAOB regarding the independent accountant’s communication with the audit committee concerning independence, and has discussed with the independent accountant the independent accountant’s independence; and (4) based on the review and discussions referred to in clauses</w:t>
      </w:r>
    </w:p>
    <w:p>
      <w:pPr>
        <w:spacing w:after="0" w:line="2"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(1), (2) and (3) above, the audit committee recommended to the board of directors that our audited financial statements for the year ended December 31, 2021 be included in this Report.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Stephen A. Mongillo</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Alvin B. Krongard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Nancy Dunlap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Code of Ethics and Business Conduct</w:t>
      </w:r>
    </w:p>
    <w:p>
      <w:pPr>
        <w:spacing w:after="0" w:line="225" w:lineRule="exact"/>
        <w:rPr>
          <w:sz w:val="20"/>
          <w:szCs w:val="20"/>
          <w:color w:val="auto"/>
        </w:rPr>
      </w:pPr>
    </w:p>
    <w:p>
      <w:pPr>
        <w:ind w:left="60" w:right="519" w:firstLine="324"/>
        <w:spacing w:after="0" w:line="275" w:lineRule="auto"/>
        <w:rPr>
          <w:sz w:val="20"/>
          <w:szCs w:val="20"/>
          <w:color w:val="auto"/>
        </w:rPr>
      </w:pPr>
      <w:r>
        <w:rPr>
          <w:rFonts w:ascii="Arial" w:cs="Arial" w:eastAsia="Arial" w:hAnsi="Arial"/>
          <w:sz w:val="17"/>
          <w:szCs w:val="17"/>
          <w:color w:val="auto"/>
        </w:rPr>
        <w:t xml:space="preserve">Icahn Enterprises GP’s board of directors has adopted a Code of Ethics and Business Conduct applicable to all directors, officers and employees, including our principal executive officer, principal financial officer and principal accounting officer. A copy of the Code of Ethics and Business Conduct is available on our website at </w:t>
      </w:r>
      <w:r>
        <w:rPr>
          <w:rFonts w:ascii="Arial" w:cs="Arial" w:eastAsia="Arial" w:hAnsi="Arial"/>
          <w:sz w:val="17"/>
          <w:szCs w:val="17"/>
          <w:i w:val="1"/>
          <w:iCs w:val="1"/>
          <w:color w:val="auto"/>
        </w:rPr>
        <w:t xml:space="preserve">www.ielp.com/corporate-governance </w:t>
      </w:r>
      <w:r>
        <w:rPr>
          <w:rFonts w:ascii="Arial" w:cs="Arial" w:eastAsia="Arial" w:hAnsi="Arial"/>
          <w:sz w:val="17"/>
          <w:szCs w:val="17"/>
          <w:color w:val="auto"/>
        </w:rPr>
        <w:t>and may be obtained without charge by writing to Icahn Enterprises L.P., 16690</w:t>
      </w:r>
      <w:r>
        <w:rPr>
          <w:rFonts w:ascii="Arial" w:cs="Arial" w:eastAsia="Arial" w:hAnsi="Arial"/>
          <w:sz w:val="17"/>
          <w:szCs w:val="17"/>
          <w:i w:val="1"/>
          <w:iCs w:val="1"/>
          <w:color w:val="auto"/>
        </w:rPr>
        <w:t xml:space="preserve"> </w:t>
      </w:r>
      <w:r>
        <w:rPr>
          <w:rFonts w:ascii="Arial" w:cs="Arial" w:eastAsia="Arial" w:hAnsi="Arial"/>
          <w:sz w:val="17"/>
          <w:szCs w:val="17"/>
          <w:color w:val="auto"/>
        </w:rPr>
        <w:t>Collins Avenue, PH-1, Sunny Isles Beach, FL 33160, Attention: Investor Relations.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Pursuant to Rule 5615(a)(4)(J) of the Nasdaq corporate governance requirements, in the event that an executive officer of Icahn Enterprises’, or a person performing an equivalent role, becomes aware of any noncompliance with Nasdaq’s corporate governance requirements, he or she is required to provide prompt notice to Nasdaq of such noncompliance. As of February 25, 2022, we believe that we are compliant with Nasdaq’s corporate governance requirements.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leadership structure includes the positions of Chairman of the Board (“Chairman”) and Chief Executive Officer.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Mr. Icahn serves as our Chairman and Mr. Willetts serves as our Chief Executive Officer.</w:t>
      </w:r>
    </w:p>
    <w:p>
      <w:pPr>
        <w:spacing w:after="0" w:line="211"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225"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178" w:lineRule="exact"/>
        <w:rPr>
          <w:sz w:val="20"/>
          <w:szCs w:val="20"/>
          <w:color w:val="auto"/>
        </w:rPr>
      </w:pPr>
    </w:p>
    <w:p>
      <w:pPr>
        <w:jc w:val="both"/>
        <w:ind w:left="60" w:right="399" w:firstLine="324"/>
        <w:spacing w:after="0" w:line="263" w:lineRule="auto"/>
        <w:rPr>
          <w:sz w:val="20"/>
          <w:szCs w:val="20"/>
          <w:color w:val="auto"/>
        </w:rPr>
      </w:pPr>
      <w:r>
        <w:rPr>
          <w:rFonts w:ascii="Arial" w:cs="Arial" w:eastAsia="Arial" w:hAnsi="Arial"/>
          <w:sz w:val="18"/>
          <w:szCs w:val="18"/>
          <w:color w:val="auto"/>
        </w:rPr>
        <w:t>The board of directors met seven times during 2021, including four regularly scheduled meetings and three special meetings. All of the directors who served during all of 2021 attended at least 75% of the total meetings of the board of directors and each of its committees on which such director served.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Structure and Reporting Requirements</w:t>
      </w:r>
    </w:p>
    <w:p>
      <w:pPr>
        <w:spacing w:after="0" w:line="229"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Icahn Enterprises is a master limited partnership (“MLP”) and is not subject to the proxy solicitation rules as required by section 14A of the Exchange Act or §240.14a-20.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2021, whom we refer to as our named executive officers:</w:t>
      </w:r>
    </w:p>
    <w:p>
      <w:pPr>
        <w:spacing w:after="0" w:line="188"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Carl C. Icahn, Chairman of the Board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David Willetts, President and Chief Executive Officer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Ted Papapostolou, Chief Financial Officer and Chief Accounting Officer</w:t>
      </w:r>
    </w:p>
    <w:p>
      <w:pPr>
        <w:spacing w:after="0" w:line="21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Aris Kekedjian, Former President and Chief Executive Officer</w:t>
      </w:r>
      <w:r>
        <w:rPr>
          <w:rFonts w:ascii="Arial" w:cs="Arial" w:eastAsia="Arial" w:hAnsi="Arial"/>
          <w:sz w:val="26"/>
          <w:szCs w:val="26"/>
          <w:color w:val="auto"/>
          <w:vertAlign w:val="superscript"/>
        </w:rPr>
        <w:t>(1)</w:t>
      </w:r>
    </w:p>
    <w:p>
      <w:pPr>
        <w:spacing w:after="0" w:line="133"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Keith Cozza, Former President and Chief Executive Officer</w:t>
      </w:r>
      <w:r>
        <w:rPr>
          <w:rFonts w:ascii="Arial" w:cs="Arial" w:eastAsia="Arial" w:hAnsi="Arial"/>
          <w:sz w:val="26"/>
          <w:szCs w:val="26"/>
          <w:color w:val="auto"/>
          <w:vertAlign w:val="superscript"/>
        </w:rPr>
        <w:t>(2)</w:t>
      </w:r>
    </w:p>
    <w:p>
      <w:pPr>
        <w:spacing w:after="0" w:line="133"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SungHwan Cho, Former Chief Financial Officer</w:t>
      </w:r>
      <w:r>
        <w:rPr>
          <w:rFonts w:ascii="Arial" w:cs="Arial" w:eastAsia="Arial" w:hAnsi="Arial"/>
          <w:sz w:val="26"/>
          <w:szCs w:val="26"/>
          <w:color w:val="auto"/>
          <w:vertAlign w:val="superscript"/>
        </w:rPr>
        <w:t>(3)</w:t>
      </w:r>
    </w:p>
    <w:p>
      <w:pPr>
        <w:spacing w:after="0" w:line="138" w:lineRule="exact"/>
        <w:rPr>
          <w:rFonts w:ascii="Arial" w:cs="Arial" w:eastAsia="Arial" w:hAnsi="Arial"/>
          <w:sz w:val="18"/>
          <w:szCs w:val="18"/>
          <w:color w:val="auto"/>
        </w:rPr>
      </w:pPr>
    </w:p>
    <w:p>
      <w:pPr>
        <w:ind w:left="1040" w:right="159" w:hanging="315"/>
        <w:spacing w:after="0" w:line="253" w:lineRule="auto"/>
        <w:tabs>
          <w:tab w:leader="none" w:pos="1040" w:val="left"/>
        </w:tabs>
        <w:numPr>
          <w:ilvl w:val="1"/>
          <w:numId w:val="23"/>
        </w:numPr>
        <w:rPr>
          <w:rFonts w:ascii="Arial" w:cs="Arial" w:eastAsia="Arial" w:hAnsi="Arial"/>
          <w:sz w:val="11"/>
          <w:szCs w:val="11"/>
          <w:color w:val="auto"/>
        </w:rPr>
      </w:pPr>
      <w:r>
        <w:rPr>
          <w:rFonts w:ascii="Arial" w:cs="Arial" w:eastAsia="Arial" w:hAnsi="Arial"/>
          <w:sz w:val="14"/>
          <w:szCs w:val="14"/>
          <w:color w:val="auto"/>
        </w:rPr>
        <w:t>Mr. Kekedjian served as President and Chief Executive Officer from May 10, 2021 until November 5, 2021, after which time he was no longer employed with us.</w:t>
      </w:r>
    </w:p>
    <w:p>
      <w:pPr>
        <w:spacing w:after="0" w:line="173" w:lineRule="exact"/>
        <w:rPr>
          <w:rFonts w:ascii="Arial" w:cs="Arial" w:eastAsia="Arial" w:hAnsi="Arial"/>
          <w:sz w:val="11"/>
          <w:szCs w:val="11"/>
          <w:color w:val="auto"/>
        </w:rPr>
      </w:pPr>
    </w:p>
    <w:p>
      <w:pPr>
        <w:jc w:val="both"/>
        <w:ind w:left="1040" w:right="119" w:hanging="315"/>
        <w:spacing w:after="0" w:line="238" w:lineRule="auto"/>
        <w:tabs>
          <w:tab w:leader="none" w:pos="1040" w:val="left"/>
        </w:tabs>
        <w:numPr>
          <w:ilvl w:val="1"/>
          <w:numId w:val="23"/>
        </w:numPr>
        <w:rPr>
          <w:rFonts w:ascii="Arial" w:cs="Arial" w:eastAsia="Arial" w:hAnsi="Arial"/>
          <w:sz w:val="11"/>
          <w:szCs w:val="11"/>
          <w:color w:val="auto"/>
        </w:rPr>
      </w:pPr>
      <w:r>
        <w:rPr>
          <w:rFonts w:ascii="Arial" w:cs="Arial" w:eastAsia="Arial" w:hAnsi="Arial"/>
          <w:sz w:val="14"/>
          <w:szCs w:val="14"/>
          <w:color w:val="auto"/>
        </w:rPr>
        <w:t>Mr. Cozza served as President and Chief Executive Officer until May 10, 2021 and continued to be employed by us until May 28, 2021. In addition, during his employment with us, Mr. Cozza also served as the Chief Operating Officer of Icahn Capital LP, served as director of Icahn Enterprises and held officer and/or director positions at certain of our other subsidiaries.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40" w:right="199" w:hanging="315"/>
        <w:spacing w:after="0" w:line="253" w:lineRule="auto"/>
        <w:tabs>
          <w:tab w:leader="none" w:pos="1040" w:val="left"/>
        </w:tabs>
        <w:numPr>
          <w:ilvl w:val="0"/>
          <w:numId w:val="24"/>
        </w:numPr>
        <w:rPr>
          <w:rFonts w:ascii="Arial" w:cs="Arial" w:eastAsia="Arial" w:hAnsi="Arial"/>
          <w:sz w:val="11"/>
          <w:szCs w:val="11"/>
          <w:color w:val="auto"/>
        </w:rPr>
      </w:pPr>
      <w:r>
        <w:rPr>
          <w:rFonts w:ascii="Arial" w:cs="Arial" w:eastAsia="Arial" w:hAnsi="Arial"/>
          <w:sz w:val="14"/>
          <w:szCs w:val="14"/>
          <w:color w:val="auto"/>
        </w:rPr>
        <w:t>Mr. Cho served as Chief Financial Officer and as a director of Icahn Enterprises until June 18, 2021, after which time he was no longer employed with us.</w:t>
      </w:r>
    </w:p>
    <w:p>
      <w:pPr>
        <w:spacing w:after="0" w:line="178"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22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Throughout this narrative discussion and in the accompanying table, we refer to our named executive officers. The key compensation package provided to our named executive officers consists of (i) base salary, (ii) incentive compensation and</w:t>
      </w:r>
    </w:p>
    <w:p>
      <w:pPr>
        <w:ind w:left="60" w:right="99" w:hanging="10"/>
        <w:spacing w:after="0" w:line="290" w:lineRule="auto"/>
        <w:tabs>
          <w:tab w:leader="none" w:pos="3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benefits. The key compensation provided to our named executive officers for 2021 consisted of salary, bonuses and deferred unit awards. See “Additional Information Regarding Executive Compensation - Summary Compensation Table” for the compensation received by each of our named executive officers for 2021. Executive compensation levels are established based upon the recommendation of our Chairman, which are discussed with members of the Board. The Board does not delegate the authority to establish executive officer compensation to any other person and has not retained any compensation consultants to determine or recommend the amount or form of executive and director compensation.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left="60" w:right="139" w:firstLine="324"/>
        <w:spacing w:after="0" w:line="279" w:lineRule="auto"/>
        <w:rPr>
          <w:sz w:val="20"/>
          <w:szCs w:val="20"/>
          <w:color w:val="auto"/>
        </w:rPr>
      </w:pPr>
      <w:r>
        <w:rPr>
          <w:rFonts w:ascii="Arial" w:cs="Arial" w:eastAsia="Arial" w:hAnsi="Arial"/>
          <w:sz w:val="17"/>
          <w:szCs w:val="17"/>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17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primary components of our executive compensation are base salary and annual bonus, payable in cash, and deferred unit awards.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 Deferred unit awards are also provided to motivate future performance and retain highly qualified key employees.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225" w:lineRule="exact"/>
        <w:rPr>
          <w:sz w:val="20"/>
          <w:szCs w:val="20"/>
          <w:color w:val="auto"/>
        </w:rPr>
      </w:pPr>
    </w:p>
    <w:p>
      <w:pPr>
        <w:ind w:left="60" w:right="279" w:firstLine="324"/>
        <w:spacing w:after="0" w:line="279" w:lineRule="auto"/>
        <w:rPr>
          <w:sz w:val="20"/>
          <w:szCs w:val="20"/>
          <w:color w:val="auto"/>
        </w:rPr>
      </w:pPr>
      <w:r>
        <w:rPr>
          <w:rFonts w:ascii="Arial" w:cs="Arial" w:eastAsia="Arial" w:hAnsi="Arial"/>
          <w:sz w:val="17"/>
          <w:szCs w:val="17"/>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171"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184" w:lineRule="exact"/>
        <w:rPr>
          <w:sz w:val="20"/>
          <w:szCs w:val="20"/>
          <w:color w:val="auto"/>
        </w:rPr>
      </w:pPr>
    </w:p>
    <w:p>
      <w:pPr>
        <w:ind w:left="800" w:hanging="318"/>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225" w:lineRule="exact"/>
        <w:rPr>
          <w:rFonts w:ascii="Arial" w:cs="Arial" w:eastAsia="Arial" w:hAnsi="Arial"/>
          <w:sz w:val="18"/>
          <w:szCs w:val="18"/>
          <w:color w:val="auto"/>
        </w:rPr>
      </w:pPr>
    </w:p>
    <w:p>
      <w:pPr>
        <w:ind w:left="800" w:right="339" w:hanging="318"/>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70" w:lineRule="exact"/>
        <w:rPr>
          <w:rFonts w:ascii="Arial" w:cs="Arial" w:eastAsia="Arial" w:hAnsi="Arial"/>
          <w:sz w:val="18"/>
          <w:szCs w:val="18"/>
          <w:color w:val="auto"/>
        </w:rPr>
      </w:pPr>
    </w:p>
    <w:p>
      <w:pPr>
        <w:ind w:left="800" w:right="219" w:hanging="318"/>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225"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Base salaries for executive officers are determined based on job performance, job responsibilities and teamwork.</w:t>
      </w:r>
    </w:p>
    <w:p>
      <w:pPr>
        <w:spacing w:after="0" w:line="237"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Mr. Icahn is currently an at will employee serving as Chairman of the Board of Icahn Enterprises GP, Chairman of the Board and Chief Executive Officer of Icahn Capital LP and Chief Executive Officer of the Investment Funds.</w:t>
      </w:r>
    </w:p>
    <w:p>
      <w:pPr>
        <w:spacing w:after="0" w:line="146"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184"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Unit Awards</w:t>
      </w:r>
    </w:p>
    <w:p>
      <w:pPr>
        <w:spacing w:after="0" w:line="225"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For 2021, Messrs. Willets, Papapostolou and Kekedjian were our only named executive officers who were granted deferred unit awards under our 2017 Incentive Plan. Deferred unit awards are granted to key employees in order to align the interests of executives with our unitholders, provide competitive financial incentives and to promote continuity of management.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401(k) Plan and Other Benefits</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For 2021, Messrs. Willets, Papapostolou, Kekedjian, Cozza, and Cho were our only named executive officers participating in our qualified Icahn Enterprises Holdings 401(k) Plan (the “401(k) Plan”), and thus received matching contributions for 2021. The matching contributions for the respective named executive officer in 2020 are disclosed in our Summary Compensation Table under “All Other Compensation” and in the related footnote. Mr. Icahn was our only named executive who did not participate in the 401(k) Plan for 2021. Our 401(k) Plan helps employees save and prepare financially for retirement.</w:t>
      </w:r>
    </w:p>
    <w:p>
      <w:pPr>
        <w:spacing w:after="0" w:line="192"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86" w:lineRule="auto"/>
        <w:rPr>
          <w:sz w:val="20"/>
          <w:szCs w:val="20"/>
          <w:color w:val="auto"/>
        </w:rPr>
      </w:pPr>
      <w:r>
        <w:rPr>
          <w:rFonts w:ascii="Arial" w:cs="Arial" w:eastAsia="Arial" w:hAnsi="Arial"/>
          <w:sz w:val="17"/>
          <w:szCs w:val="17"/>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Perquisites</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total value of all perquisites and personal benefits (exclusive of 401(k) Plan matching contributions) provided to each of our named executive officers for 2021, 2020 and 2019 was less than $10,000 per person.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CEO Pay Ratio</w:t>
      </w:r>
    </w:p>
    <w:p>
      <w:pPr>
        <w:spacing w:after="0" w:line="225" w:lineRule="exact"/>
        <w:rPr>
          <w:sz w:val="20"/>
          <w:szCs w:val="20"/>
          <w:color w:val="auto"/>
        </w:rPr>
      </w:pPr>
    </w:p>
    <w:p>
      <w:pPr>
        <w:ind w:left="140" w:right="279" w:firstLine="378"/>
        <w:spacing w:after="0" w:line="254" w:lineRule="auto"/>
        <w:rPr>
          <w:sz w:val="20"/>
          <w:szCs w:val="20"/>
          <w:color w:val="auto"/>
        </w:rPr>
      </w:pPr>
      <w:r>
        <w:rPr>
          <w:rFonts w:ascii="Arial" w:cs="Arial" w:eastAsia="Arial" w:hAnsi="Arial"/>
          <w:sz w:val="18"/>
          <w:szCs w:val="18"/>
          <w:color w:val="auto"/>
        </w:rPr>
        <w:t>Our Chief Executive Officer to median employee pay ratio (“CEO Pay Ratio”) is calculated in accordance with Regulation S-K. To determine our Chief Executive Officer pay ratio and our median employee, we utilized data as of December 31, 2021 (the "Determination Date"). As of the Determination Date, we and our consolidated subsidiaries employed approximately 19,500 full-time, part- time, temporary and seasonal employees, of which approximately 19% were employed internationally. From this population of employees, as permitted by Regulation S-K, we excluded all employees (totaling 386 employees) located in the following countries, which represented approximately 2.0% of our total employee population:</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80" w:type="dxa"/>
            <w:vAlign w:val="bottom"/>
            <w:gridSpan w:val="2"/>
          </w:tcPr>
          <w:p>
            <w:pPr>
              <w:ind w:left="20"/>
              <w:spacing w:after="0"/>
              <w:rPr>
                <w:sz w:val="20"/>
                <w:szCs w:val="20"/>
                <w:color w:val="auto"/>
              </w:rPr>
            </w:pPr>
            <w:r>
              <w:rPr>
                <w:rFonts w:ascii="Arial" w:cs="Arial" w:eastAsia="Arial" w:hAnsi="Arial"/>
                <w:sz w:val="18"/>
                <w:szCs w:val="18"/>
                <w:b w:val="1"/>
                <w:bCs w:val="1"/>
                <w:color w:val="auto"/>
              </w:rPr>
              <w:t>Country</w:t>
            </w:r>
          </w:p>
        </w:tc>
        <w:tc>
          <w:tcPr>
            <w:tcW w:w="222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Employees</w:t>
            </w:r>
          </w:p>
        </w:tc>
      </w:tr>
      <w:tr>
        <w:trPr>
          <w:trHeight w:val="210"/>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Aruba</w:t>
            </w:r>
          </w:p>
        </w:tc>
        <w:tc>
          <w:tcPr>
            <w:tcW w:w="22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We identified the median employee by examining the 2021 total cash compensation (inclusive of any bonuses) for all individuals, excluding our Chief Executive Officer, who were employed by us on the Determination Date. 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spacing w:after="0" w:line="16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After identifying the median employee based on total cash compensation, we calculated the total annual compensation for such employee using the same methodology we use for our named executive officers as set forth in the Summary Compensation Table below. Our Chief Executive Officer at December 31, 2021 was David Willets who served as Chief Executive Officer since November 7, 2021 and who previously served as Chief Financial Officer from June 2021 until November 7, 2021. Prior to this, Aris Kekedjian and Keith Cozza separately served as Chief Executive Officer during 2021, and received compensation of different amounts and comprised of different components. For purposes of this CEO Pay Ratio determination, we have elected to annualize Mr. Willetts’ total compensation based on his base salary, target bonus and grant date fair value of deferred unit award amount in effect at December 31, 2021 as we feel this most appropriately reflects the compensation level of our current Chief Executive Officer at such time and going forward.</w:t>
      </w:r>
    </w:p>
    <w:p>
      <w:pPr>
        <w:spacing w:after="0" w:line="16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Chief Executive Officer’s total annual compensation for 2021, based on the above, was $6,301,741. The median employee’s total annual compensation for 2021 was $36,853. The ratio of our Chief Executive Officer’s total annual compensation to our median employee’s total annual compensation for 2021 was 171:1.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review and discussion, the board of directors recommended that the Compensation Disclosure and Analysis be included in this Report.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Carl C. Icahn</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Willets</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Ted Papapostolou</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Brett Icahn</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Michael Nevin</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Stephen A. Mongillo</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Alvin B. Krongard</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Nancy Dunlap</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Denise Barton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259" w:firstLine="324"/>
        <w:spacing w:after="0" w:line="286" w:lineRule="auto"/>
        <w:rPr>
          <w:sz w:val="20"/>
          <w:szCs w:val="20"/>
          <w:color w:val="auto"/>
        </w:rPr>
      </w:pPr>
      <w:r>
        <w:rPr>
          <w:rFonts w:ascii="Arial" w:cs="Arial" w:eastAsia="Arial" w:hAnsi="Arial"/>
          <w:sz w:val="17"/>
          <w:szCs w:val="17"/>
          <w:color w:val="auto"/>
        </w:rPr>
        <w:t>During 2021, our entire board of directors, including Mr. Icahn, participated in deliberations concerning executive compensation. During 2021, none of our executive officers served on the compensation committee (or equivalent), or the board of directors of another entity whose executive officer(s) served on our board of directors.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229"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ind w:left="160"/>
              <w:spacing w:after="0"/>
              <w:rPr>
                <w:sz w:val="20"/>
                <w:szCs w:val="20"/>
                <w:color w:val="auto"/>
              </w:rPr>
            </w:pPr>
            <w:r>
              <w:rPr>
                <w:rFonts w:ascii="Arial" w:cs="Arial" w:eastAsia="Arial" w:hAnsi="Arial"/>
                <w:sz w:val="18"/>
                <w:szCs w:val="18"/>
                <w:b w:val="1"/>
                <w:bCs w:val="1"/>
                <w:color w:val="auto"/>
                <w:w w:val="92"/>
              </w:rPr>
              <w:t>Summary Compensation Table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ind w:left="360"/>
              <w:spacing w:after="0" w:line="242" w:lineRule="exact"/>
              <w:rPr>
                <w:sz w:val="20"/>
                <w:szCs w:val="20"/>
                <w:color w:val="auto"/>
              </w:rPr>
            </w:pPr>
            <w:r>
              <w:rPr>
                <w:rFonts w:ascii="Arial" w:cs="Arial" w:eastAsia="Arial" w:hAnsi="Arial"/>
                <w:sz w:val="18"/>
                <w:szCs w:val="18"/>
                <w:b w:val="1"/>
                <w:bCs w:val="1"/>
                <w:color w:val="auto"/>
              </w:rPr>
              <w:t>Annual Compensation</w:t>
            </w:r>
            <w:r>
              <w:rPr>
                <w:rFonts w:ascii="Arial" w:cs="Arial" w:eastAsia="Arial" w:hAnsi="Arial"/>
                <w:sz w:val="26"/>
                <w:szCs w:val="26"/>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Unit</w:t>
            </w:r>
          </w:p>
        </w:tc>
        <w:tc>
          <w:tcPr>
            <w:tcW w:w="200" w:type="dxa"/>
            <w:vAlign w:val="bottom"/>
          </w:tcPr>
          <w:p>
            <w:pPr>
              <w:spacing w:after="0"/>
              <w:rPr>
                <w:sz w:val="16"/>
                <w:szCs w:val="16"/>
                <w:color w:val="auto"/>
              </w:rPr>
            </w:pPr>
          </w:p>
        </w:tc>
        <w:tc>
          <w:tcPr>
            <w:tcW w:w="13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7"/>
              </w:rPr>
              <w:t>All Other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Salary</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Bonus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1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3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Carl C. Icahn</w:t>
            </w:r>
            <w:r>
              <w:rPr>
                <w:rFonts w:ascii="Arial" w:cs="Arial" w:eastAsia="Arial" w:hAnsi="Arial"/>
                <w:sz w:val="24"/>
                <w:szCs w:val="24"/>
                <w:color w:val="auto"/>
                <w:vertAlign w:val="superscript"/>
              </w:rPr>
              <w:t>(2)</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14,636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David Willetts</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5,067,930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Ted Papapostolou </w:t>
            </w:r>
            <w:r>
              <w:rPr>
                <w:rFonts w:ascii="Arial" w:cs="Arial" w:eastAsia="Arial" w:hAnsi="Arial"/>
                <w:sz w:val="25"/>
                <w:szCs w:val="25"/>
                <w:color w:val="auto"/>
                <w:vertAlign w:val="superscript"/>
              </w:rPr>
              <w:t>(4)</w:t>
            </w:r>
          </w:p>
        </w:tc>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1,650,000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2,188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2,023,188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 and Chief</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Accounting Officer</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Aris Kekedjian</w:t>
            </w:r>
            <w:r>
              <w:rPr>
                <w:rFonts w:ascii="Arial" w:cs="Arial" w:eastAsia="Arial" w:hAnsi="Arial"/>
                <w:sz w:val="25"/>
                <w:szCs w:val="25"/>
                <w:color w:val="auto"/>
                <w:vertAlign w:val="superscript"/>
              </w:rPr>
              <w:t>(5)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899,072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1,090,411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9,490,824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tcPr>
          <w:p>
            <w:pPr>
              <w:spacing w:after="0" w:line="216" w:lineRule="exact"/>
              <w:rPr>
                <w:sz w:val="20"/>
                <w:szCs w:val="20"/>
                <w:color w:val="auto"/>
              </w:rPr>
            </w:pPr>
            <w:r>
              <w:rPr>
                <w:rFonts w:ascii="Arial" w:cs="Arial" w:eastAsia="Arial" w:hAnsi="Arial"/>
                <w:sz w:val="17"/>
                <w:szCs w:val="17"/>
                <w:color w:val="auto"/>
              </w:rPr>
              <w:t>Keith Cozza</w:t>
            </w:r>
            <w:r>
              <w:rPr>
                <w:rFonts w:ascii="Arial" w:cs="Arial" w:eastAsia="Arial" w:hAnsi="Arial"/>
                <w:sz w:val="25"/>
                <w:szCs w:val="25"/>
                <w:color w:val="auto"/>
                <w:vertAlign w:val="superscript"/>
              </w:rPr>
              <w:t>(6)</w:t>
            </w:r>
          </w:p>
        </w:tc>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856,904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2,083,333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2,942,918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6,511,588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1,500,043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5,000,000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11,344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6,511,387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tcPr>
          <w:p>
            <w:pPr>
              <w:spacing w:after="0" w:line="216" w:lineRule="exact"/>
              <w:rPr>
                <w:sz w:val="20"/>
                <w:szCs w:val="20"/>
                <w:color w:val="auto"/>
              </w:rPr>
            </w:pPr>
            <w:r>
              <w:rPr>
                <w:rFonts w:ascii="Arial" w:cs="Arial" w:eastAsia="Arial" w:hAnsi="Arial"/>
                <w:sz w:val="17"/>
                <w:szCs w:val="17"/>
                <w:color w:val="auto"/>
              </w:rPr>
              <w:t>SungHwan Cho</w:t>
            </w:r>
            <w:r>
              <w:rPr>
                <w:rFonts w:ascii="Arial" w:cs="Arial" w:eastAsia="Arial" w:hAnsi="Arial"/>
                <w:sz w:val="25"/>
                <w:szCs w:val="25"/>
                <w:color w:val="auto"/>
                <w:vertAlign w:val="superscript"/>
              </w:rPr>
              <w:t>(7)</w:t>
            </w:r>
          </w:p>
        </w:tc>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669,581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697,531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1,369,793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878,794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1,700,000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11,344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2,590,138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19" w:hanging="330"/>
        <w:spacing w:after="0" w:line="25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86" w:lineRule="exact"/>
        <w:rPr>
          <w:rFonts w:ascii="Arial" w:cs="Arial" w:eastAsia="Arial" w:hAnsi="Arial"/>
          <w:sz w:val="18"/>
          <w:szCs w:val="18"/>
          <w:color w:val="auto"/>
        </w:rPr>
      </w:pPr>
    </w:p>
    <w:p>
      <w:pPr>
        <w:ind w:left="380" w:right="159" w:hanging="330"/>
        <w:spacing w:after="0" w:line="296"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salary indicated above represents compensation paid to Mr. Icahn in each of 2021, 2020 and 2019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61" w:lineRule="exact"/>
        <w:rPr>
          <w:rFonts w:ascii="Arial" w:cs="Arial" w:eastAsia="Arial" w:hAnsi="Arial"/>
          <w:sz w:val="16"/>
          <w:szCs w:val="16"/>
          <w:color w:val="auto"/>
        </w:rPr>
      </w:pPr>
    </w:p>
    <w:p>
      <w:pPr>
        <w:ind w:left="380" w:right="99" w:hanging="330"/>
        <w:spacing w:after="0" w:line="293"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Willetts served as Chief Executive Officer since November 7, 2021 and Chief Financial Officer from June 18, 2021 until November 7, 2021. For 2021, Mr. Willetts received a salary of $428,654 and a bonus of $887,535, which was determined based on various factors, including, but not limited to overall job performance, including performance against corporate and individual objectives, job responsibilities and teamwork. In addition, Mr. Willetts received a deferred unit award based on a grant date fair value of $3,750,000, which vests three years after grant. Mr. Willetts’ all other compensation for 2021 consists of $1,263 for medical and dental benefits and $478 for life insurance premiums.</w:t>
      </w:r>
    </w:p>
    <w:p>
      <w:pPr>
        <w:spacing w:after="0" w:line="164" w:lineRule="exact"/>
        <w:rPr>
          <w:rFonts w:ascii="Arial" w:cs="Arial" w:eastAsia="Arial" w:hAnsi="Arial"/>
          <w:sz w:val="16"/>
          <w:szCs w:val="16"/>
          <w:color w:val="auto"/>
        </w:rPr>
      </w:pPr>
    </w:p>
    <w:p>
      <w:pPr>
        <w:ind w:left="380" w:right="279" w:hanging="330"/>
        <w:spacing w:after="0" w:line="296"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Papapostolou served as Chief Financial Officer since November 7, 2021 and Chief Accounting Officer for all of 2021. For 2021, Mr. Papapostolou received a salary of $271,000 and a bonus of $100,000, which was determined based on various factors, including, but not limited to overall job performance, including performance against corporate and individual objectives, job responsibilities and teamwork. In addition, Mr. Papapostolou received a deferred unit award based on a grant date fair value of $1,650,000, which vests three years after grant. Mr.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99"/>
        <w:spacing w:after="0" w:line="277" w:lineRule="auto"/>
        <w:rPr>
          <w:sz w:val="20"/>
          <w:szCs w:val="20"/>
          <w:color w:val="auto"/>
        </w:rPr>
      </w:pPr>
      <w:r>
        <w:rPr>
          <w:rFonts w:ascii="Arial" w:cs="Arial" w:eastAsia="Arial" w:hAnsi="Arial"/>
          <w:sz w:val="18"/>
          <w:szCs w:val="18"/>
          <w:color w:val="auto"/>
        </w:rPr>
        <w:t>Papapostolou’s all other compensation for 2021 consists of $9,063 in matching contributions under our 401(k) Plan, $1,572 for medical and dental benefits and $616 for life insurance premiums.</w:t>
      </w:r>
    </w:p>
    <w:p>
      <w:pPr>
        <w:spacing w:after="0" w:line="170" w:lineRule="exact"/>
        <w:rPr>
          <w:sz w:val="20"/>
          <w:szCs w:val="20"/>
          <w:color w:val="auto"/>
        </w:rPr>
      </w:pPr>
    </w:p>
    <w:p>
      <w:pPr>
        <w:ind w:left="380" w:right="79" w:hanging="330"/>
        <w:spacing w:after="0" w:line="255"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Kekedjian served as Chief Executive Officer from May 10, 2021 until November 5, 2021. For 2021, Mr. Kekedjian received a salary of $899,072 and a bonus of $1,090,411. In addition, Mr. Kekedjian received a deferred unit award based on a grant date fair value of $7,500,000, which vests three years after grant, however, upon his departure on November 5, 2021, Mr. Kekedjian received compensation of $1,366,639 for the pro-rata share of deferred units. Mr. Kekedjian’s all other compensation for 2021 consists of $943 for medical and dental benefits and $398 for life insurance premiums.</w:t>
      </w:r>
    </w:p>
    <w:p>
      <w:pPr>
        <w:spacing w:after="0" w:line="192" w:lineRule="exact"/>
        <w:rPr>
          <w:rFonts w:ascii="Arial" w:cs="Arial" w:eastAsia="Arial" w:hAnsi="Arial"/>
          <w:sz w:val="18"/>
          <w:szCs w:val="18"/>
          <w:color w:val="auto"/>
        </w:rPr>
      </w:pPr>
    </w:p>
    <w:p>
      <w:pPr>
        <w:ind w:left="380" w:hanging="330"/>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Cozza served as Chief Executive Officer until May 10, 2021. During 2021, Mr. Cozza received a salary of</w:t>
      </w:r>
    </w:p>
    <w:p>
      <w:pPr>
        <w:spacing w:after="0" w:line="34" w:lineRule="exact"/>
        <w:rPr>
          <w:rFonts w:ascii="Arial" w:cs="Arial" w:eastAsia="Arial" w:hAnsi="Arial"/>
          <w:sz w:val="17"/>
          <w:szCs w:val="17"/>
          <w:color w:val="auto"/>
        </w:rPr>
      </w:pPr>
    </w:p>
    <w:p>
      <w:pPr>
        <w:jc w:val="both"/>
        <w:ind w:left="380" w:right="419"/>
        <w:spacing w:after="0" w:line="323" w:lineRule="auto"/>
        <w:rPr>
          <w:rFonts w:ascii="Arial" w:cs="Arial" w:eastAsia="Arial" w:hAnsi="Arial"/>
          <w:sz w:val="17"/>
          <w:szCs w:val="17"/>
          <w:color w:val="auto"/>
        </w:rPr>
      </w:pPr>
      <w:r>
        <w:rPr>
          <w:rFonts w:ascii="Arial" w:cs="Arial" w:eastAsia="Arial" w:hAnsi="Arial"/>
          <w:sz w:val="16"/>
          <w:szCs w:val="16"/>
          <w:color w:val="auto"/>
        </w:rPr>
        <w:t>$856,904 and a bonus of $2,083,333. Mr. Cozza’s all other compensation for 2021 consists of $9,063 in matching contributions under our 401(k) Plan, $1,726 for medical and dental benefits and $955 for life insurance premiums.</w:t>
      </w:r>
    </w:p>
    <w:p>
      <w:pPr>
        <w:spacing w:after="0" w:line="138" w:lineRule="exact"/>
        <w:rPr>
          <w:rFonts w:ascii="Arial" w:cs="Arial" w:eastAsia="Arial" w:hAnsi="Arial"/>
          <w:sz w:val="17"/>
          <w:szCs w:val="17"/>
          <w:color w:val="auto"/>
        </w:rPr>
      </w:pPr>
    </w:p>
    <w:p>
      <w:pPr>
        <w:jc w:val="both"/>
        <w:ind w:left="380" w:right="159" w:hanging="330"/>
        <w:spacing w:after="0" w:line="286"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Cho served as Chief Financial Officer until June 18, 2021. For 2021, Mr. Cho received a salary of $669,581 and a bonus of $697,531. Mr. Cho’s all other compensation for 2021 consists of $9,063 in matching contributions under our 401(k) Plan, $1,726 for medical and dental benefits and $955 for life insurance premiums.</w:t>
      </w:r>
    </w:p>
    <w:p>
      <w:pPr>
        <w:spacing w:after="0" w:line="165"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170"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Mr. Brett Icahn is the son of Carl C. Icahn, the Chairman of the Board of Icahn Enterprises. Mr. Nevin is married to the daughter of Carl C. Icahn. There are no other family relationships between or among any of our directors and/or executive officers.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ind w:left="60" w:right="759" w:firstLine="324"/>
        <w:spacing w:after="0" w:line="258" w:lineRule="auto"/>
        <w:rPr>
          <w:sz w:val="20"/>
          <w:szCs w:val="20"/>
          <w:color w:val="auto"/>
        </w:rPr>
      </w:pPr>
      <w:r>
        <w:rPr>
          <w:rFonts w:ascii="Arial" w:cs="Arial" w:eastAsia="Arial" w:hAnsi="Arial"/>
          <w:sz w:val="18"/>
          <w:szCs w:val="18"/>
          <w:color w:val="auto"/>
        </w:rPr>
        <w:t>The following table sets forth information in respect of the deferred unit awards granted to each of our named executive officers for 2021 under the 2017 Incentive Plan.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Estimated Future Payout Under Equity Incentive Plan Awards</w:t>
            </w:r>
          </w:p>
        </w:tc>
      </w:tr>
      <w:tr>
        <w:trPr>
          <w:trHeight w:val="191"/>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Grant Date</w:t>
            </w: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Grant</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of Units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Willetts</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12/9/2021</w:t>
            </w: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69,498</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Ted Papapostolou</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12/9/2021</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30,579</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1,650,000</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Aris Kekedjian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4/26/2021</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132,670</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Fiscal Year End 2021</w:t>
      </w:r>
    </w:p>
    <w:p>
      <w:pPr>
        <w:spacing w:after="0" w:line="12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following table sets forth information in respect of outstanding equity awards held by each of our named executive officers as of December 31, 2021 under the 2017 Incentive Plan. All awards below are cash-settled deferred unit awards that cliff vest three years from the date of grant.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Equity Awards That Have Not Vested</w:t>
            </w:r>
          </w:p>
        </w:tc>
      </w:tr>
      <w:tr>
        <w:trPr>
          <w:trHeight w:val="191"/>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Market Value</w:t>
            </w:r>
          </w:p>
        </w:tc>
      </w:tr>
      <w:tr>
        <w:trPr>
          <w:trHeight w:val="216"/>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Grant</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of Units</w:t>
            </w:r>
          </w:p>
        </w:tc>
      </w:tr>
      <w:tr>
        <w:trPr>
          <w:trHeight w:val="234"/>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Units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Willetts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12/9/2021</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69,498</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3,446,406</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Ted Papapostolou</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12/9/2021</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30,579</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1,516,413</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awards that vested during 2021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On December 9, 2021, Icahn Enterprises entered into an offer letter with David Willetts. Pursuant to the letter agreement with Mr. Willets, during his term of employment, Mr. Willets will be paid a base salary at the rate of $1,000,000 per annum. Mr. Willets will be eligible to receive an annual discretionary cash bonus with a target amount of $1,550,000. Mr. Willets also received a grant as of December 9, 2021 of 69,498 deferred depositary units of Icahn Enterprises under the Icahn Enterprises 2017 Long-Term Incentive Plan (“LTIP”), determined by dividing $3,750,000 by the 180-day VWAP of depositary units ending on the trading day immediately prior to the grant date. The deferred depositary units will cliff vest and cease to be deferred units on December 9, 2024 (subject to the other terms and conditions set forth in the LTIP and award agreement entered into in connection with the grant of deferred depositary units).</w:t>
      </w:r>
    </w:p>
    <w:p>
      <w:pPr>
        <w:spacing w:after="0" w:line="16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addition, if Mr. Willets’ employment is terminated by Icahn Enterprises without “cause” (as defined in the offer letter) at any time or in the event of his death or disability, he (or his estate in the event of death) will be entitled to a pro-rata cash bonus of the target bonus amount for the calendar year of the termination and a pro-rata portion of the grant of the deferred depositary units will become immediately vested and the remaining portion of the grant will be forfeited.</w:t>
      </w:r>
    </w:p>
    <w:p>
      <w:pPr>
        <w:spacing w:after="0" w:line="157"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On December 9, 2021, Icahn Enterprises entered into an offer letter with Ted Papapostolou. Pursuant to the letter agreement with Mr. Papapostolou, during his term of employment, Mr. Papapostolou will be paid a base salary at the rate of $550,000 per annum. Mr. Papapostolou will be eligible to receive an annual discretionary cash bonus with a target amount of $100,000. Mr. Papapostolou also received a grant of 30,579 deferred depositary units of Icahn Enterprises as of December 9, 2021 under the LTIP, determined by dividing $1,650,000 by the 180-day VWAP of depositary units ending on the trading day immediately prior to the grant date. The deferred depositary units will cliff vest and cease to be deferred units on December 9, 2024 (subject to the other terms and conditions set forth in the LTIP and award agreement entered into in connection with the grant of deferred depositary units).</w:t>
      </w:r>
    </w:p>
    <w:p>
      <w:pPr>
        <w:spacing w:after="0" w:line="178" w:lineRule="exact"/>
        <w:rPr>
          <w:sz w:val="20"/>
          <w:szCs w:val="20"/>
          <w:color w:val="auto"/>
        </w:rPr>
      </w:pPr>
    </w:p>
    <w:p>
      <w:pPr>
        <w:jc w:val="both"/>
        <w:ind w:left="60" w:right="139" w:firstLine="369"/>
        <w:spacing w:after="0" w:line="257" w:lineRule="auto"/>
        <w:rPr>
          <w:sz w:val="20"/>
          <w:szCs w:val="20"/>
          <w:color w:val="auto"/>
        </w:rPr>
      </w:pPr>
      <w:r>
        <w:rPr>
          <w:rFonts w:ascii="Arial" w:cs="Arial" w:eastAsia="Arial" w:hAnsi="Arial"/>
          <w:sz w:val="18"/>
          <w:szCs w:val="18"/>
          <w:color w:val="auto"/>
        </w:rPr>
        <w:t>In addition, in the event that Mr. Papapostolou’s employment is terminated by Icahn Enterprises without “cause” (as defined in the offer letter) at any time or in the event of his death or disability, he (or his estate in the case of death) will be entitled to a pro-rata cash bonus of the target bonus amount for the calendar year of the termination and a pro-rata portion of the grant of the deferred depositary units will become immediately vested and the remaining portion of the grant will be forfeited.</w:t>
      </w:r>
    </w:p>
    <w:p>
      <w:pPr>
        <w:spacing w:after="0" w:line="188"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color w:val="auto"/>
        </w:rPr>
        <w:t>On December 20, 2019, Icahn Enterprises entered into an employment agreement (the “Employment Agreement”) with Keith Cozza, pursuant to which Mr. Cozza served as the President and Chief Executive Officer of Icahn Enterprises and Icahn Enterprises GP, the general partner of Icahn Enterprises, effective January 1, 2020 until May 31, 2021.</w:t>
      </w:r>
    </w:p>
    <w:p>
      <w:pPr>
        <w:spacing w:after="0" w:line="149"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During his term of employment under the Employment Agreement, Mr. Cozza was entitled to be paid a base salary at the rate of $1,500,000 per annum, payable every two weeks. Subject to the terms of the Employment Agreement,</w:t>
      </w:r>
    </w:p>
    <w:p>
      <w:pPr>
        <w:ind w:left="60" w:right="199"/>
        <w:spacing w:after="0" w:line="260" w:lineRule="auto"/>
        <w:rPr>
          <w:sz w:val="20"/>
          <w:szCs w:val="20"/>
          <w:color w:val="auto"/>
        </w:rPr>
      </w:pPr>
      <w:r>
        <w:rPr>
          <w:rFonts w:ascii="Arial" w:cs="Arial" w:eastAsia="Arial" w:hAnsi="Arial"/>
          <w:sz w:val="18"/>
          <w:szCs w:val="18"/>
          <w:color w:val="auto"/>
        </w:rPr>
        <w:t>Mr. Cozza received an annual cash bonus payment of $5,000,000 for calendar year 2020 and $2,083,333.34 for the period between January 1, 2021 to May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We did not have any employment agreements or other arrangements pursuant to which any of our named executive officers would have received potential payments upon a termination or change in control as of December 31, 2021 except for that disclosed above.</w:t>
      </w:r>
    </w:p>
    <w:p>
      <w:pPr>
        <w:spacing w:after="0" w:line="76"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Messrs. Willets, Papapostolou do not, and Mr. Kekedjian did not, have employment agreements. However, Messrs. Willets, Papapostolou are, and Messrs. Kekedjian and Cozza were, eligible for certain payments in the event of involuntary termination (other than for cause, as defined in our severance policy), which generally provide for a pro-rated cash bonus and an acceleration of unvested deferred unit awards (also pro-rated) at the time of termination.</w:t>
      </w:r>
    </w:p>
    <w:p>
      <w:pPr>
        <w:spacing w:after="0" w:line="63"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As of December 31, 2021, Messrs. Willets and Papapostolou would have potential payouts of unvested deferred unit awards with a market value of approximately $40,916 and $30,467, respectively, if they were involuntarily terminated on December 31, 2021 and otherwise eligible for payment. During 2021, Mr. Kekedjian resigned as Chief Executive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Officer of the Company. Pursuant to the terms of the separation agreement between Mr. Kekedjian and Icahn Enterprises, Mr. Kekedjian will be entitled to any payments due to him under his Offer Letter previously entered into with Icahn Enterprises, dated April 4, 2021 (the “Offer Letter”), based on a termination without cause. Accordingly, pursuant to the Separation Agreement, Mr. Kekedjian will be entitled to (a) a lump sum payment in the amount of $1,090,411, less applicable tax and payroll withholdings, which represents the payment of his pro-rated bonus for 2021 in accordance with the terms of the Offer Letter (b) vesting of 23,506 deferred units (the “Vested Units”) granted under the Deferred Unit Agreement pursuant to the Icahn Enterprises L.P. 2017 Long-Term Incentive Plan, less applicable tax and payroll withholdings, which represents the pro-rated vesting of deferred units pursuant to the terms of the Offer Letter and the award agreement with respect to the Vested Units (the “Award Agreement”) and may be settled in units or cash, and (c) a lump sum payment of $141,036, less applicable tax and payroll withholdings, which represents the cash distribution equivalents with respect to the Vested Units payable under the Award Agreement. Payment of these amounts and receipt of these benefits is subject to Mr. Kekedjian’s execution and non-revocation of the Separation Agreement. Accordingly, Mr. Kekedjian was eligible, and subsequently received payment, for unvested deferred unit awards with a market value of $1,366,639, inclusive of a cash payment for LP unit distribution equivalents.</w:t>
      </w:r>
    </w:p>
    <w:p>
      <w:pPr>
        <w:spacing w:after="0" w:line="63"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Mr. Cozza resigned as Chief Executive Officer during 2021 and upon his departure from the Company, in accordance with this employment agreement, he received a pro-rated cash bonus in the amount of $2,083,333.</w:t>
      </w:r>
    </w:p>
    <w:p>
      <w:pPr>
        <w:spacing w:after="0" w:line="38"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Mr. Cho resigned as Chief Financial Officer during 2021 and upon his departure from the Company, he received a pro-rated cash bonus in the amount of $697,531.</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The following table provides compensation information for our directors in 2021, except for Messrs. Icahn, Willets and Papapostolou, as well as Messrs. Cozza, Kekedjian and Cho. Compensation received by Messrs. Icahn, Willets and Papapostolou is included in the Summary Compensation Table. Messrs. Icahn, Willets and Papapostolou did not receive compensation for serving on our Board.</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Fees Earned or</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Paid in Cash</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Brett Icahn</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Michael Nevin</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Mongillo</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38,466</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Alvin B. Krongard</w:t>
            </w:r>
          </w:p>
        </w:tc>
        <w:tc>
          <w:tcPr>
            <w:tcW w:w="124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8"/>
                <w:szCs w:val="18"/>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Dunlap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Denise Barton</w:t>
            </w:r>
          </w:p>
        </w:tc>
        <w:tc>
          <w:tcPr>
            <w:tcW w:w="1240" w:type="dxa"/>
            <w:vAlign w:val="bottom"/>
          </w:tcPr>
          <w:p>
            <w:pPr>
              <w:jc w:val="right"/>
              <w:spacing w:after="0"/>
              <w:rPr>
                <w:sz w:val="20"/>
                <w:szCs w:val="20"/>
                <w:color w:val="auto"/>
              </w:rPr>
            </w:pPr>
            <w:r>
              <w:rPr>
                <w:rFonts w:ascii="Arial" w:cs="Arial" w:eastAsia="Arial" w:hAnsi="Arial"/>
                <w:sz w:val="18"/>
                <w:szCs w:val="18"/>
                <w:color w:val="auto"/>
              </w:rPr>
              <w:t>36,534</w:t>
            </w:r>
          </w:p>
        </w:tc>
        <w:tc>
          <w:tcPr>
            <w:tcW w:w="200" w:type="dxa"/>
            <w:vAlign w:val="bottom"/>
          </w:tcPr>
          <w:p>
            <w:pPr>
              <w:spacing w:after="0"/>
              <w:rPr>
                <w:sz w:val="20"/>
                <w:szCs w:val="20"/>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36,534</w:t>
            </w:r>
          </w:p>
        </w:tc>
      </w:tr>
    </w:tbl>
    <w:p>
      <w:pPr>
        <w:spacing w:after="0" w:line="174"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During 2021, the fees earned or paid in cash for Messrs. Mongillo and Krongard and Mses. Barton and Dunlap, were in respect of their services rendered as members of our Board. With respect to Ms. Barton, the fees earned or paid in cash included $5,000 for serving as the chairman of the audit committee, pro-rated through April 23, 2021, the date she ceased serving on the audit committee. With respect to Mr. Mongillo, the fees earned or paid in cash included $5,000 for serving as the chairman of the audit committee, pro-rated from date of his appointment as chairman of the audit committee on April 23, 2021. Brett Icahn and Mr. Nevin did not receive compensation in respect of their services rendered as a member of our board of directors.</w:t>
      </w:r>
    </w:p>
    <w:p>
      <w:pPr>
        <w:spacing w:after="0" w:line="87"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Security Holder Matters</w:t>
      </w:r>
    </w:p>
    <w:p>
      <w:pPr>
        <w:spacing w:after="0" w:line="252"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As of February 25, 2022, affiliates of Mr. Icahn, owned 257,047,260 of Icahn Enterprises’ depositary units, or approximately 88%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committees consisting entirely of independent directors. Icahn Enterprises GP’s board of directors presently consists of three independent directors and the audit committee consists entirely of independent directors.</w:t>
      </w:r>
    </w:p>
    <w:p>
      <w:pPr>
        <w:spacing w:after="0" w:line="170" w:lineRule="exact"/>
        <w:rPr>
          <w:sz w:val="20"/>
          <w:szCs w:val="20"/>
          <w:color w:val="auto"/>
        </w:rPr>
      </w:pPr>
    </w:p>
    <w:p>
      <w:pPr>
        <w:jc w:val="both"/>
        <w:ind w:left="60" w:right="139" w:firstLine="324"/>
        <w:spacing w:after="0" w:line="286" w:lineRule="auto"/>
        <w:rPr>
          <w:sz w:val="20"/>
          <w:szCs w:val="20"/>
          <w:color w:val="auto"/>
        </w:rPr>
      </w:pPr>
      <w:r>
        <w:rPr>
          <w:rFonts w:ascii="Arial" w:cs="Arial" w:eastAsia="Arial" w:hAnsi="Arial"/>
          <w:sz w:val="17"/>
          <w:szCs w:val="17"/>
          <w:color w:val="auto"/>
        </w:rPr>
        <w:t>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65"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Thus, since Mr. Icahn, through affiliates, holds approximately 88% of Icahn Enterprises’ outstanding depositary units as of February 25, 2021,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174"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following table provides information, as of February 25, 2022, as to the beneficial ownership of the depositary units for each director and named executive officer of Icahn Enterprises GP and all directors and named executive officers of Icahn Enterprises GP, as a group. Except for Mr. Icahn, none of our named executive officers, directors or other unitholders beneficially own more than 5% of Icahn Enterprises’ depositary units.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 Ownership of</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Icahn Enterprises’</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1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Depositary Units</w:t>
            </w: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Percent of Class</w:t>
            </w:r>
          </w:p>
        </w:tc>
      </w:tr>
      <w:tr>
        <w:trPr>
          <w:trHeight w:val="91"/>
        </w:trPr>
        <w:tc>
          <w:tcPr>
            <w:tcW w:w="2240" w:type="dxa"/>
            <w:vAlign w:val="bottom"/>
            <w:tcBorders>
              <w:top w:val="single" w:sz="8" w:color="auto"/>
            </w:tcBorders>
            <w:shd w:val="clear" w:color="auto" w:fill="CCEEFF"/>
          </w:tcPr>
          <w:p>
            <w:pPr>
              <w:spacing w:after="0"/>
              <w:rPr>
                <w:sz w:val="7"/>
                <w:szCs w:val="7"/>
                <w:color w:val="auto"/>
              </w:rPr>
            </w:pPr>
          </w:p>
        </w:tc>
        <w:tc>
          <w:tcPr>
            <w:tcW w:w="27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ind w:left="40"/>
              <w:spacing w:after="0" w:line="91" w:lineRule="exact"/>
              <w:rPr>
                <w:sz w:val="20"/>
                <w:szCs w:val="20"/>
                <w:color w:val="auto"/>
              </w:rPr>
            </w:pPr>
            <w:r>
              <w:rPr>
                <w:rFonts w:ascii="Arial" w:cs="Arial" w:eastAsia="Arial" w:hAnsi="Arial"/>
                <w:sz w:val="10"/>
                <w:szCs w:val="10"/>
                <w:color w:val="auto"/>
              </w:rPr>
              <w:t>(a) (b)</w:t>
            </w:r>
          </w:p>
        </w:tc>
        <w:tc>
          <w:tcPr>
            <w:tcW w:w="12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r>
      <w:tr>
        <w:trPr>
          <w:trHeight w:val="240"/>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257,047,260</w:t>
            </w: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rPr>
              <w:t>(c)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87.6 %</w:t>
            </w: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David Willetts</w:t>
            </w:r>
          </w:p>
        </w:tc>
        <w:tc>
          <w:tcPr>
            <w:tcW w:w="1880" w:type="dxa"/>
            <w:vAlign w:val="bottom"/>
          </w:tcPr>
          <w:p>
            <w:pPr>
              <w:jc w:val="right"/>
              <w:spacing w:after="0"/>
              <w:rPr>
                <w:sz w:val="20"/>
                <w:szCs w:val="20"/>
                <w:color w:val="auto"/>
              </w:rPr>
            </w:pPr>
            <w:r>
              <w:rPr>
                <w:rFonts w:ascii="Arial" w:cs="Arial" w:eastAsia="Arial" w:hAnsi="Arial"/>
                <w:sz w:val="18"/>
                <w:szCs w:val="18"/>
                <w:color w:val="auto"/>
              </w:rPr>
              <w:t>69,498</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Ted Papapostolou</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30,579</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Brett Icahn</w:t>
            </w:r>
          </w:p>
        </w:tc>
        <w:tc>
          <w:tcPr>
            <w:tcW w:w="1880" w:type="dxa"/>
            <w:vAlign w:val="bottom"/>
          </w:tcPr>
          <w:p>
            <w:pPr>
              <w:jc w:val="right"/>
              <w:spacing w:after="0"/>
              <w:rPr>
                <w:sz w:val="20"/>
                <w:szCs w:val="20"/>
                <w:color w:val="auto"/>
              </w:rPr>
            </w:pPr>
            <w:r>
              <w:rPr>
                <w:rFonts w:ascii="Arial" w:cs="Arial" w:eastAsia="Arial" w:hAnsi="Arial"/>
                <w:sz w:val="18"/>
                <w:szCs w:val="18"/>
                <w:color w:val="auto"/>
              </w:rPr>
              <w:t>426,324</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Nevin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Stephen A. Mongillo</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Alvin B. Krongard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41,008</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Nancy Dunlap</w:t>
            </w:r>
          </w:p>
        </w:tc>
        <w:tc>
          <w:tcPr>
            <w:tcW w:w="1880" w:type="dxa"/>
            <w:vAlign w:val="bottom"/>
          </w:tcPr>
          <w:p>
            <w:pPr>
              <w:jc w:val="right"/>
              <w:spacing w:after="0"/>
              <w:rPr>
                <w:sz w:val="20"/>
                <w:szCs w:val="20"/>
                <w:color w:val="auto"/>
              </w:rPr>
            </w:pPr>
            <w:r>
              <w:rPr>
                <w:rFonts w:ascii="Arial" w:cs="Arial" w:eastAsia="Arial" w:hAnsi="Arial"/>
                <w:sz w:val="18"/>
                <w:szCs w:val="18"/>
                <w:color w:val="auto"/>
              </w:rPr>
              <w:t>6,649</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Denise Barton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Arik Kekedjian</w:t>
            </w:r>
          </w:p>
        </w:tc>
        <w:tc>
          <w:tcPr>
            <w:tcW w:w="1880" w:type="dxa"/>
            <w:vAlign w:val="bottom"/>
          </w:tcPr>
          <w:p>
            <w:pPr>
              <w:jc w:val="right"/>
              <w:spacing w:after="0"/>
              <w:rPr>
                <w:sz w:val="20"/>
                <w:szCs w:val="20"/>
                <w:color w:val="auto"/>
              </w:rPr>
            </w:pPr>
            <w:r>
              <w:rPr>
                <w:rFonts w:ascii="Arial" w:cs="Arial" w:eastAsia="Arial" w:hAnsi="Arial"/>
                <w:sz w:val="18"/>
                <w:szCs w:val="18"/>
                <w:color w:val="auto"/>
              </w:rPr>
              <w:t>13,083</w:t>
            </w:r>
          </w:p>
        </w:tc>
        <w:tc>
          <w:tcPr>
            <w:tcW w:w="480" w:type="dxa"/>
            <w:vAlign w:val="bottom"/>
          </w:tcPr>
          <w:p>
            <w:pPr>
              <w:spacing w:after="0"/>
              <w:rPr>
                <w:sz w:val="20"/>
                <w:szCs w:val="20"/>
                <w:color w:val="auto"/>
              </w:rPr>
            </w:pPr>
            <w:r>
              <w:rPr>
                <w:rFonts w:ascii="Arial" w:cs="Arial" w:eastAsia="Arial" w:hAnsi="Arial"/>
                <w:sz w:val="13"/>
                <w:szCs w:val="13"/>
                <w:color w:val="auto"/>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Keith Cozza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rPr>
              <w:t>(d)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SungHwan Cho</w:t>
            </w:r>
          </w:p>
        </w:tc>
        <w:tc>
          <w:tcPr>
            <w:tcW w:w="1880" w:type="dxa"/>
            <w:vAlign w:val="bottom"/>
          </w:tcPr>
          <w:p>
            <w:pPr>
              <w:jc w:val="right"/>
              <w:spacing w:after="0"/>
              <w:rPr>
                <w:sz w:val="20"/>
                <w:szCs w:val="20"/>
                <w:color w:val="auto"/>
              </w:rPr>
            </w:pPr>
            <w:r>
              <w:rPr>
                <w:rFonts w:ascii="Arial" w:cs="Arial" w:eastAsia="Arial" w:hAnsi="Arial"/>
                <w:sz w:val="18"/>
                <w:szCs w:val="18"/>
                <w:color w:val="auto"/>
              </w:rPr>
              <w:t>1,100</w:t>
            </w:r>
          </w:p>
        </w:tc>
        <w:tc>
          <w:tcPr>
            <w:tcW w:w="480" w:type="dxa"/>
            <w:vAlign w:val="bottom"/>
          </w:tcPr>
          <w:p>
            <w:pPr>
              <w:spacing w:after="0"/>
              <w:rPr>
                <w:sz w:val="20"/>
                <w:szCs w:val="20"/>
                <w:color w:val="auto"/>
              </w:rPr>
            </w:pPr>
            <w:r>
              <w:rPr>
                <w:rFonts w:ascii="Arial" w:cs="Arial" w:eastAsia="Arial" w:hAnsi="Arial"/>
                <w:sz w:val="13"/>
                <w:szCs w:val="13"/>
                <w:color w:val="auto"/>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(nine persons)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257,621,318</w:t>
            </w: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rPr>
              <w:t>(c)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87.8 %</w:t>
            </w:r>
          </w:p>
        </w:tc>
      </w:tr>
      <w:tr>
        <w:trPr>
          <w:trHeight w:val="115"/>
        </w:trPr>
        <w:tc>
          <w:tcPr>
            <w:tcW w:w="224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 of total outstanding depositary units of Icahn Enterprises.</w:t>
      </w:r>
    </w:p>
    <w:p>
      <w:pPr>
        <w:spacing w:after="0" w:line="225" w:lineRule="exact"/>
        <w:rPr>
          <w:sz w:val="20"/>
          <w:szCs w:val="20"/>
          <w:color w:val="auto"/>
        </w:rPr>
      </w:pPr>
    </w:p>
    <w:p>
      <w:pPr>
        <w:ind w:left="380" w:right="79" w:hanging="330"/>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70" w:lineRule="exact"/>
        <w:rPr>
          <w:rFonts w:ascii="Arial" w:cs="Arial" w:eastAsia="Arial" w:hAnsi="Arial"/>
          <w:sz w:val="18"/>
          <w:szCs w:val="18"/>
          <w:color w:val="auto"/>
        </w:rPr>
      </w:pPr>
    </w:p>
    <w:p>
      <w:pPr>
        <w:ind w:left="380" w:right="119" w:hanging="330"/>
        <w:spacing w:after="0" w:line="29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a Schedule 13D/A filed with the SEC on December 27, 2021 by CCI Onshore LLC, Gascon Partners, High Coast Limited Partnership, Highcrest Investors LLC, Thornwood Associates Limited Partnership, Barberry Corp., Starfire Holding Corporation, Little Meadow Corp. and Mr. Icahn. Mr. Icahn, by virtue of his relationship to such entities, may be deemed to beneficially own such Depositary Units. Mr. Icahn disclaims beneficial ownership of such Depositary Units except to the extent of his pecuniary interest therein. The principal business address of Mr. Icahn and the other filers of the Schedule 13D/A is 16690 Collins Avenue, PH-1, Sunny Isles Beach, FL 33160.</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72"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167,658,659 depositary units pledged as collateral to secure certain personal indebtedness. The number of depositary units pledged to secure these loans fluctuates in certain years and from time to time as a result of changes in the amount of outstanding principal amount of the loans, the market price of the depositary units, and other factors. Mr. Icahn has advised that he and his affiliates have sufficient additional assets to satisfy any obligations pursuant to these loans without recourse to the depositary units, he has no need or intention to allow foreclosure on such collateral, and that he is current on all principal and interest payments with respect to the loans, and there has never been an event of default or a default under any of the loans.</w:t>
      </w:r>
    </w:p>
    <w:p>
      <w:pPr>
        <w:spacing w:after="0" w:line="177" w:lineRule="exact"/>
        <w:rPr>
          <w:rFonts w:ascii="Arial" w:cs="Arial" w:eastAsia="Arial" w:hAnsi="Arial"/>
          <w:sz w:val="17"/>
          <w:szCs w:val="17"/>
          <w:color w:val="auto"/>
        </w:rPr>
      </w:pPr>
    </w:p>
    <w:p>
      <w:pPr>
        <w:ind w:left="380" w:right="499" w:hanging="330"/>
        <w:spacing w:after="0" w:line="342"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the most recent Form 4 filed with the SEC prior to the departure of each of Messrs. Cozza and Cho and based on the number of units distributed to Mr. Kekedjian in accordance with his settlement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Weighted-Average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Issued Upon Exercise of</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Exercise Price of</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 Options,</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 Options,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 Securities</w:t>
            </w: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 Rights</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 Rights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(a))</w:t>
            </w:r>
          </w:p>
        </w:tc>
      </w:tr>
      <w:tr>
        <w:trPr>
          <w:trHeight w:val="234"/>
        </w:trPr>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(a)</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09"/>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 Incentive Plan</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931,508</w:t>
            </w:r>
          </w:p>
        </w:tc>
      </w:tr>
    </w:tbl>
    <w:p>
      <w:pPr>
        <w:spacing w:after="0" w:line="202"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During the first quarter of 2017, the board of directors of the general partner of Icahn Enterprises unanimously approved and adopted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During 2021, we declared four quarterly distributions aggregating $8.00 per depositary unit. Depositary unitholders were given the option to make an election to receive the distributions in either cash or additional depositary units; if a holder did not make a timely election to receive cash, it was automatically deemed to have elected to receive the distributions in additional depositary units. As a result of the above declared distributions, during 2021 we distributed an aggregate 36,875,398 of Icahn Enterprises’ depositary units to those depositary unitholders who elected to receive such distributions in additional depositary units, of which an aggregate of 35,297,798 depositary units were distributed to Mr. Icahn and his affiliates. As a result, Mr. Icahn and his affiliates owned approximately 88% of Icahn Enterprises’ outstanding depositary units as of December 31, 2021. Mr. Icahn and his affiliates may in the future elect to receive all or a portion of their distributions in cash or in additional depositary units. Pursuant to registration rights agreements, Mr. Icahn has certain registration rights with regard to the depositary units beneficially owned by him.</w:t>
      </w:r>
    </w:p>
    <w:p>
      <w:pPr>
        <w:spacing w:after="0" w:line="168"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On February 23, 2022, the Board of Directors of the general partner of Icahn Enterprises declared a quarterly distribution in the amount of $2.00 per depositary unit, which will be paid on or about April 27, 2022 to depositary unitholders of record at the close of business on March 18, 2022. Depositary unitholders will have until April 14, 2022 to make a timely election to receive either cash or additional depositary units. If a unitholder does not make a timely election, it will automatically be deemed to have elected to receive the distribution in additional depositary units.</w:t>
      </w:r>
    </w:p>
    <w:p>
      <w:pPr>
        <w:spacing w:after="0" w:line="176"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make investments in the Investment Funds. As of December 31, 2021, the total fair market value of investments in the Investment Funds made by Mr. Icahn and his affiliates (excluding us and Brett Icahn) was approximately $5.0 billion, representing approximately 54% of the Investment Funds’ assets under management.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Icahn Capital LP, a wholly-owned subsidiary of ours, paid for salaries and benefits of certain employees who may also perform various functions on behalf of certain other entities beneficially owned by Mr. Icahn, including administrative and investment services.</w:t>
      </w:r>
    </w:p>
    <w:p>
      <w:pPr>
        <w:spacing w:after="0" w:line="184" w:lineRule="exact"/>
        <w:rPr>
          <w:sz w:val="20"/>
          <w:szCs w:val="20"/>
          <w:color w:val="auto"/>
        </w:rPr>
      </w:pPr>
    </w:p>
    <w:p>
      <w:pPr>
        <w:ind w:left="60" w:right="259" w:firstLine="324"/>
        <w:spacing w:after="0" w:line="273" w:lineRule="auto"/>
        <w:rPr>
          <w:sz w:val="20"/>
          <w:szCs w:val="20"/>
          <w:color w:val="auto"/>
        </w:rPr>
      </w:pPr>
      <w:r>
        <w:rPr>
          <w:rFonts w:ascii="Arial" w:cs="Arial" w:eastAsia="Arial" w:hAnsi="Arial"/>
          <w:sz w:val="17"/>
          <w:szCs w:val="17"/>
          <w:color w:val="auto"/>
        </w:rPr>
        <w:t>Icahn Capital LP pays for expenses pertaining to the operation, administration and investment activities of our Investment segment for the benefit of the Investment Funds (including salaries, benefits and rent). Icahn Capital LP shall be allocated pro 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2021, $15 million was allocated to the Investment Funds based on this expense-sharing arrangement.</w:t>
      </w:r>
    </w:p>
    <w:p>
      <w:pPr>
        <w:spacing w:after="0" w:line="178"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During 2021, this agreement was amended to commence the early disposition of vehicles owned by 767 Leasing. As of December 31, 2021, substantially all of 767 Leasing’s assets were sold and its operations have ceased. Due to the nature of our involvement with 767 Leasing, which included Icahn Enterprises guaranteeing the payment obligations of 767 Leasing and sharing in the profits of 767 Leasing with Hertz, we determined that 767 Leasing was a variable interest entity. Furthermore, we determined that we were not the primary beneficiary as we did not have the power to direct the activities of 767 Leasing that most significantly impacted its economic performance. Therefore, we did not consolidate the results of 767 Leasing.767 Leasing is treated as a partnership for federal income tax purposes. For the year ended December 31, 2021, 767 Leasing distributed $36 million to us.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will serve as the portfolio manager of a designated portfolio of assets within the Investment Funds over a seven-year term, subject to veto rights by our Investment segment and Carl. C. Icahn. Additionally, Brett Icahn will provide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2021, Brett Icahn contributed $76 million in accordance with the manager agreement.</w:t>
      </w:r>
    </w:p>
    <w:p>
      <w:pPr>
        <w:spacing w:after="0" w:line="174"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61"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 Pension Obligations</w:t>
      </w:r>
    </w:p>
    <w:p>
      <w:pPr>
        <w:spacing w:after="0" w:line="229"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88% of Icahn Enterprises’ outstanding depositary units as of December 31,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2021. If the plans were voluntarily terminated, they would be underfunded by an aggregate of approximately $66 million as of December 31,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342" w:lineRule="auto"/>
        <w:rPr>
          <w:sz w:val="20"/>
          <w:szCs w:val="20"/>
          <w:color w:val="auto"/>
        </w:rPr>
      </w:pPr>
      <w:r>
        <w:rPr>
          <w:rFonts w:ascii="Arial" w:cs="Arial" w:eastAsia="Arial" w:hAnsi="Arial"/>
          <w:sz w:val="16"/>
          <w:szCs w:val="16"/>
          <w:color w:val="auto"/>
        </w:rPr>
        <w:t>The current underfunded status of the pension plans of Viskase and ACF requires them to notify the PBGC of certain “reportable events,” such as if we cease to be a member of the Viskase or ACF controlled group, or if we make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certain extraordinary dividends or stock redemptions. The obligation to report could cause us to seek to delay or reconsider the occurrence of such reportable events.</w:t>
      </w:r>
    </w:p>
    <w:p>
      <w:pPr>
        <w:spacing w:after="0" w:line="170"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Mongillo and Krongard and Ms. Dunlap are “independent” as defined in the currently applicable listing rules of Nasdaq. Ms. Barton and Messrs. Krongard and Mongillo serve as members of our audit committee, which consists entirely of these independent directors.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incurred $5,582,246 and $6,074,688 in audit fees and expenses from Grant Thornton LLP for 2021 and 2020,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157"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We incurred $1,466,373 and $259,491 in audit-related fees and expenses from Grant Thornton LLP for 2021 and 2020, respectively, relating primarily to services provided in connection with subsidiary carve-out financial statements and due diligence in 2021 and employee benefit plans and certain other agreed upon procedures for both 2021 and 2020.</w:t>
      </w:r>
    </w:p>
    <w:p>
      <w:pPr>
        <w:spacing w:after="0" w:line="149" w:lineRule="exact"/>
        <w:rPr>
          <w:sz w:val="20"/>
          <w:szCs w:val="20"/>
          <w:color w:val="auto"/>
        </w:rPr>
      </w:pPr>
    </w:p>
    <w:p>
      <w:pPr>
        <w:ind w:left="60" w:right="519" w:firstLine="324"/>
        <w:spacing w:after="0" w:line="311" w:lineRule="auto"/>
        <w:rPr>
          <w:sz w:val="20"/>
          <w:szCs w:val="20"/>
          <w:color w:val="auto"/>
        </w:rPr>
      </w:pPr>
      <w:r>
        <w:rPr>
          <w:rFonts w:ascii="Arial" w:cs="Arial" w:eastAsia="Arial" w:hAnsi="Arial"/>
          <w:sz w:val="16"/>
          <w:szCs w:val="16"/>
          <w:color w:val="auto"/>
        </w:rPr>
        <w:t>We incurred $26,415 and $22,236 in tax-related fees and expenses for 2021 and 2020, respectively, from Grant Thornton LLP for property tax compliance services. Additionally, we incurred $55,736 and $14,155 in other fees and expenses for 2021 and 2020, respectively, from Grant Thornton LLP relating to our Energy segment’s call option.</w:t>
      </w:r>
    </w:p>
    <w:p>
      <w:pPr>
        <w:spacing w:after="0" w:line="149"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accordance with the Charter of the Audit Committee of the Board of Directors of Icahn Enterprises GP, the general partner of Icahn Enterprises, the audit committee is required to approve in advance any and all audit services and permitted non-audit services provided to Icahn Enterprises and its consolidated subsidiaries by their independent auditors (subject to the de minimis exception of Section 10A (i) (1) (B) of the ‘34 Act), all as required by applicable law or listing standards. All of the fees in 2021 and 2020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financial statements of Icahn Enterprises L.P., and subsidiaries, are included in Part II, Item 8 of this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0" w:type="dxa"/>
            <w:vAlign w:val="bottom"/>
            <w:shd w:val="clear" w:color="auto" w:fill="CCEEFF"/>
          </w:tcPr>
          <w:p>
            <w:pPr>
              <w:spacing w:after="0"/>
              <w:rPr>
                <w:sz w:val="15"/>
                <w:szCs w:val="15"/>
                <w:color w:val="auto"/>
              </w:rPr>
            </w:pPr>
          </w:p>
        </w:tc>
        <w:tc>
          <w:tcPr>
            <w:tcW w:w="7680" w:type="dxa"/>
            <w:vAlign w:val="bottom"/>
            <w:gridSpan w:val="7"/>
            <w:shd w:val="clear" w:color="auto" w:fill="CCEEFF"/>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p>
        </w:tc>
        <w:tc>
          <w:tcPr>
            <w:tcW w:w="11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53</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189"/>
        </w:trPr>
        <w:tc>
          <w:tcPr>
            <w:tcW w:w="60" w:type="dxa"/>
            <w:vAlign w:val="bottom"/>
          </w:tcPr>
          <w:p>
            <w:pPr>
              <w:spacing w:after="0"/>
              <w:rPr>
                <w:sz w:val="16"/>
                <w:szCs w:val="16"/>
                <w:color w:val="auto"/>
              </w:rPr>
            </w:pPr>
          </w:p>
        </w:tc>
        <w:tc>
          <w:tcPr>
            <w:tcW w:w="7680" w:type="dxa"/>
            <w:vAlign w:val="bottom"/>
            <w:gridSpan w:val="7"/>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89"/>
              </w:rPr>
              <w:t>54</w:t>
            </w:r>
          </w:p>
        </w:tc>
      </w:tr>
      <w:tr>
        <w:trPr>
          <w:trHeight w:val="48"/>
        </w:trPr>
        <w:tc>
          <w:tcPr>
            <w:tcW w:w="6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60" w:type="dxa"/>
            <w:vAlign w:val="bottom"/>
            <w:shd w:val="clear" w:color="auto" w:fill="CCEEFF"/>
          </w:tcPr>
          <w:p>
            <w:pPr>
              <w:spacing w:after="0"/>
              <w:rPr>
                <w:sz w:val="21"/>
                <w:szCs w:val="21"/>
                <w:color w:val="auto"/>
              </w:rPr>
            </w:pPr>
          </w:p>
        </w:tc>
        <w:tc>
          <w:tcPr>
            <w:tcW w:w="7680" w:type="dxa"/>
            <w:vAlign w:val="bottom"/>
            <w:gridSpan w:val="7"/>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(Loss)</w:t>
              </w:r>
            </w:hyperlink>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55</w:t>
            </w:r>
          </w:p>
        </w:tc>
      </w:tr>
      <w:tr>
        <w:trPr>
          <w:trHeight w:val="203"/>
        </w:trPr>
        <w:tc>
          <w:tcPr>
            <w:tcW w:w="60" w:type="dxa"/>
            <w:vAlign w:val="bottom"/>
            <w:tcBorders>
              <w:top w:val="single" w:sz="8" w:color="CCEEFF"/>
            </w:tcBorders>
          </w:tcPr>
          <w:p>
            <w:pPr>
              <w:spacing w:after="0"/>
              <w:rPr>
                <w:sz w:val="17"/>
                <w:szCs w:val="17"/>
                <w:color w:val="auto"/>
              </w:rPr>
            </w:pPr>
          </w:p>
        </w:tc>
        <w:tc>
          <w:tcPr>
            <w:tcW w:w="4240" w:type="dxa"/>
            <w:vAlign w:val="bottom"/>
            <w:tcBorders>
              <w:top w:val="single" w:sz="8" w:color="0000EE"/>
            </w:tcBorders>
            <w:gridSpan w:val="6"/>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 of Changes in Equity</w:t>
              </w:r>
            </w:hyperlink>
          </w:p>
        </w:tc>
        <w:tc>
          <w:tcPr>
            <w:tcW w:w="34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89"/>
              </w:rPr>
              <w:t>56</w:t>
            </w:r>
          </w:p>
        </w:tc>
      </w:tr>
      <w:tr>
        <w:trPr>
          <w:trHeight w:val="48"/>
        </w:trPr>
        <w:tc>
          <w:tcPr>
            <w:tcW w:w="6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89"/>
        </w:trPr>
        <w:tc>
          <w:tcPr>
            <w:tcW w:w="60" w:type="dxa"/>
            <w:vAlign w:val="bottom"/>
            <w:shd w:val="clear" w:color="auto" w:fill="CCEEFF"/>
          </w:tcPr>
          <w:p>
            <w:pPr>
              <w:spacing w:after="0"/>
              <w:rPr>
                <w:sz w:val="16"/>
                <w:szCs w:val="16"/>
                <w:color w:val="auto"/>
              </w:rPr>
            </w:pPr>
          </w:p>
        </w:tc>
        <w:tc>
          <w:tcPr>
            <w:tcW w:w="7680" w:type="dxa"/>
            <w:vAlign w:val="bottom"/>
            <w:gridSpan w:val="7"/>
            <w:shd w:val="clear" w:color="auto" w:fill="CCEEFF"/>
          </w:tcPr>
          <w:p>
            <w:pPr>
              <w:spacing w:after="0" w:line="189"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1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57</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189"/>
        </w:trPr>
        <w:tc>
          <w:tcPr>
            <w:tcW w:w="60" w:type="dxa"/>
            <w:vAlign w:val="bottom"/>
          </w:tcPr>
          <w:p>
            <w:pPr>
              <w:spacing w:after="0"/>
              <w:rPr>
                <w:sz w:val="16"/>
                <w:szCs w:val="16"/>
                <w:color w:val="auto"/>
              </w:rPr>
            </w:pPr>
          </w:p>
        </w:tc>
        <w:tc>
          <w:tcPr>
            <w:tcW w:w="7680" w:type="dxa"/>
            <w:vAlign w:val="bottom"/>
            <w:gridSpan w:val="7"/>
          </w:tcPr>
          <w:p>
            <w:pPr>
              <w:spacing w:after="0" w:line="189"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89"/>
              </w:rPr>
              <w:t>58</w:t>
            </w:r>
          </w:p>
        </w:tc>
      </w:tr>
      <w:tr>
        <w:trPr>
          <w:trHeight w:val="20"/>
        </w:trPr>
        <w:tc>
          <w:tcPr>
            <w:tcW w:w="6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80"/>
        </w:trPr>
        <w:tc>
          <w:tcPr>
            <w:tcW w:w="7740" w:type="dxa"/>
            <w:vAlign w:val="bottom"/>
            <w:gridSpan w:val="8"/>
          </w:tcPr>
          <w:p>
            <w:pPr>
              <w:ind w:left="20"/>
              <w:spacing w:after="0"/>
              <w:rPr>
                <w:sz w:val="20"/>
                <w:szCs w:val="20"/>
                <w:color w:val="auto"/>
              </w:rPr>
            </w:pPr>
            <w:r>
              <w:rPr>
                <w:rFonts w:ascii="Arial" w:cs="Arial" w:eastAsia="Arial" w:hAnsi="Arial"/>
                <w:sz w:val="18"/>
                <w:szCs w:val="18"/>
                <w:b w:val="1"/>
                <w:bCs w:val="1"/>
                <w:color w:val="auto"/>
              </w:rPr>
              <w:t>(a)(2) Financial Statement Schedules</w:t>
            </w:r>
          </w:p>
        </w:tc>
        <w:tc>
          <w:tcPr>
            <w:tcW w:w="1160" w:type="dxa"/>
            <w:vAlign w:val="bottom"/>
          </w:tcPr>
          <w:p>
            <w:pPr>
              <w:spacing w:after="0"/>
              <w:rPr>
                <w:sz w:val="24"/>
                <w:szCs w:val="24"/>
                <w:color w:val="auto"/>
              </w:rPr>
            </w:pPr>
          </w:p>
        </w:tc>
      </w:tr>
    </w:tbl>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Page Number</w:t>
            </w:r>
          </w:p>
        </w:tc>
      </w:tr>
      <w:tr>
        <w:trPr>
          <w:trHeight w:val="27"/>
        </w:trPr>
        <w:tc>
          <w:tcPr>
            <w:tcW w:w="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Schedule I - Condensed Financial Information of Parent</w:t>
              </w:r>
            </w:hyperlink>
          </w:p>
        </w:tc>
        <w:tc>
          <w:tcPr>
            <w:tcW w:w="120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131</w:t>
            </w: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0000EE"/>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(a)(3) Exhibits</w:t>
      </w:r>
    </w:p>
    <w:p>
      <w:pPr>
        <w:spacing w:after="0" w:line="229"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list of exhibits required by Item 601 of Regulation S-K and filed as part of this Report is set forth in the Exhibit Index.</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196"/>
        </w:trPr>
        <w:tc>
          <w:tcPr>
            <w:tcW w:w="6820" w:type="dxa"/>
            <w:vAlign w:val="bottom"/>
          </w:tcPr>
          <w:p>
            <w:pPr>
              <w:spacing w:after="0"/>
              <w:rPr>
                <w:sz w:val="17"/>
                <w:szCs w:val="17"/>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color w:val="auto"/>
                <w:w w:val="98"/>
              </w:rPr>
              <w:t>(in millions, except unit amounts)</w:t>
            </w:r>
          </w:p>
        </w:tc>
      </w:tr>
      <w:tr>
        <w:trPr>
          <w:trHeight w:val="216"/>
        </w:trPr>
        <w:tc>
          <w:tcPr>
            <w:tcW w:w="68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subsidiaries, net</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2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10"/>
        </w:trPr>
        <w:tc>
          <w:tcPr>
            <w:tcW w:w="6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r>
      <w:tr>
        <w:trPr>
          <w:trHeight w:val="209"/>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6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293,403,243 units issued and outstanding at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2021 and 241,338,835 units issued and outstanding at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09"/>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subsidiaries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allocated to:</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Limited partners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16"/>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60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Equity in loss of subsidiary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 and advances from subsidiaries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Debt issuance costs and other</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78"/>
        </w:trPr>
        <w:tc>
          <w:tcPr>
            <w:tcW w:w="6020" w:type="dxa"/>
            <w:vAlign w:val="bottom"/>
          </w:tcPr>
          <w:p>
            <w:pPr>
              <w:ind w:left="20"/>
              <w:spacing w:after="0" w:line="177" w:lineRule="exact"/>
              <w:rPr>
                <w:sz w:val="20"/>
                <w:szCs w:val="20"/>
                <w:color w:val="auto"/>
              </w:rPr>
            </w:pPr>
            <w:r>
              <w:rPr>
                <w:rFonts w:ascii="Arial" w:cs="Arial" w:eastAsia="Arial" w:hAnsi="Arial"/>
                <w:sz w:val="18"/>
                <w:szCs w:val="18"/>
                <w:b w:val="1"/>
                <w:bCs w:val="1"/>
                <w:color w:val="auto"/>
                <w:w w:val="92"/>
              </w:rPr>
              <w:t>Net change in cash and cash equivalents and restricted cash and restricted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Cash and cash equivalents and restricted cash and restricted cash equivalents,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6020" w:type="dxa"/>
            <w:vAlign w:val="bottom"/>
          </w:tcPr>
          <w:p>
            <w:pPr>
              <w:ind w:left="20"/>
              <w:spacing w:after="0" w:line="182" w:lineRule="exact"/>
              <w:rPr>
                <w:sz w:val="20"/>
                <w:szCs w:val="20"/>
                <w:color w:val="auto"/>
              </w:rPr>
            </w:pPr>
            <w:r>
              <w:rPr>
                <w:rFonts w:ascii="Arial" w:cs="Arial" w:eastAsia="Arial" w:hAnsi="Arial"/>
                <w:sz w:val="18"/>
                <w:szCs w:val="18"/>
                <w:color w:val="auto"/>
                <w:w w:val="94"/>
              </w:rPr>
              <w:t>Cash and cash equivalents and restricted cash and restricted cash equivalents,</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02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1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2021, Icahn Enterprises is engaged in the following continuing operating businesses: </w:t>
      </w:r>
      <w:r>
        <w:rPr>
          <w:rFonts w:ascii="Arial" w:cs="Arial" w:eastAsia="Arial" w:hAnsi="Arial"/>
          <w:sz w:val="17"/>
          <w:szCs w:val="17"/>
          <w:color w:val="231F20"/>
        </w:rPr>
        <w:t>Investment, Energy, Automotive, Food Packaging, Real Estate, Home Fashion and</w:t>
      </w:r>
      <w:r>
        <w:rPr>
          <w:rFonts w:ascii="Arial" w:cs="Arial" w:eastAsia="Arial" w:hAnsi="Arial"/>
          <w:sz w:val="17"/>
          <w:szCs w:val="17"/>
          <w:color w:val="auto"/>
        </w:rPr>
        <w:t xml:space="preserve"> </w:t>
      </w:r>
      <w:r>
        <w:rPr>
          <w:rFonts w:ascii="Arial" w:cs="Arial" w:eastAsia="Arial" w:hAnsi="Arial"/>
          <w:sz w:val="17"/>
          <w:szCs w:val="17"/>
          <w:color w:val="231F20"/>
        </w:rPr>
        <w:t>Pharma</w:t>
      </w:r>
      <w:r>
        <w:rPr>
          <w:rFonts w:ascii="Arial" w:cs="Arial" w:eastAsia="Arial" w:hAnsi="Arial"/>
          <w:sz w:val="17"/>
          <w:szCs w:val="17"/>
          <w:color w:val="000000"/>
        </w:rPr>
        <w:t>. In addition, we operated a Metals business until sold in December 2021 and a Mining business until sold in</w:t>
      </w:r>
      <w:r>
        <w:rPr>
          <w:rFonts w:ascii="Arial" w:cs="Arial" w:eastAsia="Arial" w:hAnsi="Arial"/>
          <w:sz w:val="17"/>
          <w:szCs w:val="17"/>
          <w:color w:val="231F20"/>
        </w:rPr>
        <w:t xml:space="preserve"> </w:t>
      </w:r>
      <w:r>
        <w:rPr>
          <w:rFonts w:ascii="Arial" w:cs="Arial" w:eastAsia="Arial" w:hAnsi="Arial"/>
          <w:sz w:val="17"/>
          <w:szCs w:val="17"/>
          <w:color w:val="000000"/>
        </w:rPr>
        <w:t>August 2019.</w:t>
      </w:r>
    </w:p>
    <w:p>
      <w:pPr>
        <w:spacing w:after="0" w:line="181" w:lineRule="exact"/>
        <w:rPr>
          <w:sz w:val="20"/>
          <w:szCs w:val="20"/>
          <w:color w:val="auto"/>
        </w:rPr>
      </w:pPr>
    </w:p>
    <w:p>
      <w:pPr>
        <w:ind w:left="60" w:right="459" w:firstLine="324"/>
        <w:spacing w:after="0" w:line="308" w:lineRule="auto"/>
        <w:rPr>
          <w:sz w:val="20"/>
          <w:szCs w:val="20"/>
          <w:color w:val="auto"/>
        </w:rPr>
      </w:pPr>
      <w:r>
        <w:rPr>
          <w:rFonts w:ascii="Arial" w:cs="Arial" w:eastAsia="Arial" w:hAnsi="Arial"/>
          <w:sz w:val="17"/>
          <w:szCs w:val="17"/>
          <w:color w:val="auto"/>
        </w:rPr>
        <w:t>For the years ended December 31, 2021, 2020 and 2019, Icahn Enterprises received (paid) $(366) million, $1,276 million and $(363) million, respectively, for net investment in and advances from subsidiaries.</w:t>
      </w:r>
    </w:p>
    <w:p>
      <w:pPr>
        <w:spacing w:after="0" w:line="146"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Item 8 of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Debt</w:t>
      </w:r>
    </w:p>
    <w:p>
      <w:pPr>
        <w:spacing w:after="0" w:line="229"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See Note 11, “Debt,” to the consolidated financial statements located in Item 8 of this Report. Icahn Enterprises’ Parent company debt consists of the following:</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r>
      <w:tr>
        <w:trPr>
          <w:trHeight w:val="209"/>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r>
      <w:tr>
        <w:trPr>
          <w:trHeight w:val="196"/>
        </w:trPr>
        <w:tc>
          <w:tcPr>
            <w:tcW w:w="6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right"/>
              <w:ind w:right="67"/>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7"/>
                <w:szCs w:val="17"/>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In February 2022, Icahn Enterprises repaid all of its outstanding $500 million aggregate principal amount of 6.750% senior unsecured notes due 2024 at par.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Commitments and Contingencies</w:t>
      </w:r>
    </w:p>
    <w:p>
      <w:pPr>
        <w:spacing w:after="0" w:line="229"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See Note 17, “Commitments and Contingencies,” to the consolidated financial statements located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4" w:lineRule="exact"/>
        <w:rPr>
          <w:sz w:val="20"/>
          <w:szCs w:val="20"/>
          <w:color w:val="auto"/>
        </w:rPr>
      </w:pPr>
    </w:p>
    <w:p>
      <w:pPr>
        <w:ind w:left="60"/>
        <w:spacing w:after="0"/>
        <w:tabs>
          <w:tab w:leader="none" w:pos="45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54" w:lineRule="exact"/>
        <w:rPr>
          <w:sz w:val="20"/>
          <w:szCs w:val="20"/>
          <w:color w:val="auto"/>
        </w:rPr>
      </w:pPr>
    </w:p>
    <w:p>
      <w:pPr>
        <w:ind w:left="1080" w:right="99" w:hanging="692"/>
        <w:spacing w:after="0" w:line="287"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163">
        <w:r>
          <w:rPr>
            <w:rFonts w:ascii="Arial" w:cs="Arial" w:eastAsia="Arial" w:hAnsi="Arial"/>
            <w:sz w:val="16"/>
            <w:szCs w:val="16"/>
            <w:u w:val="single" w:color="auto"/>
            <w:color w:val="0000EE"/>
          </w:rPr>
          <w:t>Agreement and Plan of Merger, dated as of September 6, 2016, by and among Federal Mogul Holdings</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Corporation, American Entertainment Properties Corp. and IEH FM Holdings LLC (incorporated by</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reference to Exhibit 2.1 to Icahn Enterprises’ Form 8-K (SEC File No. 1-9516), filed on September 7, 2016).</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-417830</wp:posOffset>
            </wp:positionV>
            <wp:extent cx="56489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80" w:right="19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2.2</w:t>
      </w:r>
      <w:r>
        <w:rPr>
          <w:sz w:val="20"/>
          <w:szCs w:val="20"/>
          <w:color w:val="auto"/>
        </w:rPr>
        <w:tab/>
      </w:r>
      <w:hyperlink r:id="rId165">
        <w:r>
          <w:rPr>
            <w:rFonts w:ascii="Arial" w:cs="Arial" w:eastAsia="Arial" w:hAnsi="Arial"/>
            <w:sz w:val="18"/>
            <w:szCs w:val="18"/>
            <w:u w:val="single" w:color="auto"/>
            <w:color w:val="0000EE"/>
          </w:rPr>
          <w:t>Equity Asset and Purchase Agreement, dated as of December 16, 2016, by and among American Railcar</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Leasing LLC, American Entertainment Properties Corp., AEP Rail Corp., SMBC Rail Services LLC and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Sumitomo Mitsui Banking Corporation (incorporated by reference to Exhibit 2.1 to Icahn Enterprises’ and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Icahn Enterprises Holdings’ joint Form 8-K (SEC File Nos. 1-9516 and 333-118021-01, respectively), filed</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on December 19, 2016)</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7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2.3</w:t>
      </w:r>
      <w:r>
        <w:rPr>
          <w:sz w:val="20"/>
          <w:szCs w:val="20"/>
          <w:color w:val="auto"/>
        </w:rPr>
        <w:tab/>
      </w:r>
      <w:hyperlink r:id="rId166">
        <w:r>
          <w:rPr>
            <w:rFonts w:ascii="Arial" w:cs="Arial" w:eastAsia="Arial" w:hAnsi="Arial"/>
            <w:sz w:val="18"/>
            <w:szCs w:val="18"/>
            <w:u w:val="single" w:color="auto"/>
            <w:color w:val="0000EE"/>
          </w:rPr>
          <w:t>Membership Interest Purchase Agreement, dated April 10, 2018, by and among Tenneco Inc., Federal-Mogul</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LLC, American Entertainment Properties Corp., and Icahn Enterprises L.P. (incorporated by reference to</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Exhibit 2.1 to Icahn Enterprises’ and Icahn Enterprises Holdings’ joint Form 8-K (SEC File Nos. 1-9516 and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333-118021-01, respectively) file April 10, 2018)</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5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2.4</w:t>
      </w:r>
      <w:r>
        <w:rPr>
          <w:sz w:val="20"/>
          <w:szCs w:val="20"/>
          <w:color w:val="auto"/>
        </w:rPr>
        <w:tab/>
      </w:r>
      <w:hyperlink r:id="rId167">
        <w:r>
          <w:rPr>
            <w:rFonts w:ascii="Arial" w:cs="Arial" w:eastAsia="Arial" w:hAnsi="Arial"/>
            <w:sz w:val="18"/>
            <w:szCs w:val="18"/>
            <w:u w:val="single" w:color="auto"/>
            <w:color w:val="0000EE"/>
          </w:rPr>
          <w:t>Agreement and Plan of Merger, dated April 15, 2018, by and among Eldorado Resorts, Inc., Delta Merger</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Sub, Inc., GLP Capital, L.P. and Tropicana Entertainment Inc. (incorporated by reference to Exhibit 2.1 to</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Icahn Enterprises’ and Icahn Enterprises Holdings’ joint Form 8-K (SEC File Nos. 1-9516 and 333-118021-</w:t>
        </w:r>
      </w:hyperlink>
      <w:hyperlink r:id="rId167">
        <w:r>
          <w:rPr>
            <w:rFonts w:ascii="Arial" w:cs="Arial" w:eastAsia="Arial" w:hAnsi="Arial"/>
            <w:sz w:val="18"/>
            <w:szCs w:val="18"/>
            <w:u w:val="single" w:color="auto"/>
            <w:color w:val="0000EE"/>
          </w:rPr>
          <w:t>01, respectively) file April 16, 2018)</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25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2.5</w:t>
      </w:r>
      <w:r>
        <w:rPr>
          <w:sz w:val="20"/>
          <w:szCs w:val="20"/>
          <w:color w:val="auto"/>
        </w:rPr>
        <w:tab/>
      </w:r>
      <w:hyperlink r:id="rId168">
        <w:r>
          <w:rPr>
            <w:rFonts w:ascii="Arial" w:cs="Arial" w:eastAsia="Arial" w:hAnsi="Arial"/>
            <w:sz w:val="18"/>
            <w:szCs w:val="18"/>
            <w:u w:val="single" w:color="auto"/>
            <w:color w:val="0000EE"/>
          </w:rPr>
          <w:t>Agreement and Plan of Merger, dated as of October 22, 2018, by and between STL Parent Corp. and</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American Railcar Industries, Inc. (incorporated by reference to Exhibit 2.1 to Icahn Enterprises’ and Icahn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Enterprises Holdings’ joint Form 8-K (SEC File Nos. 1-9516 and 333-118021-01, respectively) file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October 22, 2018)</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37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3.1</w:t>
      </w:r>
      <w:r>
        <w:rPr>
          <w:sz w:val="20"/>
          <w:szCs w:val="20"/>
          <w:color w:val="auto"/>
        </w:rPr>
        <w:tab/>
      </w:r>
      <w:hyperlink r:id="rId169">
        <w:r>
          <w:rPr>
            <w:rFonts w:ascii="Arial" w:cs="Arial" w:eastAsia="Arial" w:hAnsi="Arial"/>
            <w:sz w:val="18"/>
            <w:szCs w:val="18"/>
            <w:u w:val="single" w:color="auto"/>
            <w:color w:val="0000EE"/>
          </w:rPr>
          <w:t>Certificate of Limited Partnership of Icahn Enterprises L.P., f/k/a American Real Estate Partners, L.P.</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(“Icahn Enterprises”) dated February 17, 1987, as thereafter amended from time to time (incorporated by</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reference to Exhibit 3.1 to Icahn Enterprises’ Form 8-K (SEC File No. 1-9516), filed on September 20,</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2007)</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9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3.2</w:t>
      </w:r>
      <w:r>
        <w:rPr>
          <w:sz w:val="20"/>
          <w:szCs w:val="20"/>
          <w:color w:val="auto"/>
        </w:rPr>
        <w:tab/>
      </w:r>
      <w:hyperlink r:id="rId170">
        <w:r>
          <w:rPr>
            <w:rFonts w:ascii="Arial" w:cs="Arial" w:eastAsia="Arial" w:hAnsi="Arial"/>
            <w:sz w:val="17"/>
            <w:szCs w:val="17"/>
            <w:u w:val="single" w:color="auto"/>
            <w:color w:val="0000EE"/>
          </w:rPr>
          <w:t>Certificate of Limited Partnership of Icahn Enterprises Holdings L.P., f/k/a American Real Estate Holdings</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Limited Partnership (“Icahn Enterprises Holdings”), dated February 17, 1987, as amended pursuant to the</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First Amendment thereto, dated March 10, 1987 (incorporated by reference to Exhibit 3.5 to Icahn</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Enterprises’ Form 10-Q for the quarter ended March 31, 2004 (SEC File No. 1-9516), filed on May 10,</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2004, as further amended pursuant to the Certificate of Amendment thereto, dated September 17, 2007</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(incorporated by reference to Exhibit 3.9 to Icahn Enterprises’ Form 10-K for the year ended December 31,</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2007 (SEC File No. 1-9516), filed on March 17, 2008)</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3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3.3</w:t>
      </w:r>
      <w:r>
        <w:rPr>
          <w:sz w:val="20"/>
          <w:szCs w:val="20"/>
          <w:color w:val="auto"/>
        </w:rPr>
        <w:tab/>
      </w:r>
      <w:hyperlink r:id="rId171">
        <w:r>
          <w:rPr>
            <w:rFonts w:ascii="Arial" w:cs="Arial" w:eastAsia="Arial" w:hAnsi="Arial"/>
            <w:sz w:val="18"/>
            <w:szCs w:val="18"/>
            <w:u w:val="single" w:color="auto"/>
            <w:color w:val="0000EE"/>
          </w:rPr>
          <w:t>Second Amended and Restated Agreement of Limited Partnership of Icahn Enterprises L.P., dated August 2,</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2016 (incorporated by reference to Exhibit 3.1 to Icahn Enterprises’ and Icahn Enterprises Holdings’ joint</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Form 10-Q for the quarterly period ended June 30, 2016 (SEC File Nos. 1-9516 and 333-118021-01,</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respectively), filed on August 4, 2016)</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5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3.4</w:t>
      </w:r>
      <w:r>
        <w:rPr>
          <w:sz w:val="20"/>
          <w:szCs w:val="20"/>
          <w:color w:val="auto"/>
        </w:rPr>
        <w:tab/>
      </w:r>
      <w:hyperlink r:id="rId172">
        <w:r>
          <w:rPr>
            <w:rFonts w:ascii="Arial" w:cs="Arial" w:eastAsia="Arial" w:hAnsi="Arial"/>
            <w:sz w:val="18"/>
            <w:szCs w:val="18"/>
            <w:u w:val="single" w:color="auto"/>
            <w:color w:val="0000EE"/>
          </w:rPr>
          <w:t>Amended and Restated Agreement of Limited Partnership of Icahn Enterprises Holdings, dated as of July 1,</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1987 (incorporated by reference to Exhibit 3.5 to Icahn Enterprises’ Form 10-Q for the quarter ended</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March 31, 2004 (SEC File No. 1-9516), filed on May 10, 2004)</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ind w:left="1080" w:right="17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3.5</w:t>
      </w:r>
      <w:r>
        <w:rPr>
          <w:sz w:val="20"/>
          <w:szCs w:val="20"/>
          <w:color w:val="auto"/>
        </w:rPr>
        <w:tab/>
      </w:r>
      <w:hyperlink r:id="rId173">
        <w:r>
          <w:rPr>
            <w:rFonts w:ascii="Arial" w:cs="Arial" w:eastAsia="Arial" w:hAnsi="Arial"/>
            <w:sz w:val="18"/>
            <w:szCs w:val="18"/>
            <w:u w:val="single" w:color="auto"/>
            <w:color w:val="0000EE"/>
          </w:rPr>
          <w:t>Amendment No. 1 to the Amended and Restated Agreement of Limited Partnership of Icahn Enterprises</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Holdings, dated August 16, 1996 (incorporated by reference to Exhibit 10.2 to Icahn Enterprises’ Form 8-K</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(SEC File No. 1-9516), filed on August 16, 1996)</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ind w:left="1080" w:right="11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3.6</w:t>
      </w:r>
      <w:r>
        <w:rPr>
          <w:sz w:val="20"/>
          <w:szCs w:val="20"/>
          <w:color w:val="auto"/>
        </w:rPr>
        <w:tab/>
      </w:r>
      <w:hyperlink r:id="rId174">
        <w:r>
          <w:rPr>
            <w:rFonts w:ascii="Arial" w:cs="Arial" w:eastAsia="Arial" w:hAnsi="Arial"/>
            <w:sz w:val="17"/>
            <w:szCs w:val="17"/>
            <w:u w:val="single" w:color="auto"/>
            <w:color w:val="0000EE"/>
          </w:rPr>
          <w:t>Amendment No. 2 to the Amended and Restated Agreement of Limited Partnership of Icahn Enterprises</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Holdings, dated June 14, 2002 (incorporated by reference to Exhibit 3.9 to Icahn Enterprises’ Form 10-K for</w:t>
        </w:r>
      </w:hyperlink>
      <w:r>
        <w:rPr>
          <w:rFonts w:ascii="Arial" w:cs="Arial" w:eastAsia="Arial" w:hAnsi="Arial"/>
          <w:sz w:val="17"/>
          <w:szCs w:val="17"/>
          <w:u w:val="single" w:color="auto"/>
          <w:color w:val="0000EE"/>
        </w:rPr>
        <w:t xml:space="preserve"> </w:t>
      </w:r>
      <w:hyperlink r:id="rId174">
        <w:r>
          <w:rPr>
            <w:rFonts w:ascii="Arial" w:cs="Arial" w:eastAsia="Arial" w:hAnsi="Arial"/>
            <w:sz w:val="17"/>
            <w:szCs w:val="17"/>
            <w:u w:val="single" w:color="auto"/>
            <w:color w:val="0000EE"/>
          </w:rPr>
          <w:t>the year ended December 31, 2002 (SEC File No. 1-9516), filed on March 31, 2003)</w:t>
        </w:r>
        <w:r>
          <w:rPr>
            <w:rFonts w:ascii="Arial" w:cs="Arial" w:eastAsia="Arial" w:hAnsi="Arial"/>
            <w:sz w:val="17"/>
            <w:szCs w:val="17"/>
            <w:color w:val="000000"/>
          </w:rPr>
          <w:t>.</w:t>
        </w:r>
      </w:hyperlink>
    </w:p>
    <w:p>
      <w:pPr>
        <w:ind w:left="1080" w:right="11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3.7</w:t>
      </w:r>
      <w:r>
        <w:rPr>
          <w:sz w:val="20"/>
          <w:szCs w:val="20"/>
          <w:color w:val="auto"/>
        </w:rPr>
        <w:tab/>
      </w:r>
      <w:hyperlink r:id="rId175">
        <w:r>
          <w:rPr>
            <w:rFonts w:ascii="Arial" w:cs="Arial" w:eastAsia="Arial" w:hAnsi="Arial"/>
            <w:sz w:val="17"/>
            <w:szCs w:val="17"/>
            <w:u w:val="single" w:color="auto"/>
            <w:color w:val="0000EE"/>
          </w:rPr>
          <w:t>Amendment No. 3 to the Amended and Restated Agreement of Limited Partnership of Icahn Enterprises</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Holdings, dated June 29, 2005 (incorporated by reference to Exhibit 3.2 to Icahn Enterprises’ Form 10-Q for</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the quarter ended June 30, 2005 (SEC File No. 1-9516), filed on August 9, 2005)</w:t>
        </w:r>
        <w:r>
          <w:rPr>
            <w:rFonts w:ascii="Arial" w:cs="Arial" w:eastAsia="Arial" w:hAnsi="Arial"/>
            <w:sz w:val="17"/>
            <w:szCs w:val="17"/>
            <w:color w:val="000000"/>
          </w:rPr>
          <w:t>.</w:t>
        </w:r>
      </w:hyperlink>
    </w:p>
    <w:p>
      <w:pPr>
        <w:ind w:left="1080" w:right="419" w:hanging="692"/>
        <w:spacing w:after="0" w:line="302" w:lineRule="auto"/>
        <w:tabs>
          <w:tab w:leader="none" w:pos="1060" w:val="left"/>
        </w:tabs>
        <w:rPr>
          <w:rFonts w:ascii="Arial" w:cs="Arial" w:eastAsia="Arial" w:hAnsi="Arial"/>
          <w:sz w:val="16"/>
          <w:szCs w:val="16"/>
          <w:color w:val="0000EE"/>
        </w:rPr>
      </w:pPr>
      <w:r>
        <w:rPr>
          <w:rFonts w:ascii="Arial" w:cs="Arial" w:eastAsia="Arial" w:hAnsi="Arial"/>
          <w:sz w:val="18"/>
          <w:szCs w:val="18"/>
          <w:color w:val="auto"/>
        </w:rPr>
        <w:t>3.8</w:t>
      </w:r>
      <w:r>
        <w:rPr>
          <w:sz w:val="20"/>
          <w:szCs w:val="20"/>
          <w:color w:val="auto"/>
        </w:rPr>
        <w:tab/>
      </w:r>
      <w:hyperlink r:id="rId176">
        <w:r>
          <w:rPr>
            <w:rFonts w:ascii="Arial" w:cs="Arial" w:eastAsia="Arial" w:hAnsi="Arial"/>
            <w:sz w:val="16"/>
            <w:szCs w:val="16"/>
            <w:u w:val="single" w:color="auto"/>
            <w:color w:val="0000EE"/>
          </w:rPr>
          <w:t>Amendment No. 4 to the Amended and Restated Agreement of Limited Partnership of Icahn Enterprises</w:t>
        </w:r>
      </w:hyperlink>
      <w:r>
        <w:rPr>
          <w:rFonts w:ascii="Arial" w:cs="Arial" w:eastAsia="Arial" w:hAnsi="Arial"/>
          <w:sz w:val="16"/>
          <w:szCs w:val="16"/>
          <w:u w:val="single" w:color="auto"/>
          <w:color w:val="0000EE"/>
        </w:rPr>
        <w:t xml:space="preserve"> </w:t>
      </w:r>
      <w:hyperlink r:id="rId176">
        <w:r>
          <w:rPr>
            <w:rFonts w:ascii="Arial" w:cs="Arial" w:eastAsia="Arial" w:hAnsi="Arial"/>
            <w:sz w:val="16"/>
            <w:szCs w:val="16"/>
            <w:u w:val="single" w:color="auto"/>
            <w:color w:val="0000EE"/>
          </w:rPr>
          <w:t>Holdings, dated September 17, 2007 (incorporated by reference to Exhibit 3.11 to Icahn Enterprises’</w:t>
        </w:r>
      </w:hyperlink>
      <w:r>
        <w:rPr>
          <w:rFonts w:ascii="Arial" w:cs="Arial" w:eastAsia="Arial" w:hAnsi="Arial"/>
          <w:sz w:val="16"/>
          <w:szCs w:val="16"/>
          <w:u w:val="single" w:color="auto"/>
          <w:color w:val="0000EE"/>
        </w:rPr>
        <w:t xml:space="preserve"> </w:t>
      </w:r>
      <w:hyperlink r:id="rId176">
        <w:r>
          <w:rPr>
            <w:rFonts w:ascii="Arial" w:cs="Arial" w:eastAsia="Arial" w:hAnsi="Arial"/>
            <w:sz w:val="16"/>
            <w:szCs w:val="16"/>
            <w:u w:val="single" w:color="auto"/>
            <w:color w:val="0000EE"/>
          </w:rPr>
          <w:t>Form 10-K for the year ended December 31, 2007 (SEC File No. 1-9516), filed on March 17, 2008)</w:t>
        </w:r>
        <w:r>
          <w:rPr>
            <w:rFonts w:ascii="Arial" w:cs="Arial" w:eastAsia="Arial" w:hAnsi="Arial"/>
            <w:sz w:val="16"/>
            <w:szCs w:val="16"/>
            <w:color w:val="000000"/>
          </w:rPr>
          <w:t>.</w:t>
        </w:r>
      </w:hyperlink>
    </w:p>
    <w:p>
      <w:pPr>
        <w:sectPr>
          <w:pgSz w:w="11900" w:h="16838" w:orient="portrait"/>
          <w:cols w:equalWidth="0" w:num="1">
            <w:col w:w="9019"/>
          </w:cols>
          <w:pgMar w:left="1440" w:top="517" w:right="1440" w:bottom="1440" w:gutter="0" w:footer="0" w:header="0"/>
        </w:sectPr>
      </w:pPr>
    </w:p>
    <w:p>
      <w:pPr>
        <w:spacing w:after="0" w:line="371"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80" w:right="339" w:hanging="692"/>
        <w:spacing w:after="0" w:line="255"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w:t>
      </w:r>
      <w:r>
        <w:rPr>
          <w:sz w:val="20"/>
          <w:szCs w:val="20"/>
          <w:color w:val="auto"/>
        </w:rPr>
        <w:tab/>
      </w:r>
      <w:hyperlink r:id="rId178">
        <w:r>
          <w:rPr>
            <w:rFonts w:ascii="Arial" w:cs="Arial" w:eastAsia="Arial" w:hAnsi="Arial"/>
            <w:sz w:val="18"/>
            <w:szCs w:val="18"/>
            <w:u w:val="single" w:color="auto"/>
            <w:color w:val="0000EE"/>
          </w:rPr>
          <w:t>Description of securities (incorporated by reference to Exhibit 4.1 to Icahn Enterprises’ and Icahn</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Enterprises Holdings’ joint Form 10-K for the year ended December 31, 2019 (SEC File Nos. 1-9516 and</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333-118021-01, respectively), filed on February 28, 2020)</w:t>
        </w:r>
        <w:r>
          <w:rPr>
            <w:rFonts w:ascii="Arial" w:cs="Arial" w:eastAsia="Arial" w:hAnsi="Arial"/>
            <w:sz w:val="18"/>
            <w:szCs w:val="18"/>
            <w:color w:val="000000"/>
          </w:rPr>
          <w:t>.</w:t>
        </w:r>
      </w:hyperlink>
    </w:p>
    <w:p>
      <w:pPr>
        <w:spacing w:after="0" w:line="3" w:lineRule="exact"/>
        <w:rPr>
          <w:rFonts w:ascii="Arial" w:cs="Arial" w:eastAsia="Arial" w:hAnsi="Arial"/>
          <w:sz w:val="18"/>
          <w:szCs w:val="18"/>
          <w:u w:val="single" w:color="auto"/>
          <w:color w:val="0000EE"/>
        </w:rPr>
      </w:pPr>
    </w:p>
    <w:p>
      <w:pPr>
        <w:ind w:left="1080" w:right="17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4.2</w:t>
      </w:r>
      <w:r>
        <w:rPr>
          <w:sz w:val="20"/>
          <w:szCs w:val="20"/>
          <w:color w:val="auto"/>
        </w:rPr>
        <w:tab/>
      </w:r>
      <w:hyperlink r:id="rId179">
        <w:r>
          <w:rPr>
            <w:rFonts w:ascii="Arial" w:cs="Arial" w:eastAsia="Arial" w:hAnsi="Arial"/>
            <w:sz w:val="18"/>
            <w:szCs w:val="18"/>
            <w:u w:val="single" w:color="auto"/>
            <w:color w:val="0000EE"/>
          </w:rPr>
          <w:t>Form of Transfer Application (incorporated by reference to Exhibit 4.4 to Icahn Enterprises’ Form 10-K for</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the year ended December 31, 2004 (SEC File No. 1-9516), filed on March 16, 2005)</w:t>
        </w:r>
        <w:r>
          <w:rPr>
            <w:rFonts w:ascii="Arial" w:cs="Arial" w:eastAsia="Arial" w:hAnsi="Arial"/>
            <w:sz w:val="18"/>
            <w:szCs w:val="18"/>
            <w:color w:val="000000"/>
          </w:rPr>
          <w:t>.</w:t>
        </w:r>
      </w:hyperlink>
    </w:p>
    <w:p>
      <w:pPr>
        <w:spacing w:after="0" w:line="1" w:lineRule="exact"/>
        <w:rPr>
          <w:sz w:val="20"/>
          <w:szCs w:val="20"/>
          <w:color w:val="auto"/>
        </w:rPr>
      </w:pPr>
    </w:p>
    <w:p>
      <w:pPr>
        <w:ind w:left="1080" w:right="15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4.3</w:t>
      </w:r>
      <w:r>
        <w:rPr>
          <w:sz w:val="20"/>
          <w:szCs w:val="20"/>
          <w:color w:val="auto"/>
        </w:rPr>
        <w:tab/>
      </w:r>
      <w:hyperlink r:id="rId180">
        <w:r>
          <w:rPr>
            <w:rFonts w:ascii="Arial" w:cs="Arial" w:eastAsia="Arial" w:hAnsi="Arial"/>
            <w:sz w:val="17"/>
            <w:szCs w:val="17"/>
            <w:u w:val="single" w:color="auto"/>
            <w:color w:val="0000EE"/>
          </w:rPr>
          <w:t>Specimen Depositary Receipt (incorporated by reference to Exhibit 4.3 to Icahn Enterprises’ Form 10-K for</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the year ended December 31, 2014 (SEC File No. 1-9516), filed on March 16, 2005)</w:t>
        </w:r>
        <w:r>
          <w:rPr>
            <w:rFonts w:ascii="Arial" w:cs="Arial" w:eastAsia="Arial" w:hAnsi="Arial"/>
            <w:sz w:val="17"/>
            <w:szCs w:val="17"/>
            <w:color w:val="000000"/>
          </w:rPr>
          <w:t>.</w:t>
        </w:r>
      </w:hyperlink>
    </w:p>
    <w:p>
      <w:pPr>
        <w:ind w:left="1080" w:right="21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4.4</w:t>
      </w:r>
      <w:r>
        <w:rPr>
          <w:sz w:val="20"/>
          <w:szCs w:val="20"/>
          <w:color w:val="auto"/>
        </w:rPr>
        <w:tab/>
      </w:r>
      <w:hyperlink r:id="rId181">
        <w:r>
          <w:rPr>
            <w:rFonts w:ascii="Arial" w:cs="Arial" w:eastAsia="Arial" w:hAnsi="Arial"/>
            <w:sz w:val="17"/>
            <w:szCs w:val="17"/>
            <w:u w:val="single" w:color="auto"/>
            <w:color w:val="0000EE"/>
          </w:rPr>
          <w:t>Specimen Depositary Certificate (incorporated by reference to Exhibit 4.1 to Icahn Enterprises’ Form 10-Q</w:t>
        </w:r>
      </w:hyperlink>
      <w:r>
        <w:rPr>
          <w:rFonts w:ascii="Arial" w:cs="Arial" w:eastAsia="Arial" w:hAnsi="Arial"/>
          <w:sz w:val="17"/>
          <w:szCs w:val="17"/>
          <w:u w:val="single" w:color="auto"/>
          <w:color w:val="0000EE"/>
        </w:rPr>
        <w:t xml:space="preserve"> </w:t>
      </w:r>
      <w:hyperlink r:id="rId181">
        <w:r>
          <w:rPr>
            <w:rFonts w:ascii="Arial" w:cs="Arial" w:eastAsia="Arial" w:hAnsi="Arial"/>
            <w:sz w:val="17"/>
            <w:szCs w:val="17"/>
            <w:u w:val="single" w:color="auto"/>
            <w:color w:val="0000EE"/>
          </w:rPr>
          <w:t>for the quarterly period ended June 30, 2016 (SEC File No. 1-9516), filed on August 4, 2016)</w:t>
        </w:r>
        <w:r>
          <w:rPr>
            <w:rFonts w:ascii="Arial" w:cs="Arial" w:eastAsia="Arial" w:hAnsi="Arial"/>
            <w:sz w:val="17"/>
            <w:szCs w:val="17"/>
            <w:color w:val="000000"/>
          </w:rPr>
          <w:t>.</w:t>
        </w:r>
      </w:hyperlink>
    </w:p>
    <w:p>
      <w:pPr>
        <w:ind w:left="1080" w:right="779" w:hanging="69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4.5</w:t>
      </w:r>
      <w:r>
        <w:rPr>
          <w:sz w:val="20"/>
          <w:szCs w:val="20"/>
          <w:color w:val="auto"/>
        </w:rPr>
        <w:tab/>
      </w:r>
      <w:hyperlink r:id="rId182">
        <w:r>
          <w:rPr>
            <w:rFonts w:ascii="Arial" w:cs="Arial" w:eastAsia="Arial" w:hAnsi="Arial"/>
            <w:sz w:val="17"/>
            <w:szCs w:val="17"/>
            <w:u w:val="single" w:color="auto"/>
            <w:color w:val="0000EE"/>
          </w:rPr>
          <w:t>Specimen Certificate representing preferred units (incorporated by reference to Exhibit 4.9 to Icahn</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Enterprises’ Form S-3/A (SEC File No. 33-54767), filed on February 22, 1995)</w:t>
        </w:r>
        <w:r>
          <w:rPr>
            <w:rFonts w:ascii="Arial" w:cs="Arial" w:eastAsia="Arial" w:hAnsi="Arial"/>
            <w:sz w:val="17"/>
            <w:szCs w:val="17"/>
            <w:color w:val="000000"/>
          </w:rPr>
          <w:t>.</w:t>
        </w:r>
      </w:hyperlink>
    </w:p>
    <w:p>
      <w:pPr>
        <w:jc w:val="both"/>
        <w:ind w:left="1080" w:right="11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4.6</w:t>
      </w:r>
      <w:r>
        <w:rPr>
          <w:sz w:val="20"/>
          <w:szCs w:val="20"/>
          <w:color w:val="auto"/>
        </w:rPr>
        <w:tab/>
      </w:r>
      <w:hyperlink r:id="rId183">
        <w:r>
          <w:rPr>
            <w:rFonts w:ascii="Arial" w:cs="Arial" w:eastAsia="Arial" w:hAnsi="Arial"/>
            <w:sz w:val="18"/>
            <w:szCs w:val="18"/>
            <w:u w:val="single" w:color="auto"/>
            <w:color w:val="0000EE"/>
          </w:rPr>
          <w:t>Registration Rights Agreement between Icahn Enterprises and High Coast Limited Partnership (f/k/a X LP)</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(incorporated by reference to Exhibit 10.2 to Icahn Enterprises’ Form 10-K for the year ended December 31,</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2004 (SEC File No. 1-9516), filed on March 16, 2005)</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ind w:left="1080" w:right="79" w:hanging="692"/>
        <w:spacing w:after="0" w:line="281" w:lineRule="auto"/>
        <w:tabs>
          <w:tab w:leader="none" w:pos="1060" w:val="left"/>
        </w:tabs>
        <w:rPr>
          <w:rFonts w:ascii="Arial" w:cs="Arial" w:eastAsia="Arial" w:hAnsi="Arial"/>
          <w:sz w:val="16"/>
          <w:szCs w:val="16"/>
          <w:color w:val="0000EE"/>
        </w:rPr>
      </w:pPr>
      <w:r>
        <w:rPr>
          <w:rFonts w:ascii="Arial" w:cs="Arial" w:eastAsia="Arial" w:hAnsi="Arial"/>
          <w:sz w:val="18"/>
          <w:szCs w:val="18"/>
          <w:color w:val="auto"/>
        </w:rPr>
        <w:t>4.7</w:t>
      </w:r>
      <w:r>
        <w:rPr>
          <w:sz w:val="20"/>
          <w:szCs w:val="20"/>
          <w:color w:val="auto"/>
        </w:rPr>
        <w:tab/>
      </w:r>
      <w:hyperlink r:id="rId184">
        <w:r>
          <w:rPr>
            <w:rFonts w:ascii="Arial" w:cs="Arial" w:eastAsia="Arial" w:hAnsi="Arial"/>
            <w:sz w:val="16"/>
            <w:szCs w:val="16"/>
            <w:u w:val="single" w:color="auto"/>
            <w:color w:val="0000EE"/>
          </w:rPr>
          <w:t>Registration Rights Agreement, dated June 30, 2005 between Icahn Enterprises and Highcrest Investors</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Corp., Amos Corp., Cyprus, LLC and Gascon Partners (incorporated by reference to Exhibit 10.6 to Icahn</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Enterprises’ Form 10-Q (SEC File No. 1-9516), filed on August 9, 2005), as amended by Amendment No. 1</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thereto, dated as of August 8, 2007 (incorporated by reference to Exhibit 10.5 to Icahn Enterprises’ Form 10-</w:t>
        </w:r>
      </w:hyperlink>
      <w:hyperlink r:id="rId184">
        <w:r>
          <w:rPr>
            <w:rFonts w:ascii="Arial" w:cs="Arial" w:eastAsia="Arial" w:hAnsi="Arial"/>
            <w:sz w:val="16"/>
            <w:szCs w:val="16"/>
            <w:u w:val="single" w:color="auto"/>
            <w:color w:val="0000EE"/>
          </w:rPr>
          <w:t>Q for the quarter ended June 30, 2007 (SEC File No. 1-9516), filed on August 9, 2007)</w:t>
        </w:r>
        <w:r>
          <w:rPr>
            <w:rFonts w:ascii="Arial" w:cs="Arial" w:eastAsia="Arial" w:hAnsi="Arial"/>
            <w:sz w:val="16"/>
            <w:szCs w:val="16"/>
            <w:color w:val="000000"/>
          </w:rPr>
          <w:t>.</w:t>
        </w:r>
      </w:hyperlink>
    </w:p>
    <w:p>
      <w:pPr>
        <w:spacing w:after="0" w:line="3" w:lineRule="exact"/>
        <w:rPr>
          <w:rFonts w:ascii="Arial" w:cs="Arial" w:eastAsia="Arial" w:hAnsi="Arial"/>
          <w:sz w:val="16"/>
          <w:szCs w:val="16"/>
          <w:u w:val="single" w:color="auto"/>
          <w:color w:val="0000EE"/>
        </w:rPr>
      </w:pPr>
    </w:p>
    <w:p>
      <w:pPr>
        <w:ind w:left="1080" w:right="11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4.8</w:t>
      </w:r>
      <w:r>
        <w:rPr>
          <w:sz w:val="20"/>
          <w:szCs w:val="20"/>
          <w:color w:val="auto"/>
        </w:rPr>
        <w:tab/>
      </w:r>
      <w:hyperlink r:id="rId185">
        <w:r>
          <w:rPr>
            <w:rFonts w:ascii="Arial" w:cs="Arial" w:eastAsia="Arial" w:hAnsi="Arial"/>
            <w:sz w:val="18"/>
            <w:szCs w:val="18"/>
            <w:u w:val="single" w:color="auto"/>
            <w:color w:val="0000EE"/>
          </w:rPr>
          <w:t>Amended and Restated Depositary Agreement among Icahn Enterprises, Icahn Enterprises GP and Registrar</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and Transfer Company, dated as of August 23, 2013 (incorporated by reference to Exhibit 10.1 to Icahn</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Enterprises’ Form 8-K (SEC File No. 1-9516), filed on August 23, 2013)</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ind w:left="1080" w:right="159" w:hanging="692"/>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4.9</w:t>
      </w:r>
      <w:r>
        <w:rPr>
          <w:sz w:val="20"/>
          <w:szCs w:val="20"/>
          <w:color w:val="auto"/>
        </w:rPr>
        <w:tab/>
      </w:r>
      <w:hyperlink r:id="rId186">
        <w:r>
          <w:rPr>
            <w:rFonts w:ascii="Arial" w:cs="Arial" w:eastAsia="Arial" w:hAnsi="Arial"/>
            <w:sz w:val="18"/>
            <w:szCs w:val="18"/>
            <w:u w:val="single" w:color="auto"/>
            <w:color w:val="0000EE"/>
          </w:rPr>
          <w:t>Indenture, dated as of January 18, 2017, among Icahn Enterprises, Icahn Enterprises Finance, Icahn</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Enterprises Holdings, as Guarantor, and Wilmington Trust Company, as Trustee relating to the 6.250%</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Senior Notes Due 2022 and 6.750% Senior Notes Due 2024 (incorporated by reference to Exhibit 4.1 to</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Icahn Enterprises’ and Icahn Enterprises Holdings’ joint Form 8-K (SEC File Nos. 1-9516 and 333-118021-</w:t>
        </w:r>
      </w:hyperlink>
      <w:hyperlink r:id="rId186">
        <w:r>
          <w:rPr>
            <w:rFonts w:ascii="Arial" w:cs="Arial" w:eastAsia="Arial" w:hAnsi="Arial"/>
            <w:sz w:val="18"/>
            <w:szCs w:val="18"/>
            <w:u w:val="single" w:color="auto"/>
            <w:color w:val="0000EE"/>
          </w:rPr>
          <w:t>01, respectively), filed on January 18, 2017)</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79" w:hanging="737"/>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4.10</w:t>
      </w:r>
      <w:r>
        <w:rPr>
          <w:sz w:val="20"/>
          <w:szCs w:val="20"/>
          <w:color w:val="auto"/>
        </w:rPr>
        <w:tab/>
      </w:r>
      <w:hyperlink r:id="rId187">
        <w:r>
          <w:rPr>
            <w:rFonts w:ascii="Arial" w:cs="Arial" w:eastAsia="Arial" w:hAnsi="Arial"/>
            <w:sz w:val="18"/>
            <w:szCs w:val="18"/>
            <w:u w:val="single" w:color="auto"/>
            <w:color w:val="0000EE"/>
          </w:rPr>
          <w:t>Indenture, dated as of December 6, 2017, among Icahn Enterprises, Icahn Enterprises Finance, Icahn</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Enterprises Holdings, as Guarantor, and Wilmington Trust Company, as Trustee relating to the 6.375%</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Senior Notes Due 2025 incorporated by reference to Exhibit 4.1 to Icahn Enterprises’ and Icahn Enterprises</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Holdings’ joint Form 8-K (SEC File Nos. 1-9516 and 333-118021-01, respectively), filed on December 6,</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79" w:hanging="734"/>
        <w:spacing w:after="0" w:line="281" w:lineRule="auto"/>
        <w:tabs>
          <w:tab w:leader="none" w:pos="1060" w:val="left"/>
        </w:tabs>
        <w:rPr>
          <w:rFonts w:ascii="Arial" w:cs="Arial" w:eastAsia="Arial" w:hAnsi="Arial"/>
          <w:sz w:val="16"/>
          <w:szCs w:val="16"/>
          <w:color w:val="0000EE"/>
        </w:rPr>
      </w:pPr>
      <w:r>
        <w:rPr>
          <w:rFonts w:ascii="Arial" w:cs="Arial" w:eastAsia="Arial" w:hAnsi="Arial"/>
          <w:sz w:val="18"/>
          <w:szCs w:val="18"/>
          <w:color w:val="auto"/>
        </w:rPr>
        <w:t>4.11</w:t>
      </w:r>
      <w:r>
        <w:rPr>
          <w:sz w:val="20"/>
          <w:szCs w:val="20"/>
          <w:color w:val="auto"/>
        </w:rPr>
        <w:tab/>
      </w:r>
      <w:hyperlink r:id="rId188">
        <w:r>
          <w:rPr>
            <w:rFonts w:ascii="Arial" w:cs="Arial" w:eastAsia="Arial" w:hAnsi="Arial"/>
            <w:sz w:val="16"/>
            <w:szCs w:val="16"/>
            <w:u w:val="single" w:color="auto"/>
            <w:color w:val="0000EE"/>
          </w:rPr>
          <w:t>Indenture, dated as of May 10, 2019, among Icahn Enterprises, Icahn Enterprises Finance, Icahn Enterprises</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Holdings, as Guarantor, and Wilmington Trust Company, as Trustee relating to the 6.250% Senior Notes Due</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2026 incorporated by reference to Exhibit 4.1 to Icahn Enterprises’ and Icahn Enterprises Holdings’ joint</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Form 8-K (SEC File Nos. 1-9516 and 333-118021-01, respectively), filed on May 10, 2019)</w:t>
        </w:r>
        <w:r>
          <w:rPr>
            <w:rFonts w:ascii="Arial" w:cs="Arial" w:eastAsia="Arial" w:hAnsi="Arial"/>
            <w:sz w:val="16"/>
            <w:szCs w:val="16"/>
            <w:color w:val="000000"/>
          </w:rPr>
          <w:t>.</w:t>
        </w:r>
      </w:hyperlink>
    </w:p>
    <w:p>
      <w:pPr>
        <w:spacing w:after="0" w:line="2" w:lineRule="exact"/>
        <w:rPr>
          <w:rFonts w:ascii="Arial" w:cs="Arial" w:eastAsia="Arial" w:hAnsi="Arial"/>
          <w:sz w:val="16"/>
          <w:szCs w:val="16"/>
          <w:u w:val="single" w:color="auto"/>
          <w:color w:val="0000EE"/>
        </w:rPr>
      </w:pPr>
    </w:p>
    <w:p>
      <w:pPr>
        <w:ind w:left="1080" w:right="179" w:hanging="737"/>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4.12</w:t>
      </w:r>
      <w:r>
        <w:rPr>
          <w:sz w:val="20"/>
          <w:szCs w:val="20"/>
          <w:color w:val="auto"/>
        </w:rPr>
        <w:tab/>
      </w:r>
      <w:hyperlink r:id="rId189">
        <w:r>
          <w:rPr>
            <w:rFonts w:ascii="Arial" w:cs="Arial" w:eastAsia="Arial" w:hAnsi="Arial"/>
            <w:sz w:val="18"/>
            <w:szCs w:val="18"/>
            <w:u w:val="single" w:color="auto"/>
            <w:color w:val="0000EE"/>
          </w:rPr>
          <w:t>Indenture, dated as of September 6, 2019, among Icahn Enterprises, Icahn Enterprises Finance, Icahn</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Enterprises Holdings, as Guarantor, and Wilmington Trust Company, as Trustee relating to the 4.750%</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Senior Notes Due 2024 incorporated by reference to Exhibit 4.1 to Icahn Enterprises’ and Icahn Enterprises</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Holdings’ joint Form 8-K (SEC File Nos. 1-9516 and 333-118021-01, respectively), filed on September 6,</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2019)</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79" w:hanging="737"/>
        <w:spacing w:after="0" w:line="250"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4.13</w:t>
      </w:r>
      <w:r>
        <w:rPr>
          <w:sz w:val="20"/>
          <w:szCs w:val="20"/>
          <w:color w:val="auto"/>
        </w:rPr>
        <w:tab/>
      </w:r>
      <w:hyperlink r:id="rId190">
        <w:r>
          <w:rPr>
            <w:rFonts w:ascii="Arial" w:cs="Arial" w:eastAsia="Arial" w:hAnsi="Arial"/>
            <w:sz w:val="18"/>
            <w:szCs w:val="18"/>
            <w:u w:val="single" w:color="auto"/>
            <w:color w:val="0000EE"/>
          </w:rPr>
          <w:t>Indenture, dated as of December 12, 2019, among Icahn Enterprises, Icahn Enterprises Finance, Icahn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Enterprises Holdings, as Guarantor, and Wilmington Trust Company, as Trustee relating to the 5.250%</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Senior Notes Due 2027 incorporated by reference to Exhibit 4.1 to Icahn Enterprises’ and Icahn Enterprises</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Holdings’ joint Form 8-K (SEC File Nos. 1-9516 and 333-118021-01, respectively), filed on December 12,</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2019)</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79" w:hanging="737"/>
        <w:spacing w:after="0" w:line="253"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4.14</w:t>
      </w:r>
      <w:r>
        <w:rPr>
          <w:sz w:val="20"/>
          <w:szCs w:val="20"/>
          <w:color w:val="auto"/>
        </w:rPr>
        <w:tab/>
      </w:r>
      <w:hyperlink r:id="rId191">
        <w:r>
          <w:rPr>
            <w:rFonts w:ascii="Arial" w:cs="Arial" w:eastAsia="Arial" w:hAnsi="Arial"/>
            <w:sz w:val="18"/>
            <w:szCs w:val="18"/>
            <w:u w:val="single" w:color="auto"/>
            <w:color w:val="0000EE"/>
          </w:rPr>
          <w:t>Indenture, dated as of January 19, 2021, among Icahn Enterprises, Icahn Enterprises Finance, Icahn</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Enterprises Holdings, as Guarantor, and Wilmington Trust Company, as Trustee relating to the 4.375%</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Senior Notes Due 2029 incorporated by reference to Exhibit 4.1 to Icahn Enterprises’ and Icahn Enterprises</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Holdings’ joint Form 8-K (SEC File Nos. 1-9516 and 333-118021-01, respectively), filed on January 19,</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EE"/>
        </w:rPr>
      </w:pPr>
    </w:p>
    <w:p>
      <w:pPr>
        <w:spacing w:after="0" w:line="207"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80" w:right="439" w:hanging="737"/>
        <w:spacing w:after="0" w:line="254"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4.15</w:t>
      </w:r>
      <w:r>
        <w:rPr>
          <w:sz w:val="20"/>
          <w:szCs w:val="20"/>
          <w:color w:val="auto"/>
        </w:rPr>
        <w:tab/>
      </w:r>
      <w:hyperlink r:id="rId193">
        <w:r>
          <w:rPr>
            <w:rFonts w:ascii="Arial" w:cs="Arial" w:eastAsia="Arial" w:hAnsi="Arial"/>
            <w:sz w:val="18"/>
            <w:szCs w:val="18"/>
            <w:u w:val="single" w:color="auto"/>
            <w:color w:val="0000EE"/>
          </w:rPr>
          <w:t>Shareholders Agreement, dated as of October 1, 2018, by and among Icahn Enterprises L.P., Icahn</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Enterprises Holdings L.P., American Entertainment Properties Corp. and Tenneco Inc. (incorporated by</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reference to Exhibit 4.1 to Icahn Enterprises’ and Icahn Enterprises Holdings’ joint Form 8-K (SEC File</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Nos. 1-9516 and 333-118021-01, respectively) file October 2, 2018)</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1080" w:right="119" w:hanging="737"/>
        <w:spacing w:after="0" w:line="281" w:lineRule="auto"/>
        <w:tabs>
          <w:tab w:leader="none" w:pos="1060" w:val="left"/>
        </w:tabs>
        <w:rPr>
          <w:rFonts w:ascii="Arial" w:cs="Arial" w:eastAsia="Arial" w:hAnsi="Arial"/>
          <w:sz w:val="16"/>
          <w:szCs w:val="16"/>
          <w:color w:val="0000EE"/>
        </w:rPr>
      </w:pPr>
      <w:r>
        <w:rPr>
          <w:rFonts w:ascii="Arial" w:cs="Arial" w:eastAsia="Arial" w:hAnsi="Arial"/>
          <w:sz w:val="18"/>
          <w:szCs w:val="18"/>
          <w:color w:val="auto"/>
        </w:rPr>
        <w:t>10.1</w:t>
      </w:r>
      <w:r>
        <w:rPr>
          <w:sz w:val="20"/>
          <w:szCs w:val="20"/>
          <w:color w:val="auto"/>
        </w:rPr>
        <w:tab/>
      </w:r>
      <w:hyperlink r:id="rId194">
        <w:r>
          <w:rPr>
            <w:rFonts w:ascii="Arial" w:cs="Arial" w:eastAsia="Arial" w:hAnsi="Arial"/>
            <w:sz w:val="16"/>
            <w:szCs w:val="16"/>
            <w:u w:val="single" w:color="auto"/>
            <w:color w:val="0000EE"/>
          </w:rPr>
          <w:t>Amended and Restated Agency Agreement (incorporated by reference to Exhibit 10.12 to Icahn Enterprises’</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Form 10-K for the year ended December 31, 1994 (SEC File No. 1-9516), filed on March 31, 1995)</w:t>
        </w:r>
        <w:r>
          <w:rPr>
            <w:rFonts w:ascii="Arial" w:cs="Arial" w:eastAsia="Arial" w:hAnsi="Arial"/>
            <w:sz w:val="16"/>
            <w:szCs w:val="16"/>
            <w:color w:val="000000"/>
          </w:rPr>
          <w:t>.</w:t>
        </w:r>
      </w:hyperlink>
    </w:p>
    <w:p>
      <w:pPr>
        <w:spacing w:after="0" w:line="1" w:lineRule="exact"/>
        <w:rPr>
          <w:sz w:val="20"/>
          <w:szCs w:val="20"/>
          <w:color w:val="auto"/>
        </w:rPr>
      </w:pPr>
    </w:p>
    <w:p>
      <w:pPr>
        <w:jc w:val="both"/>
        <w:ind w:left="1080" w:right="7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10.2</w:t>
      </w:r>
      <w:r>
        <w:rPr>
          <w:sz w:val="20"/>
          <w:szCs w:val="20"/>
          <w:color w:val="auto"/>
        </w:rPr>
        <w:tab/>
      </w:r>
      <w:hyperlink r:id="rId195">
        <w:r>
          <w:rPr>
            <w:rFonts w:ascii="Arial" w:cs="Arial" w:eastAsia="Arial" w:hAnsi="Arial"/>
            <w:sz w:val="17"/>
            <w:szCs w:val="17"/>
            <w:u w:val="single" w:color="auto"/>
            <w:color w:val="0000EE"/>
          </w:rPr>
          <w:t>Undertaking, dated November 20, 1998, by Starfire Holding Corporation, for the benefit of Icahn Enterprises</w:t>
        </w:r>
      </w:hyperlink>
      <w:r>
        <w:rPr>
          <w:rFonts w:ascii="Arial" w:cs="Arial" w:eastAsia="Arial" w:hAnsi="Arial"/>
          <w:sz w:val="17"/>
          <w:szCs w:val="17"/>
          <w:u w:val="single" w:color="auto"/>
          <w:color w:val="0000EE"/>
        </w:rPr>
        <w:t xml:space="preserve"> </w:t>
      </w:r>
      <w:hyperlink r:id="rId195">
        <w:r>
          <w:rPr>
            <w:rFonts w:ascii="Arial" w:cs="Arial" w:eastAsia="Arial" w:hAnsi="Arial"/>
            <w:sz w:val="17"/>
            <w:szCs w:val="17"/>
            <w:u w:val="single" w:color="auto"/>
            <w:color w:val="0000EE"/>
          </w:rPr>
          <w:t>and its subsidiaries (incorporated by reference to Exhibit 10.42 to Icahn Enterprises’ Form 10-K for the year</w:t>
        </w:r>
      </w:hyperlink>
      <w:r>
        <w:rPr>
          <w:rFonts w:ascii="Arial" w:cs="Arial" w:eastAsia="Arial" w:hAnsi="Arial"/>
          <w:sz w:val="17"/>
          <w:szCs w:val="17"/>
          <w:u w:val="single" w:color="auto"/>
          <w:color w:val="0000EE"/>
        </w:rPr>
        <w:t xml:space="preserve"> </w:t>
      </w:r>
      <w:hyperlink r:id="rId195">
        <w:r>
          <w:rPr>
            <w:rFonts w:ascii="Arial" w:cs="Arial" w:eastAsia="Arial" w:hAnsi="Arial"/>
            <w:sz w:val="17"/>
            <w:szCs w:val="17"/>
            <w:u w:val="single" w:color="auto"/>
            <w:color w:val="0000EE"/>
          </w:rPr>
          <w:t>ended December 31, 2005 (SEC File No. 1-9516), filed on March 16, 2006)</w:t>
        </w:r>
        <w:r>
          <w:rPr>
            <w:rFonts w:ascii="Arial" w:cs="Arial" w:eastAsia="Arial" w:hAnsi="Arial"/>
            <w:sz w:val="17"/>
            <w:szCs w:val="17"/>
            <w:color w:val="000000"/>
          </w:rPr>
          <w:t>.</w:t>
        </w:r>
      </w:hyperlink>
    </w:p>
    <w:p>
      <w:pPr>
        <w:ind w:left="1080" w:right="7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10.3</w:t>
      </w:r>
      <w:r>
        <w:rPr>
          <w:sz w:val="20"/>
          <w:szCs w:val="20"/>
          <w:color w:val="auto"/>
        </w:rPr>
        <w:tab/>
      </w:r>
      <w:hyperlink r:id="rId196">
        <w:r>
          <w:rPr>
            <w:rFonts w:ascii="Arial" w:cs="Arial" w:eastAsia="Arial" w:hAnsi="Arial"/>
            <w:sz w:val="17"/>
            <w:szCs w:val="17"/>
            <w:u w:val="single" w:color="auto"/>
            <w:color w:val="0000EE"/>
          </w:rPr>
          <w:t>Covered Affiliate and Shared Expenses Agreement by and among Icahn Enterprises, Icahn Partners LP,</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Icahn Fund Ltd., Icahn Fund II Ltd., Icahn Fund III Ltd., Icahn Partners Master Fund L.P., Icahn Partners</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Master Fund II L.P., Icahn Partners Master Fund III L.P., Icahn Cayman Partners, L.P. and Icahn Partners</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Master Fund II Feeder LP (incorporated by reference to Exhibit 10.4 to Icahn Enterprises’ Form 10-Q for the</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quarter ended June 30, 2007 (SEC File No. 1-9516), filed on August 9, 2007)</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10.4</w:t>
      </w:r>
      <w:r>
        <w:rPr>
          <w:sz w:val="20"/>
          <w:szCs w:val="20"/>
          <w:color w:val="auto"/>
        </w:rPr>
        <w:tab/>
      </w:r>
      <w:hyperlink r:id="rId197">
        <w:r>
          <w:rPr>
            <w:rFonts w:ascii="Arial" w:cs="Arial" w:eastAsia="Arial" w:hAnsi="Arial"/>
            <w:sz w:val="17"/>
            <w:szCs w:val="17"/>
            <w:u w:val="single" w:color="auto"/>
            <w:color w:val="0000EE"/>
          </w:rPr>
          <w:t>Registration Rights Agreement, dated January 18, 2017, among Icahn Enterprises, Icahn Enterprises</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Nos. 1-9516 and 333-118021-01, respectively), filed on January 18, 2017)</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10.5</w:t>
      </w:r>
      <w:r>
        <w:rPr>
          <w:sz w:val="20"/>
          <w:szCs w:val="20"/>
          <w:color w:val="auto"/>
        </w:rPr>
        <w:tab/>
      </w:r>
      <w:hyperlink r:id="rId198">
        <w:r>
          <w:rPr>
            <w:rFonts w:ascii="Arial" w:cs="Arial" w:eastAsia="Arial" w:hAnsi="Arial"/>
            <w:sz w:val="17"/>
            <w:szCs w:val="17"/>
            <w:u w:val="single" w:color="auto"/>
            <w:color w:val="0000EE"/>
          </w:rPr>
          <w:t>Registration Rights Agreement, dated December 6, 2017, among Icahn Enterprises, Icahn Enterprises</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Nos. 1-9516 and 333-118021-01, respectively), filed on December 6, 2017)</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27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10.6</w:t>
      </w:r>
      <w:r>
        <w:rPr>
          <w:sz w:val="20"/>
          <w:szCs w:val="20"/>
          <w:color w:val="auto"/>
        </w:rPr>
        <w:tab/>
      </w:r>
      <w:hyperlink r:id="rId199">
        <w:r>
          <w:rPr>
            <w:rFonts w:ascii="Arial" w:cs="Arial" w:eastAsia="Arial" w:hAnsi="Arial"/>
            <w:sz w:val="17"/>
            <w:szCs w:val="17"/>
            <w:u w:val="single" w:color="auto"/>
            <w:color w:val="0000EE"/>
          </w:rPr>
          <w:t>Registration Rights Agreement, dated May 10, 2019, among Icahn Enterprises, Icahn Enterprises Finance,</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Icahn Enterprises Holdings, as Guarantor, and Jefferies LLC, as the Initial Purchaser (incorporated by</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Nos. 1-9516 and 333-118021-01, respectively), filed on May 10, 2019)</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27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10.7</w:t>
      </w:r>
      <w:r>
        <w:rPr>
          <w:sz w:val="20"/>
          <w:szCs w:val="20"/>
          <w:color w:val="auto"/>
        </w:rPr>
        <w:tab/>
      </w:r>
      <w:hyperlink r:id="rId200">
        <w:r>
          <w:rPr>
            <w:rFonts w:ascii="Arial" w:cs="Arial" w:eastAsia="Arial" w:hAnsi="Arial"/>
            <w:sz w:val="17"/>
            <w:szCs w:val="17"/>
            <w:u w:val="single" w:color="auto"/>
            <w:color w:val="0000EE"/>
          </w:rPr>
          <w:t>Registration Rights Agreement, dated June 27, 2019, among Icahn Enterprises, Icahn Enterprises Finance,</w:t>
        </w:r>
      </w:hyperlink>
      <w:r>
        <w:rPr>
          <w:rFonts w:ascii="Arial" w:cs="Arial" w:eastAsia="Arial" w:hAnsi="Arial"/>
          <w:sz w:val="17"/>
          <w:szCs w:val="17"/>
          <w:u w:val="single" w:color="auto"/>
          <w:color w:val="0000EE"/>
        </w:rPr>
        <w:t xml:space="preserve"> </w:t>
      </w:r>
      <w:hyperlink r:id="rId200">
        <w:r>
          <w:rPr>
            <w:rFonts w:ascii="Arial" w:cs="Arial" w:eastAsia="Arial" w:hAnsi="Arial"/>
            <w:sz w:val="17"/>
            <w:szCs w:val="17"/>
            <w:u w:val="single" w:color="auto"/>
            <w:color w:val="0000EE"/>
          </w:rPr>
          <w:t>Icahn Enterprises Holdings, as Guarantor, and Jefferies LLC, as the Initial Purchaser (incorporated by</w:t>
        </w:r>
      </w:hyperlink>
      <w:r>
        <w:rPr>
          <w:rFonts w:ascii="Arial" w:cs="Arial" w:eastAsia="Arial" w:hAnsi="Arial"/>
          <w:sz w:val="17"/>
          <w:szCs w:val="17"/>
          <w:u w:val="single" w:color="auto"/>
          <w:color w:val="0000EE"/>
        </w:rPr>
        <w:t xml:space="preserve"> </w:t>
      </w:r>
      <w:hyperlink r:id="rId200">
        <w:r>
          <w:rPr>
            <w:rFonts w:ascii="Arial" w:cs="Arial" w:eastAsia="Arial" w:hAnsi="Arial"/>
            <w:sz w:val="17"/>
            <w:szCs w:val="17"/>
            <w:u w:val="single" w:color="auto"/>
            <w:color w:val="0000EE"/>
          </w:rPr>
          <w:t>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0">
        <w:r>
          <w:rPr>
            <w:rFonts w:ascii="Arial" w:cs="Arial" w:eastAsia="Arial" w:hAnsi="Arial"/>
            <w:sz w:val="17"/>
            <w:szCs w:val="17"/>
            <w:u w:val="single" w:color="auto"/>
            <w:color w:val="0000EE"/>
          </w:rPr>
          <w:t>Nos. 1-9516 and 333-118021-01, respectively), filed on June 27, 2019)</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10.8</w:t>
      </w:r>
      <w:r>
        <w:rPr>
          <w:sz w:val="20"/>
          <w:szCs w:val="20"/>
          <w:color w:val="auto"/>
        </w:rPr>
        <w:tab/>
      </w:r>
      <w:hyperlink r:id="rId201">
        <w:r>
          <w:rPr>
            <w:rFonts w:ascii="Arial" w:cs="Arial" w:eastAsia="Arial" w:hAnsi="Arial"/>
            <w:sz w:val="17"/>
            <w:szCs w:val="17"/>
            <w:u w:val="single" w:color="auto"/>
            <w:color w:val="0000EE"/>
          </w:rPr>
          <w:t>Registration Rights Agreement, dated September 6, 2019, among Icahn Enterprises, Icahn Enterprises</w:t>
        </w:r>
      </w:hyperlink>
      <w:r>
        <w:rPr>
          <w:rFonts w:ascii="Arial" w:cs="Arial" w:eastAsia="Arial" w:hAnsi="Arial"/>
          <w:sz w:val="17"/>
          <w:szCs w:val="17"/>
          <w:u w:val="single" w:color="auto"/>
          <w:color w:val="0000EE"/>
        </w:rPr>
        <w:t xml:space="preserve"> </w:t>
      </w:r>
      <w:hyperlink r:id="rId201">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201">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1">
        <w:r>
          <w:rPr>
            <w:rFonts w:ascii="Arial" w:cs="Arial" w:eastAsia="Arial" w:hAnsi="Arial"/>
            <w:sz w:val="17"/>
            <w:szCs w:val="17"/>
            <w:u w:val="single" w:color="auto"/>
            <w:color w:val="0000EE"/>
          </w:rPr>
          <w:t>Nos. 1-9516 and 333-118021-01, respectively), filed on September 6, 2019)</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37"/>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10.9</w:t>
      </w:r>
      <w:r>
        <w:rPr>
          <w:sz w:val="20"/>
          <w:szCs w:val="20"/>
          <w:color w:val="auto"/>
        </w:rPr>
        <w:tab/>
      </w:r>
      <w:hyperlink r:id="rId202">
        <w:r>
          <w:rPr>
            <w:rFonts w:ascii="Arial" w:cs="Arial" w:eastAsia="Arial" w:hAnsi="Arial"/>
            <w:sz w:val="17"/>
            <w:szCs w:val="17"/>
            <w:u w:val="single" w:color="auto"/>
            <w:color w:val="0000EE"/>
          </w:rPr>
          <w:t>Registration Rights Agreement, dated December 12, 2019, among Icahn Enterprises, Icahn Enterprises</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Nos. 1-9516 and 333-118021-01, respectively), filed on December 12, 2019)</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39" w:hanging="78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10.10</w:t>
      </w:r>
      <w:r>
        <w:rPr>
          <w:sz w:val="20"/>
          <w:szCs w:val="20"/>
          <w:color w:val="auto"/>
        </w:rPr>
        <w:tab/>
      </w:r>
      <w:hyperlink r:id="rId203">
        <w:r>
          <w:rPr>
            <w:rFonts w:ascii="Arial" w:cs="Arial" w:eastAsia="Arial" w:hAnsi="Arial"/>
            <w:sz w:val="17"/>
            <w:szCs w:val="17"/>
            <w:u w:val="single" w:color="auto"/>
            <w:color w:val="0000EE"/>
          </w:rPr>
          <w:t>Registration Rights Agreement, dated January 9, 2020, among Icahn Enterprises, Icahn Enterprises Finance,</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Icahn Enterprises Holdings, as Guarantor, and Jefferies LLC, as the Initial Purchaser (incorporated by</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Nos. 1-9516 and 333-118021-01, respectively), filed on January 9, 2020)</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79"/>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10.11</w:t>
      </w:r>
      <w:r>
        <w:rPr>
          <w:sz w:val="20"/>
          <w:szCs w:val="20"/>
          <w:color w:val="auto"/>
        </w:rPr>
        <w:tab/>
      </w:r>
      <w:hyperlink r:id="rId204">
        <w:r>
          <w:rPr>
            <w:rFonts w:ascii="Arial" w:cs="Arial" w:eastAsia="Arial" w:hAnsi="Arial"/>
            <w:sz w:val="17"/>
            <w:szCs w:val="17"/>
            <w:u w:val="single" w:color="auto"/>
            <w:color w:val="0000EE"/>
          </w:rPr>
          <w:t>Registration Rights Agreement, dated January 28, 2020, among Icahn Enterprises, Icahn Enterprises</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Nos. 1-9516 and 333-118021-01, respectively), filed on January 28, 2020)</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119" w:hanging="782"/>
        <w:spacing w:after="0" w:line="265" w:lineRule="auto"/>
        <w:tabs>
          <w:tab w:leader="none" w:pos="1060" w:val="left"/>
        </w:tabs>
        <w:rPr>
          <w:rFonts w:ascii="Arial" w:cs="Arial" w:eastAsia="Arial" w:hAnsi="Arial"/>
          <w:sz w:val="17"/>
          <w:szCs w:val="17"/>
          <w:color w:val="0000EE"/>
        </w:rPr>
      </w:pPr>
      <w:r>
        <w:rPr>
          <w:rFonts w:ascii="Arial" w:cs="Arial" w:eastAsia="Arial" w:hAnsi="Arial"/>
          <w:sz w:val="18"/>
          <w:szCs w:val="18"/>
          <w:color w:val="auto"/>
        </w:rPr>
        <w:t>10.12</w:t>
      </w:r>
      <w:r>
        <w:rPr>
          <w:sz w:val="20"/>
          <w:szCs w:val="20"/>
          <w:color w:val="auto"/>
        </w:rPr>
        <w:tab/>
      </w:r>
      <w:hyperlink r:id="rId205">
        <w:r>
          <w:rPr>
            <w:rFonts w:ascii="Arial" w:cs="Arial" w:eastAsia="Arial" w:hAnsi="Arial"/>
            <w:sz w:val="17"/>
            <w:szCs w:val="17"/>
            <w:u w:val="single" w:color="auto"/>
            <w:color w:val="0000EE"/>
          </w:rPr>
          <w:t>Registration Rights Agreement, dated January 19, 2021, among Icahn Enterprises, Icahn Enterprises</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Finance, Icahn Enterprises Holdings, as Guarantor, and Jefferies LLC, as the Initial Purchaser (incorporated</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by reference to Exhibit 10.1 to Icahn Enterprises’ and Icahn Enterprises Holdings’ joint Form 8-K (SEC File</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Nos. 1-9516 and 333-118021-01, respectively), filed on January 19, 2021)</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ind w:left="1080" w:right="299" w:hanging="782"/>
        <w:spacing w:after="0" w:line="255"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206">
        <w:r>
          <w:rPr>
            <w:rFonts w:ascii="Arial" w:cs="Arial" w:eastAsia="Arial" w:hAnsi="Arial"/>
            <w:sz w:val="18"/>
            <w:szCs w:val="18"/>
            <w:u w:val="single" w:color="auto"/>
            <w:color w:val="0000EE"/>
          </w:rPr>
          <w:t>Employment Agreement with Keith Cozza, dated December 20, 2019 (incorporated by reference to</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Exhibit 10.1 to Icahn Enterprises’ and Icahn Enterprises Holdings’ joint Form 8-K (SEC File Nos. 1-9516</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and 333-118021-01, respectively), filed on December 23, 2019)</w:t>
        </w:r>
        <w:r>
          <w:rPr>
            <w:rFonts w:ascii="Arial" w:cs="Arial" w:eastAsia="Arial" w:hAnsi="Arial"/>
            <w:sz w:val="18"/>
            <w:szCs w:val="18"/>
            <w:color w:val="000000"/>
          </w:rPr>
          <w:t>.</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50"/>
              <w:spacing w:after="0"/>
              <w:rPr>
                <w:sz w:val="20"/>
                <w:szCs w:val="20"/>
                <w:color w:val="auto"/>
              </w:rPr>
            </w:pPr>
            <w:r>
              <w:rPr>
                <w:rFonts w:ascii="Arial" w:cs="Arial" w:eastAsia="Arial" w:hAnsi="Arial"/>
                <w:sz w:val="18"/>
                <w:szCs w:val="18"/>
                <w:color w:val="auto"/>
                <w:w w:val="88"/>
              </w:rPr>
              <w:t>10.14</w:t>
            </w:r>
          </w:p>
        </w:tc>
        <w:tc>
          <w:tcPr>
            <w:tcW w:w="7860" w:type="dxa"/>
            <w:vAlign w:val="bottom"/>
            <w:gridSpan w:val="31"/>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Manager Agreement, dated October 1, 2020, among Icahn Enterprises, Icahn Capital LP, Icahn Partners</w:t>
              </w:r>
            </w:hyperlink>
          </w:p>
        </w:tc>
      </w:tr>
      <w:tr>
        <w:trPr>
          <w:trHeight w:val="196"/>
        </w:trPr>
        <w:tc>
          <w:tcPr>
            <w:tcW w:w="92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Master Fund LP, Brett Icahn and Isthmus LLC (incorporated by reference to Exhibit 10.1 to Icahn</w:t>
              </w:r>
            </w:hyperlink>
          </w:p>
        </w:tc>
        <w:tc>
          <w:tcPr>
            <w:tcW w:w="400" w:type="dxa"/>
            <w:vAlign w:val="bottom"/>
            <w:tcBorders>
              <w:top w:val="single" w:sz="8" w:color="0000EE"/>
            </w:tcBorders>
            <w:gridSpan w:val="5"/>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5"/>
              </w:rPr>
            </w:pPr>
            <w:hyperlink r:id="rId208">
              <w:r>
                <w:rPr>
                  <w:rFonts w:ascii="Arial" w:cs="Arial" w:eastAsia="Arial" w:hAnsi="Arial"/>
                  <w:sz w:val="18"/>
                  <w:szCs w:val="18"/>
                  <w:color w:val="0000EE"/>
                  <w:w w:val="95"/>
                </w:rPr>
                <w:t>Enterprises’ and Icahn Enterprises Holdings’ joint Form 8-K (SEC File Nos. 1-9516 and 333-118021-01,</w:t>
              </w:r>
            </w:hyperlink>
          </w:p>
        </w:tc>
      </w:tr>
      <w:tr>
        <w:trPr>
          <w:trHeight w:val="196"/>
        </w:trPr>
        <w:tc>
          <w:tcPr>
            <w:tcW w:w="920" w:type="dxa"/>
            <w:vAlign w:val="bottom"/>
          </w:tcPr>
          <w:p>
            <w:pPr>
              <w:spacing w:after="0"/>
              <w:rPr>
                <w:sz w:val="17"/>
                <w:szCs w:val="17"/>
                <w:color w:val="auto"/>
              </w:rPr>
            </w:pPr>
          </w:p>
        </w:tc>
        <w:tc>
          <w:tcPr>
            <w:tcW w:w="7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respectively), filed on October 1, 2020)</w:t>
              </w:r>
              <w:r>
                <w:rPr>
                  <w:rFonts w:ascii="Arial" w:cs="Arial" w:eastAsia="Arial" w:hAnsi="Arial"/>
                  <w:sz w:val="18"/>
                  <w:szCs w:val="18"/>
                  <w:color w:val="000000"/>
                </w:rPr>
                <w:t>.</w:t>
              </w:r>
            </w:hyperlink>
          </w:p>
        </w:tc>
        <w:tc>
          <w:tcPr>
            <w:tcW w:w="30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10.15</w:t>
            </w:r>
          </w:p>
        </w:tc>
        <w:tc>
          <w:tcPr>
            <w:tcW w:w="7860" w:type="dxa"/>
            <w:vAlign w:val="bottom"/>
            <w:gridSpan w:val="31"/>
          </w:tcPr>
          <w:p>
            <w:pPr>
              <w:spacing w:after="0" w:line="196" w:lineRule="exact"/>
              <w:rPr>
                <w:rFonts w:ascii="Arial" w:cs="Arial" w:eastAsia="Arial" w:hAnsi="Arial"/>
                <w:sz w:val="18"/>
                <w:szCs w:val="18"/>
                <w:color w:val="0000EE"/>
                <w:w w:val="96"/>
              </w:rPr>
            </w:pPr>
            <w:hyperlink r:id="rId209">
              <w:r>
                <w:rPr>
                  <w:rFonts w:ascii="Arial" w:cs="Arial" w:eastAsia="Arial" w:hAnsi="Arial"/>
                  <w:sz w:val="18"/>
                  <w:szCs w:val="18"/>
                  <w:color w:val="0000EE"/>
                  <w:w w:val="96"/>
                </w:rPr>
                <w:t>Guaranty, dated October 1, 2020, between American Entertainment Properties Corp. and Isthmus LLC</w:t>
              </w:r>
            </w:hyperlink>
          </w:p>
        </w:tc>
      </w:tr>
      <w:tr>
        <w:trPr>
          <w:trHeight w:val="196"/>
        </w:trPr>
        <w:tc>
          <w:tcPr>
            <w:tcW w:w="92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(incorporated by reference to Exhibit 10.2 to Icahn Enterprises’ and Icahn Enterprises Holdings’ joint</w:t>
              </w:r>
            </w:hyperlink>
          </w:p>
        </w:tc>
        <w:tc>
          <w:tcPr>
            <w:tcW w:w="60" w:type="dxa"/>
            <w:vAlign w:val="bottom"/>
            <w:tcBorders>
              <w:top w:val="single" w:sz="8" w:color="0000EE"/>
            </w:tcBorders>
          </w:tcPr>
          <w:p>
            <w:pPr>
              <w:spacing w:after="0"/>
              <w:rPr>
                <w:sz w:val="17"/>
                <w:szCs w:val="17"/>
                <w:color w:val="auto"/>
              </w:rPr>
            </w:pPr>
          </w:p>
        </w:tc>
        <w:tc>
          <w:tcPr>
            <w:tcW w:w="4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Form 8-K (SEC File Nos. 1-9516 and 333-118021-01, respectively), filed on October 1, 2020)</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10.16</w:t>
            </w:r>
          </w:p>
        </w:tc>
        <w:tc>
          <w:tcPr>
            <w:tcW w:w="78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Restricted Unit Agreement, dated October 1, 2020, between Icahn Enterprises and Brett Icahn (incorporated</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by reference to Exhibit 10.3 to Icahn Enterprises’ and Icahn Enterprises Holdings’ joint Form 8-K (SEC File</w:t>
              </w:r>
            </w:hyperlink>
          </w:p>
        </w:tc>
      </w:tr>
      <w:tr>
        <w:trPr>
          <w:trHeight w:val="196"/>
        </w:trPr>
        <w:tc>
          <w:tcPr>
            <w:tcW w:w="920" w:type="dxa"/>
            <w:vAlign w:val="bottom"/>
          </w:tcPr>
          <w:p>
            <w:pPr>
              <w:spacing w:after="0"/>
              <w:rPr>
                <w:sz w:val="17"/>
                <w:szCs w:val="17"/>
                <w:color w:val="auto"/>
              </w:rPr>
            </w:pPr>
          </w:p>
        </w:tc>
        <w:tc>
          <w:tcPr>
            <w:tcW w:w="78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Nos. 1-9516 and 333-118021-01, respectively), filed on October 1, 2020)</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10.17</w:t>
            </w:r>
          </w:p>
        </w:tc>
        <w:tc>
          <w:tcPr>
            <w:tcW w:w="78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Deferred Unit Agreement Pursuant to the Icahn Enterprises 2017 Long-Term Incentive Plan, dated April 26,</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6"/>
              </w:rPr>
            </w:pPr>
            <w:hyperlink r:id="rId211">
              <w:r>
                <w:rPr>
                  <w:rFonts w:ascii="Arial" w:cs="Arial" w:eastAsia="Arial" w:hAnsi="Arial"/>
                  <w:sz w:val="18"/>
                  <w:szCs w:val="18"/>
                  <w:color w:val="0000EE"/>
                  <w:w w:val="96"/>
                </w:rPr>
                <w:t>2021, among Icahn Enterprises and Aris Kekedjian (incorporated by reference to Exhibit 10.1 to Icahn</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7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Enterprises’ and Icahn Enterprises’ joint Form 10-Q for the quarter ended June 30, 2021 (SEC File Nos. 1-</w:t>
              </w:r>
            </w:hyperlink>
          </w:p>
        </w:tc>
        <w:tc>
          <w:tcPr>
            <w:tcW w:w="16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9516 and 333-11801-01), filed on August 6, 2021).</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10.18</w:t>
            </w:r>
          </w:p>
        </w:tc>
        <w:tc>
          <w:tcPr>
            <w:tcW w:w="7860" w:type="dxa"/>
            <w:vAlign w:val="bottom"/>
            <w:gridSpan w:val="31"/>
          </w:tcPr>
          <w:p>
            <w:pPr>
              <w:spacing w:after="0" w:line="196" w:lineRule="exact"/>
              <w:rPr>
                <w:rFonts w:ascii="Arial" w:cs="Arial" w:eastAsia="Arial" w:hAnsi="Arial"/>
                <w:sz w:val="18"/>
                <w:szCs w:val="18"/>
                <w:color w:val="0000EE"/>
                <w:w w:val="96"/>
              </w:rPr>
            </w:pPr>
            <w:hyperlink w:anchor="page145">
              <w:r>
                <w:rPr>
                  <w:rFonts w:ascii="Arial" w:cs="Arial" w:eastAsia="Arial" w:hAnsi="Arial"/>
                  <w:sz w:val="18"/>
                  <w:szCs w:val="18"/>
                  <w:color w:val="0000EE"/>
                  <w:w w:val="96"/>
                </w:rPr>
                <w:t>Separation agreement, dated as of November 8, 2021, between Icahn Enterprises and Aris Kekedjian</w:t>
              </w:r>
            </w:hyperlink>
            <w:r>
              <w:rPr>
                <w:rFonts w:ascii="Arial" w:cs="Arial" w:eastAsia="Arial" w:hAnsi="Arial"/>
                <w:sz w:val="18"/>
                <w:szCs w:val="18"/>
                <w:color w:val="000000"/>
                <w:w w:val="96"/>
              </w:rPr>
              <w:t>.</w:t>
            </w:r>
          </w:p>
        </w:tc>
      </w:tr>
      <w:tr>
        <w:trPr>
          <w:trHeight w:val="223"/>
        </w:trPr>
        <w:tc>
          <w:tcPr>
            <w:tcW w:w="920" w:type="dxa"/>
            <w:vAlign w:val="bottom"/>
          </w:tcPr>
          <w:p>
            <w:pPr>
              <w:jc w:val="center"/>
              <w:ind w:right="150"/>
              <w:spacing w:after="0"/>
              <w:rPr>
                <w:sz w:val="20"/>
                <w:szCs w:val="20"/>
                <w:color w:val="auto"/>
              </w:rPr>
            </w:pPr>
            <w:r>
              <w:rPr>
                <w:rFonts w:ascii="Arial" w:cs="Arial" w:eastAsia="Arial" w:hAnsi="Arial"/>
                <w:sz w:val="18"/>
                <w:szCs w:val="18"/>
                <w:color w:val="auto"/>
                <w:w w:val="88"/>
              </w:rPr>
              <w:t>10.19</w:t>
            </w:r>
          </w:p>
        </w:tc>
        <w:tc>
          <w:tcPr>
            <w:tcW w:w="71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151">
              <w:r>
                <w:rPr>
                  <w:rFonts w:ascii="Arial" w:cs="Arial" w:eastAsia="Arial" w:hAnsi="Arial"/>
                  <w:sz w:val="18"/>
                  <w:szCs w:val="18"/>
                  <w:color w:val="0000EE"/>
                  <w:w w:val="90"/>
                </w:rPr>
                <w:t>Deferred Unit Agreement Pursuant to the Icahn Enterprises 2017 Long-Term Incentive Plan, dated</w:t>
              </w:r>
            </w:hyperlink>
          </w:p>
        </w:tc>
        <w:tc>
          <w:tcPr>
            <w:tcW w:w="160" w:type="dxa"/>
            <w:vAlign w:val="bottom"/>
            <w:tcBorders>
              <w:top w:val="single" w:sz="8" w:color="0000EE"/>
            </w:tcBorders>
          </w:tcPr>
          <w:p>
            <w:pPr>
              <w:spacing w:after="0"/>
              <w:rPr>
                <w:sz w:val="19"/>
                <w:szCs w:val="19"/>
                <w:color w:val="auto"/>
              </w:rPr>
            </w:pPr>
          </w:p>
        </w:tc>
        <w:tc>
          <w:tcPr>
            <w:tcW w:w="600" w:type="dxa"/>
            <w:vAlign w:val="bottom"/>
            <w:gridSpan w:val="14"/>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December 9, 2021, among Icahn Enterprises and David Willetts</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10.20</w:t>
            </w:r>
          </w:p>
        </w:tc>
        <w:tc>
          <w:tcPr>
            <w:tcW w:w="7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Deferred Unit Agreement Pursuant to the Icahn Enterprises 2017 Long-Term Incentive Plan, dated</w:t>
              </w:r>
            </w:hyperlink>
          </w:p>
        </w:tc>
        <w:tc>
          <w:tcPr>
            <w:tcW w:w="76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December 9, 2021, among Icahn Enterprises and Ted Papapostolou</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10.21</w:t>
            </w:r>
          </w:p>
        </w:tc>
        <w:tc>
          <w:tcPr>
            <w:tcW w:w="78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Letter Agreement with David Willetts, dated December 9, 2021 (incorporated by reference to Exhibit 10.1 to</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Icahn Enterprises’ and Icahn Enterprises Holdings’ joint Form 8-K (SEC File Nos. 1-9516 and 333-118021-</w:t>
              </w:r>
            </w:hyperlink>
          </w:p>
        </w:tc>
      </w:tr>
      <w:tr>
        <w:trPr>
          <w:trHeight w:val="196"/>
        </w:trPr>
        <w:tc>
          <w:tcPr>
            <w:tcW w:w="920" w:type="dxa"/>
            <w:vAlign w:val="bottom"/>
          </w:tcPr>
          <w:p>
            <w:pPr>
              <w:spacing w:after="0"/>
              <w:rPr>
                <w:sz w:val="17"/>
                <w:szCs w:val="17"/>
                <w:color w:val="auto"/>
              </w:rPr>
            </w:pPr>
          </w:p>
        </w:tc>
        <w:tc>
          <w:tcPr>
            <w:tcW w:w="77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01, respectively), filed on December 13, 2021).</w:t>
              </w:r>
            </w:hyperlink>
          </w:p>
        </w:tc>
        <w:tc>
          <w:tcPr>
            <w:tcW w:w="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10.22</w:t>
            </w:r>
          </w:p>
        </w:tc>
        <w:tc>
          <w:tcPr>
            <w:tcW w:w="69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Letter Agreement with Ted Papapostolou, dated December 9, 2021 (incorporated by reference to</w:t>
              </w:r>
            </w:hyperlink>
          </w:p>
        </w:tc>
        <w:tc>
          <w:tcPr>
            <w:tcW w:w="900" w:type="dxa"/>
            <w:vAlign w:val="bottom"/>
            <w:gridSpan w:val="1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Exhibit 10.2 to Icahn Enterprises’ and Icahn Enterprises Holdings’ joint Form 8-K (SEC File Nos. 1-9516</w:t>
              </w:r>
            </w:hyperlink>
          </w:p>
        </w:tc>
        <w:tc>
          <w:tcPr>
            <w:tcW w:w="22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and 333-118021-01, respectively), filed on December 13, 2021).</w:t>
              </w:r>
            </w:hyperlink>
          </w:p>
        </w:tc>
        <w:tc>
          <w:tcPr>
            <w:tcW w:w="3220" w:type="dxa"/>
            <w:vAlign w:val="bottom"/>
            <w:gridSpan w:val="22"/>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10.23</w:t>
            </w:r>
          </w:p>
        </w:tc>
        <w:tc>
          <w:tcPr>
            <w:tcW w:w="7860" w:type="dxa"/>
            <w:vAlign w:val="bottom"/>
            <w:gridSpan w:val="31"/>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Registration Rights Agreement, dated April 12, 2021, among Icahn Enterprises, Icahn Enterprises Finance,</w:t>
              </w:r>
            </w:hyperlink>
          </w:p>
        </w:tc>
      </w:tr>
      <w:tr>
        <w:trPr>
          <w:trHeight w:val="196"/>
        </w:trPr>
        <w:tc>
          <w:tcPr>
            <w:tcW w:w="920" w:type="dxa"/>
            <w:vAlign w:val="bottom"/>
          </w:tcPr>
          <w:p>
            <w:pPr>
              <w:spacing w:after="0"/>
              <w:rPr>
                <w:sz w:val="17"/>
                <w:szCs w:val="17"/>
                <w:color w:val="auto"/>
              </w:rPr>
            </w:pPr>
          </w:p>
        </w:tc>
        <w:tc>
          <w:tcPr>
            <w:tcW w:w="7700" w:type="dxa"/>
            <w:vAlign w:val="bottom"/>
            <w:tcBorders>
              <w:top w:val="single" w:sz="8" w:color="0000EE"/>
            </w:tcBorders>
            <w:gridSpan w:val="26"/>
          </w:tcPr>
          <w:p>
            <w:pPr>
              <w:spacing w:after="0" w:line="196" w:lineRule="exact"/>
              <w:rPr>
                <w:rFonts w:ascii="Arial" w:cs="Arial" w:eastAsia="Arial" w:hAnsi="Arial"/>
                <w:sz w:val="18"/>
                <w:szCs w:val="18"/>
                <w:color w:val="0000EE"/>
                <w:w w:val="94"/>
              </w:rPr>
            </w:pPr>
            <w:hyperlink r:id="rId214">
              <w:r>
                <w:rPr>
                  <w:rFonts w:ascii="Arial" w:cs="Arial" w:eastAsia="Arial" w:hAnsi="Arial"/>
                  <w:sz w:val="18"/>
                  <w:szCs w:val="18"/>
                  <w:color w:val="0000EE"/>
                  <w:w w:val="94"/>
                </w:rPr>
                <w:t>Icahn Enterprises Holdings, as Guarantor, and Jefferies LLC, as the Initial Purchaser (incorporated by</w:t>
              </w:r>
            </w:hyperlink>
          </w:p>
        </w:tc>
        <w:tc>
          <w:tcPr>
            <w:tcW w:w="16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6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reference to Exhibit 10.1 to Icahn Enterprises’ and Icahn Enterprises Holdings’ joint Form 8-K (SEC File</w:t>
              </w:r>
            </w:hyperlink>
          </w:p>
        </w:tc>
        <w:tc>
          <w:tcPr>
            <w:tcW w:w="26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2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Nos. 1-9516 and 333-118021-01, respectively), filed on April 12, 2021).</w:t>
              </w:r>
            </w:hyperlink>
          </w:p>
        </w:tc>
        <w:tc>
          <w:tcPr>
            <w:tcW w:w="2580" w:type="dxa"/>
            <w:vAlign w:val="bottom"/>
            <w:gridSpan w:val="20"/>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14.1</w:t>
            </w: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Code of Business Conduct and Ethics (incorporated by reference to Exhibit 14.1 to Icahn Enterprises’</w:t>
              </w:r>
            </w:hyperlink>
          </w:p>
        </w:tc>
        <w:tc>
          <w:tcPr>
            <w:tcW w:w="4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Form 10-Q for the quarter ended September 30, 2012 (SEC File No. 1-9516), filed on November 7, 2012)</w:t>
              </w:r>
            </w:hyperlink>
            <w:r>
              <w:rPr>
                <w:rFonts w:ascii="Arial" w:cs="Arial" w:eastAsia="Arial" w:hAnsi="Arial"/>
                <w:sz w:val="18"/>
                <w:szCs w:val="18"/>
                <w:color w:val="000000"/>
                <w:w w:val="93"/>
              </w:rPr>
              <w:t>.</w:t>
            </w: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21.1</w:t>
            </w:r>
          </w:p>
        </w:tc>
        <w:tc>
          <w:tcPr>
            <w:tcW w:w="76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Subsidiaries of the Registrant</w:t>
              </w:r>
            </w:hyperlink>
            <w:r>
              <w:rPr>
                <w:rFonts w:ascii="Arial" w:cs="Arial" w:eastAsia="Arial" w:hAnsi="Arial"/>
                <w:sz w:val="18"/>
                <w:szCs w:val="18"/>
                <w:color w:val="000000"/>
              </w:rPr>
              <w:t>.</w:t>
            </w:r>
          </w:p>
        </w:tc>
        <w:tc>
          <w:tcPr>
            <w:tcW w:w="240" w:type="dxa"/>
            <w:vAlign w:val="bottom"/>
            <w:gridSpan w:val="8"/>
          </w:tcPr>
          <w:p>
            <w:pPr>
              <w:spacing w:after="0"/>
              <w:rPr>
                <w:sz w:val="17"/>
                <w:szCs w:val="17"/>
                <w:color w:val="auto"/>
              </w:rPr>
            </w:pPr>
          </w:p>
        </w:tc>
      </w:tr>
      <w:tr>
        <w:trPr>
          <w:trHeight w:val="223"/>
        </w:trPr>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22.1</w:t>
            </w:r>
          </w:p>
        </w:tc>
        <w:tc>
          <w:tcPr>
            <w:tcW w:w="2120" w:type="dxa"/>
            <w:vAlign w:val="bottom"/>
            <w:tcBorders>
              <w:top w:val="single" w:sz="8" w:color="0000EE"/>
            </w:tcBorders>
            <w:gridSpan w:val="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Subsidiary guarantor.</w:t>
              </w:r>
            </w:hyperlink>
          </w:p>
        </w:tc>
        <w:tc>
          <w:tcPr>
            <w:tcW w:w="5740" w:type="dxa"/>
            <w:vAlign w:val="bottom"/>
            <w:gridSpan w:val="29"/>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23.1</w:t>
            </w:r>
          </w:p>
        </w:tc>
        <w:tc>
          <w:tcPr>
            <w:tcW w:w="7860" w:type="dxa"/>
            <w:vAlign w:val="bottom"/>
            <w:gridSpan w:val="31"/>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Consent of Grant Thornton LLP</w:t>
              </w:r>
            </w:hyperlink>
            <w:r>
              <w:rPr>
                <w:rFonts w:ascii="Arial" w:cs="Arial" w:eastAsia="Arial" w:hAnsi="Arial"/>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31.1</w:t>
            </w:r>
          </w:p>
        </w:tc>
        <w:tc>
          <w:tcPr>
            <w:tcW w:w="7860" w:type="dxa"/>
            <w:vAlign w:val="bottom"/>
            <w:gridSpan w:val="31"/>
          </w:tcPr>
          <w:p>
            <w:pPr>
              <w:spacing w:after="0"/>
              <w:rPr>
                <w:rFonts w:ascii="Arial" w:cs="Arial" w:eastAsia="Arial" w:hAnsi="Arial"/>
                <w:sz w:val="18"/>
                <w:szCs w:val="18"/>
                <w:color w:val="0000EE"/>
                <w:w w:val="93"/>
              </w:rPr>
            </w:pPr>
            <w:hyperlink w:anchor="page181">
              <w:r>
                <w:rPr>
                  <w:rFonts w:ascii="Arial" w:cs="Arial" w:eastAsia="Arial" w:hAnsi="Arial"/>
                  <w:sz w:val="18"/>
                  <w:szCs w:val="18"/>
                  <w:color w:val="0000EE"/>
                  <w:w w:val="93"/>
                </w:rPr>
                <w:t>Certification of Chief Executive Officer pursuant to Section 302(a) of the Sarbanes-Oxley Act of 2002 and</w:t>
              </w:r>
            </w:hyperlink>
          </w:p>
        </w:tc>
      </w:tr>
      <w:tr>
        <w:trPr>
          <w:trHeight w:val="196"/>
        </w:trPr>
        <w:tc>
          <w:tcPr>
            <w:tcW w:w="920" w:type="dxa"/>
            <w:vAlign w:val="bottom"/>
          </w:tcPr>
          <w:p>
            <w:pPr>
              <w:spacing w:after="0"/>
              <w:rPr>
                <w:sz w:val="17"/>
                <w:szCs w:val="17"/>
                <w:color w:val="auto"/>
              </w:rPr>
            </w:pPr>
          </w:p>
        </w:tc>
        <w:tc>
          <w:tcPr>
            <w:tcW w:w="7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Rule 13a-14(a) of the Securities Exchange Act of 1934</w:t>
              </w:r>
              <w:r>
                <w:rPr>
                  <w:rFonts w:ascii="Arial" w:cs="Arial" w:eastAsia="Arial" w:hAnsi="Arial"/>
                  <w:sz w:val="18"/>
                  <w:szCs w:val="18"/>
                  <w:color w:val="000000"/>
                </w:rPr>
                <w:t>.</w:t>
              </w:r>
            </w:hyperlink>
          </w:p>
        </w:tc>
        <w:tc>
          <w:tcPr>
            <w:tcW w:w="18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60" w:type="dxa"/>
            <w:vAlign w:val="bottom"/>
            <w:gridSpan w:val="7"/>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31.2</w:t>
            </w:r>
          </w:p>
        </w:tc>
        <w:tc>
          <w:tcPr>
            <w:tcW w:w="76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Certification of Chief Financial Officer pursuant to Section 302(a) of the Sarbanes-Oxley Act of 2002 and</w:t>
              </w:r>
            </w:hyperlink>
          </w:p>
        </w:tc>
        <w:tc>
          <w:tcPr>
            <w:tcW w:w="22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Rule 13a-14(a) of the Securities Exchange Act of 1934</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3960" w:type="dxa"/>
            <w:vAlign w:val="bottom"/>
            <w:gridSpan w:val="7"/>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920" w:type="dxa"/>
            <w:vAlign w:val="bottom"/>
            <w:gridSpan w:val="18"/>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32.1</w:t>
            </w:r>
          </w:p>
        </w:tc>
        <w:tc>
          <w:tcPr>
            <w:tcW w:w="78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Certification of Chief Executive Officer and Chief Financial Officer pursuant to Section 906 of the Sarbanes-</w:t>
              </w:r>
            </w:hyperlink>
          </w:p>
        </w:tc>
      </w:tr>
      <w:tr>
        <w:trPr>
          <w:trHeight w:val="196"/>
        </w:trPr>
        <w:tc>
          <w:tcPr>
            <w:tcW w:w="92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Oxley Act of 2002 (18 U.S.C. 1350) and Rule 13a-14(b) of the Securities Exchange Act of 1934</w:t>
              </w:r>
              <w:r>
                <w:rPr>
                  <w:rFonts w:ascii="Arial" w:cs="Arial" w:eastAsia="Arial" w:hAnsi="Arial"/>
                  <w:sz w:val="18"/>
                  <w:szCs w:val="18"/>
                  <w:color w:val="000000"/>
                </w:rPr>
                <w:t>.</w:t>
              </w:r>
            </w:hyperlink>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9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gridSpan w:val="18"/>
          </w:tcPr>
          <w:p>
            <w:pPr>
              <w:spacing w:after="0"/>
              <w:rPr>
                <w:sz w:val="20"/>
                <w:szCs w:val="20"/>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86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86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7860" w:type="dxa"/>
            <w:vAlign w:val="bottom"/>
            <w:gridSpan w:val="3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786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3" w:lineRule="exact"/>
        <w:rPr>
          <w:sz w:val="20"/>
          <w:szCs w:val="20"/>
          <w:color w:val="auto"/>
        </w:rPr>
      </w:pPr>
    </w:p>
    <w:p>
      <w:pPr>
        <w:ind w:left="1080" w:hanging="71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Icahn Enterprises L.P.</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By:Icahn Enterprises G.P. Inc., its</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general partner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31750</wp:posOffset>
            </wp:positionV>
            <wp:extent cx="26485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David Willetts</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President, Chief Executive Officer and Director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25, 2022</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Signature</w:t>
            </w:r>
          </w:p>
        </w:tc>
        <w:tc>
          <w:tcPr>
            <w:tcW w:w="180" w:type="dxa"/>
            <w:vAlign w:val="bottom"/>
          </w:tcPr>
          <w:p>
            <w:pPr>
              <w:spacing w:after="0"/>
              <w:rPr>
                <w:sz w:val="20"/>
                <w:szCs w:val="20"/>
                <w:color w:val="auto"/>
              </w:rPr>
            </w:pPr>
          </w:p>
        </w:tc>
        <w:tc>
          <w:tcPr>
            <w:tcW w:w="446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Title</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/s/David Willetts</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David Willetts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/s/Ted Papapostolou</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Chief Accounting Officer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Ted Papapostolou</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/s/Brett Icahn</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Brett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/s/Michael Nevin</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Michael Nevin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/s/Denise Barton</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Denise Barton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/s/Stephen A. Mongillo</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Stephen A. Mongillo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/s/Alvin B. Krongard</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Alvin B. Krongard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/s/Nancy Dunlap</w:t>
            </w: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40" w:type="dxa"/>
            <w:vAlign w:val="bottom"/>
            <w:gridSpan w:val="2"/>
          </w:tcPr>
          <w:p>
            <w:pPr>
              <w:spacing w:after="0"/>
              <w:rPr>
                <w:sz w:val="20"/>
                <w:szCs w:val="20"/>
                <w:color w:val="auto"/>
              </w:rPr>
            </w:pPr>
            <w:r>
              <w:rPr>
                <w:rFonts w:ascii="Arial" w:cs="Arial" w:eastAsia="Arial" w:hAnsi="Arial"/>
                <w:sz w:val="18"/>
                <w:szCs w:val="18"/>
                <w:color w:val="auto"/>
              </w:rPr>
              <w:t>Nancy Dunlap</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Carl C.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jc w:val="right"/>
        <w:ind w:right="219"/>
        <w:spacing w:after="0"/>
        <w:rPr>
          <w:sz w:val="20"/>
          <w:szCs w:val="20"/>
          <w:color w:val="auto"/>
        </w:rPr>
      </w:pPr>
      <w:r>
        <w:rPr>
          <w:rFonts w:ascii="Arial" w:cs="Arial" w:eastAsia="Arial" w:hAnsi="Arial"/>
          <w:sz w:val="18"/>
          <w:szCs w:val="18"/>
          <w:b w:val="1"/>
          <w:bCs w:val="1"/>
          <w:color w:val="auto"/>
        </w:rPr>
        <w:t>EXHIBIT 10.18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ICAHN ENTERPRISES L.P.</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16690 Collins Avenue, PH-1</w:t>
      </w:r>
    </w:p>
    <w:p>
      <w:pPr>
        <w:ind w:left="3340"/>
        <w:spacing w:after="0"/>
        <w:rPr>
          <w:sz w:val="20"/>
          <w:szCs w:val="20"/>
          <w:color w:val="auto"/>
        </w:rPr>
      </w:pPr>
      <w:r>
        <w:rPr>
          <w:rFonts w:ascii="Arial" w:cs="Arial" w:eastAsia="Arial" w:hAnsi="Arial"/>
          <w:sz w:val="20"/>
          <w:szCs w:val="20"/>
          <w:color w:val="auto"/>
        </w:rPr>
        <w:t>Sunny Isles Beach, FL 33160</w:t>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Via Email</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November 8, 2021</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Aris Kekedjian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2960 Northeast 207th Street</w:t>
      </w:r>
    </w:p>
    <w:p>
      <w:pPr>
        <w:ind w:left="200"/>
        <w:spacing w:after="0"/>
        <w:rPr>
          <w:sz w:val="20"/>
          <w:szCs w:val="20"/>
          <w:color w:val="auto"/>
        </w:rPr>
      </w:pPr>
      <w:r>
        <w:rPr>
          <w:rFonts w:ascii="Arial" w:cs="Arial" w:eastAsia="Arial" w:hAnsi="Arial"/>
          <w:sz w:val="20"/>
          <w:szCs w:val="20"/>
          <w:color w:val="auto"/>
        </w:rPr>
        <w:t>Aventura Parksquare</w:t>
      </w:r>
    </w:p>
    <w:p>
      <w:pPr>
        <w:ind w:left="200"/>
        <w:spacing w:after="0"/>
        <w:rPr>
          <w:sz w:val="20"/>
          <w:szCs w:val="20"/>
          <w:color w:val="auto"/>
        </w:rPr>
      </w:pPr>
      <w:r>
        <w:rPr>
          <w:rFonts w:ascii="Arial" w:cs="Arial" w:eastAsia="Arial" w:hAnsi="Arial"/>
          <w:sz w:val="20"/>
          <w:szCs w:val="20"/>
          <w:color w:val="auto"/>
        </w:rPr>
        <w:t>Unit 1115</w:t>
      </w:r>
    </w:p>
    <w:p>
      <w:pPr>
        <w:ind w:left="200"/>
        <w:spacing w:after="0"/>
        <w:rPr>
          <w:sz w:val="20"/>
          <w:szCs w:val="20"/>
          <w:color w:val="auto"/>
        </w:rPr>
      </w:pPr>
      <w:r>
        <w:rPr>
          <w:rFonts w:ascii="Arial" w:cs="Arial" w:eastAsia="Arial" w:hAnsi="Arial"/>
          <w:sz w:val="20"/>
          <w:szCs w:val="20"/>
          <w:color w:val="auto"/>
        </w:rPr>
        <w:t>Aventura, FL 33180</w:t>
      </w:r>
    </w:p>
    <w:p>
      <w:pPr>
        <w:spacing w:after="0" w:line="213"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This agreement sets forth the terms and conditions regarding your separation from employment from Icahn Enterprises L.P. (the “Company”).</w:t>
      </w:r>
    </w:p>
    <w:p>
      <w:pPr>
        <w:spacing w:after="0" w:line="19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The terms and conditions set forth in paragraphs 1, 2 and 5 below will apply regardless of whether you decide to sign this letter agreement. However, you will not be eligible to receive the payment set forth in paragraph 3 below unless you sign and do not revoke this letter agreement. (See paragraph 13 below for what it means to revoke this letter agreement.)</w:t>
      </w:r>
    </w:p>
    <w:p>
      <w:pPr>
        <w:spacing w:after="0" w:line="205" w:lineRule="exact"/>
        <w:rPr>
          <w:sz w:val="20"/>
          <w:szCs w:val="20"/>
          <w:color w:val="auto"/>
        </w:rPr>
      </w:pPr>
    </w:p>
    <w:p>
      <w:pPr>
        <w:jc w:val="both"/>
        <w:ind w:left="860" w:right="219" w:hanging="651"/>
        <w:spacing w:after="0" w:line="260" w:lineRule="auto"/>
        <w:tabs>
          <w:tab w:leader="none" w:pos="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Your last day of employment is November 5, 2021 (the “Separation Date”). You will receive your regular pay as a full-time employee according to the Company’s regular payroll practices through the Separation Date. You also will receive a payment in the amount of $43,261.79, less applicable tax and payroll withholdings, for 59.99 hours of accrued, unused Paid Time Off according to the Company’s records as of the Separation Date.</w:t>
      </w:r>
    </w:p>
    <w:p>
      <w:pPr>
        <w:spacing w:after="0" w:line="193" w:lineRule="exact"/>
        <w:rPr>
          <w:rFonts w:ascii="Arial" w:cs="Arial" w:eastAsia="Arial" w:hAnsi="Arial"/>
          <w:sz w:val="19"/>
          <w:szCs w:val="19"/>
          <w:color w:val="auto"/>
        </w:rPr>
      </w:pPr>
    </w:p>
    <w:p>
      <w:pPr>
        <w:jc w:val="both"/>
        <w:ind w:left="860" w:right="219" w:hanging="651"/>
        <w:spacing w:after="0" w:line="250" w:lineRule="auto"/>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Because of your separation from employment, your eligibility for and coverage under the Company’s employee benefit plans will end on the Separation Date. You are not required to repay your relocation allowance.</w:t>
      </w:r>
    </w:p>
    <w:p>
      <w:pPr>
        <w:spacing w:after="0" w:line="199" w:lineRule="exact"/>
        <w:rPr>
          <w:rFonts w:ascii="Arial" w:cs="Arial" w:eastAsia="Arial" w:hAnsi="Arial"/>
          <w:sz w:val="20"/>
          <w:szCs w:val="20"/>
          <w:color w:val="auto"/>
        </w:rPr>
      </w:pPr>
    </w:p>
    <w:p>
      <w:pPr>
        <w:jc w:val="both"/>
        <w:ind w:left="860" w:right="219" w:hanging="651"/>
        <w:spacing w:after="0" w:line="268"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the above payments, the Company is offering you the opportunity to receive the following payments and benefits to which you are entitled under the offer letter between you and the Company dated as of April 4, 2021 (the “Offer Letter”) upon a termination without cause: (a) a lump sum cash payment in the amount of $1,090,410.96, less applicable tax and payroll withholdings, which shall be paid on the first payroll date that occurs after the Effective Date of this letter agreement (as defined below in paragraph 13) and represents your pro-rated bonus for 2021 under the terms of the Offer Letter, (b) vesting of 23,506 deferred units (the “Vested Units”) granted to you under the Deferred Unit Agreement pursuant to the Icahn Enterprises L.P. 2017 Long-Term Incentive Plan between you and the Company dated as of April 26, 2021 (the “Award Agreement”), less applicable tax and payroll withholdings via the net unit withholding method set forth in the Award Agreement, which shall be payable on the terms set forth in Section 3 of the Award Agreement (including the Company’s option to settle the Vested Units in cash) and represents the pro-rated vesting of your deferred units under the Offer Letter and the Award Agreement, and (c) a lump sum cash payment in the amount of $141,036.00, less applicable tax and payroll withholdings, which shall be paid at the same time the Vested Units are paid and represents the cash dividend equivalents with respect to the Vested Units under the Award Agreement. Notwithstanding any other provision hereof, as a condition to the Company’s payment to you of the amounts in this paragraph 3, you shall be required to execute, return to the Company, and not revoke within the Revocation Period (as defined in paragraph 13), this letter agreement agreeing to its terms, including the general release of claims contained in paragraph 7(a). The amounts paid to you as set forth in this paragraph 3 will be in full and complete satisfaction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jc w:val="both"/>
        <w:ind w:left="860" w:right="219"/>
        <w:spacing w:after="0" w:line="244" w:lineRule="auto"/>
        <w:rPr>
          <w:sz w:val="20"/>
          <w:szCs w:val="20"/>
          <w:color w:val="auto"/>
        </w:rPr>
      </w:pPr>
      <w:r>
        <w:rPr>
          <w:rFonts w:ascii="Arial" w:cs="Arial" w:eastAsia="Arial" w:hAnsi="Arial"/>
          <w:sz w:val="20"/>
          <w:szCs w:val="20"/>
          <w:color w:val="auto"/>
        </w:rPr>
        <w:t>amounts due to you as severance upon a termination without cause under the Offer Letter, the Award Agreement or any other plan or arrangement sponsored by the Company or its affiliates. For the avoidance of doubt, as of the Separation Date, your unvested deferred units under the Award Agreement (after application of the vesting set forth in paragraph 3(b) above) shall be cancelled without further action or notice.</w:t>
      </w:r>
    </w:p>
    <w:p>
      <w:pPr>
        <w:spacing w:after="0" w:line="208" w:lineRule="exact"/>
        <w:rPr>
          <w:sz w:val="20"/>
          <w:szCs w:val="20"/>
          <w:color w:val="auto"/>
        </w:rPr>
      </w:pPr>
    </w:p>
    <w:p>
      <w:pPr>
        <w:jc w:val="both"/>
        <w:ind w:left="860" w:right="219" w:hanging="651"/>
        <w:spacing w:after="0" w:line="270"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You agree to keep confidential and not to, directly or indirectly, publish, post on your own, or disclose to any third party, including, but not limited to, newspapers, authors, publicists, journalists, bloggers, gossip columnists, producers, directors, media personalities, and the like, all Confidential information relating to Carl Icahn and his family, the Company and its affiliates, related, parent, and subsidiary companies, and each of their officers, directors, employees and clients, learned in the course of your employment with the Company. Confidential Information includes all secret or confidential information, knowledge or data, including, without limitation, trade secrets, sources of supplies and materials, customer lists and their identity, customer information, designs, production and design techniques and methods, identity of investments, identity of contemplated investments, business opportunities, valuation models and methodologies, processes, technologies, and any intellectual property relating to the business of the Company or its affiliates, related, parent, or subsidiary companies and their respective businesses, and any personal information related to Carl Icahn and his family.</w:t>
      </w:r>
    </w:p>
    <w:p>
      <w:pPr>
        <w:spacing w:after="0" w:line="185" w:lineRule="exact"/>
        <w:rPr>
          <w:rFonts w:ascii="Arial" w:cs="Arial" w:eastAsia="Arial" w:hAnsi="Arial"/>
          <w:sz w:val="18"/>
          <w:szCs w:val="18"/>
          <w:color w:val="auto"/>
        </w:rPr>
      </w:pPr>
    </w:p>
    <w:p>
      <w:pPr>
        <w:jc w:val="both"/>
        <w:ind w:left="860" w:right="219" w:hanging="3"/>
        <w:spacing w:after="0" w:line="269" w:lineRule="auto"/>
        <w:tabs>
          <w:tab w:leader="none" w:pos="11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Nothing in this agreement prohibits you from reporting any possible violations of federal law or regulation to any government agency or entity, including but not limited to the Department of Justice and the Securities and Exchange Commission, or making any other disclosures that are protected under the whistleblower provisions of federal law or regulation. You are not required to notify the Company that you will make or have made such reports or disclosures. Non-Compliance with the disclosure provisions of this Agreement shall not subject you to criminal or civil liability under any Federal or State trade secret law for the disclosure of a Company trade secret if the disclosure is made: (i) in confidence to a Federal, State or local government official, either directly or indirectly, or to an attorney in confidence solely for the purpose of reporting or investigating a suspected violation of law; (ii) in a complaint or other document filed in a lawsuit or other proceeding, provided that any complaint or document containing the trade secret is filed under seal; or (iii) to an attorney representing you in a lawsuit for retaliation by the Company for reporting a suspected violation of law or to use the trade secret information in that court proceeding, provided that any document containing the trade secret is filed under seal and you do not disclose the trade secret, except pursuant to court order.</w:t>
      </w:r>
    </w:p>
    <w:p>
      <w:pPr>
        <w:spacing w:after="0" w:line="192" w:lineRule="exact"/>
        <w:rPr>
          <w:rFonts w:ascii="Arial" w:cs="Arial" w:eastAsia="Arial" w:hAnsi="Arial"/>
          <w:sz w:val="18"/>
          <w:szCs w:val="18"/>
          <w:color w:val="auto"/>
        </w:rPr>
      </w:pPr>
    </w:p>
    <w:p>
      <w:pPr>
        <w:jc w:val="both"/>
        <w:ind w:left="860" w:right="219" w:hanging="3"/>
        <w:spacing w:after="0" w:line="271" w:lineRule="auto"/>
        <w:tabs>
          <w:tab w:leader="none" w:pos="1136" w:val="left"/>
        </w:tabs>
        <w:numPr>
          <w:ilvl w:val="1"/>
          <w:numId w:val="34"/>
        </w:numPr>
        <w:rPr>
          <w:rFonts w:ascii="Arial" w:cs="Arial" w:eastAsia="Arial" w:hAnsi="Arial"/>
          <w:sz w:val="18"/>
          <w:szCs w:val="18"/>
          <w:color w:val="auto"/>
        </w:rPr>
      </w:pPr>
      <w:r>
        <w:rPr>
          <w:rFonts w:ascii="Arial" w:cs="Arial" w:eastAsia="Arial" w:hAnsi="Arial"/>
          <w:sz w:val="18"/>
          <w:szCs w:val="18"/>
          <w:color w:val="auto"/>
        </w:rPr>
        <w:t>Furthermore, you agree not to disparage, or encourage or induce others to disparage, Carl Icahn and his family, the Company and its affiliates, related, parent, and subsidiary companies, and each of their officers, directors, employees, and clients, with any third party, including, but not limited to, newspapers, authors, publicists, journalists, bloggers, gossip columnists, producers, directors, media personalities, and the like. For purposes of this letter agreement, the term "disparage" includes, without limitation, comments or statements on the internet, to the press and/or media, to any Released Party or to any individual or entity with whom any of the Released Parties have a business relationship which would adversely affect in any manner (i) the conduct of the business of any of the Released Parties (including, without limitation, any business plans or prospects) or (ii) the business reputation of any the Released Parties.</w:t>
      </w:r>
    </w:p>
    <w:p>
      <w:pPr>
        <w:spacing w:after="0" w:line="187" w:lineRule="exact"/>
        <w:rPr>
          <w:rFonts w:ascii="Arial" w:cs="Arial" w:eastAsia="Arial" w:hAnsi="Arial"/>
          <w:sz w:val="18"/>
          <w:szCs w:val="18"/>
          <w:color w:val="auto"/>
        </w:rPr>
      </w:pPr>
    </w:p>
    <w:p>
      <w:pPr>
        <w:jc w:val="both"/>
        <w:ind w:left="860" w:right="219" w:hanging="651"/>
        <w:spacing w:after="0" w:line="270"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letter agreement is not intended to modify but rather is intended to supplement the following agreements entered into between you and the Company which remain in full force and effect: (i) the Icahn Enterprises L.P. Compliance Manual dated April 2021 (including all policies contained and referenced therein); (ii) the Icahn Enterprises L.P. Confidentiality Policy dated April 3, 2021; and</w:t>
      </w:r>
    </w:p>
    <w:p>
      <w:pPr>
        <w:spacing w:after="0" w:line="2" w:lineRule="exact"/>
        <w:rPr>
          <w:rFonts w:ascii="Arial" w:cs="Arial" w:eastAsia="Arial" w:hAnsi="Arial"/>
          <w:sz w:val="18"/>
          <w:szCs w:val="18"/>
          <w:color w:val="auto"/>
        </w:rPr>
      </w:pPr>
    </w:p>
    <w:p>
      <w:pPr>
        <w:ind w:left="1220" w:hanging="363"/>
        <w:spacing w:after="0"/>
        <w:tabs>
          <w:tab w:leader="none" w:pos="12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Icahn Enterprises L.P. Policy and Procedures on Confidentiality, Non-Public Information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and Personal Investing dated April 10, 2021. In addition, you will be subject to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146" w:name="page147"/>
    <w:bookmarkEnd w:id="146"/>
    <w:p>
      <w:pPr>
        <w:ind w:left="860" w:right="219"/>
        <w:spacing w:after="0" w:line="260" w:lineRule="auto"/>
        <w:rPr>
          <w:sz w:val="20"/>
          <w:szCs w:val="20"/>
          <w:color w:val="auto"/>
        </w:rPr>
      </w:pPr>
      <w:r>
        <w:rPr>
          <w:rFonts w:ascii="Arial" w:cs="Arial" w:eastAsia="Arial" w:hAnsi="Arial"/>
          <w:sz w:val="20"/>
          <w:szCs w:val="20"/>
          <w:color w:val="auto"/>
        </w:rPr>
        <w:t>extent permitted by state and local law to the non-solicitation and non-competition obligations enumerated below for a period of one year following the Separation Date:</w:t>
      </w:r>
    </w:p>
    <w:p>
      <w:pPr>
        <w:spacing w:after="0" w:line="177" w:lineRule="exact"/>
        <w:rPr>
          <w:sz w:val="20"/>
          <w:szCs w:val="20"/>
          <w:color w:val="auto"/>
        </w:rPr>
      </w:pPr>
    </w:p>
    <w:p>
      <w:pPr>
        <w:jc w:val="both"/>
        <w:ind w:left="860" w:right="219" w:hanging="3"/>
        <w:spacing w:after="0" w:line="269" w:lineRule="auto"/>
        <w:tabs>
          <w:tab w:leader="none" w:pos="11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will not, in any capacity, either directly or indirectly, induce, encourage, or assist any other individual or entity directly or indirectly, to: (i) hire or engage any employee of the Company (or any individual who was an employee of the Company within the 12 months preceding the date such hiring or engagement occurs) or solicit or seek to persuade any employee of the Company to discontinue such employment with the Company, (ii) solicit or encourage any customer of the Company or independent contractor providing services to the Company to terminate or diminish its relationship with the Company, or (iii) seek to persuade any customer (or any individual who was a customer of the Company within the 12 months prior to the date such solicitation or encouragement commences or occurs, as the case may be) or prospective customer of the Company to conduct with anyone else any business or activity that such customer or prospective customer conducts or could conduct with the Company, or (iv) attempt to divert, divert, or otherwise usurp any actual or potential business opportunity or transaction that you learned about during your employment with the Company. For purposes of this paragraph 5, (x) references to the Company include any of its affiliates or subsidiaries, and (y) “in any capacity” includes, but is not limited to, as an employee, independent contractor, volunteer, or owner.</w:t>
      </w:r>
    </w:p>
    <w:p>
      <w:pPr>
        <w:spacing w:after="0" w:line="178" w:lineRule="exact"/>
        <w:rPr>
          <w:rFonts w:ascii="Arial" w:cs="Arial" w:eastAsia="Arial" w:hAnsi="Arial"/>
          <w:sz w:val="18"/>
          <w:szCs w:val="18"/>
          <w:color w:val="auto"/>
        </w:rPr>
      </w:pPr>
    </w:p>
    <w:p>
      <w:pPr>
        <w:jc w:val="both"/>
        <w:ind w:left="860" w:right="219" w:hanging="3"/>
        <w:spacing w:after="0" w:line="257" w:lineRule="auto"/>
        <w:tabs>
          <w:tab w:leader="none" w:pos="1148" w:val="left"/>
        </w:tabs>
        <w:numPr>
          <w:ilvl w:val="1"/>
          <w:numId w:val="36"/>
        </w:numPr>
        <w:rPr>
          <w:rFonts w:ascii="Arial" w:cs="Arial" w:eastAsia="Arial" w:hAnsi="Arial"/>
          <w:sz w:val="19"/>
          <w:szCs w:val="19"/>
          <w:color w:val="auto"/>
        </w:rPr>
      </w:pPr>
      <w:r>
        <w:rPr>
          <w:rFonts w:ascii="Arial" w:cs="Arial" w:eastAsia="Arial" w:hAnsi="Arial"/>
          <w:sz w:val="19"/>
          <w:szCs w:val="19"/>
          <w:color w:val="auto"/>
        </w:rPr>
        <w:t>You will not, as principal, agent, owner, employee, director, partner, investor shareholder (other than solely as a holder of not more than 1% of the issued and outstanding shares of any public corporation), consultant, advisor, or otherwise howsoever participate in, act for, or on behalf of, or for the benefit of, own, operate, carry on or engage in the operation of or have any financial interest in or provide in any manner, directly or indirectly, financial assistance to or lend money to or guarantee the debts or obligations of any person carrying on or engaged in any business that is directly competitive with the business conducted by the Company or any of its subsidiaries during or on the date of termination of your employment.</w:t>
      </w:r>
    </w:p>
    <w:p>
      <w:pPr>
        <w:spacing w:after="0" w:line="180" w:lineRule="exact"/>
        <w:rPr>
          <w:rFonts w:ascii="Arial" w:cs="Arial" w:eastAsia="Arial" w:hAnsi="Arial"/>
          <w:sz w:val="19"/>
          <w:szCs w:val="19"/>
          <w:color w:val="auto"/>
        </w:rPr>
      </w:pPr>
    </w:p>
    <w:p>
      <w:pPr>
        <w:jc w:val="both"/>
        <w:ind w:left="860" w:right="219" w:hanging="3"/>
        <w:spacing w:after="0" w:line="269" w:lineRule="auto"/>
        <w:tabs>
          <w:tab w:leader="none" w:pos="1173"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agree and acknowledge that the restrictive covenants set forth in paragraphs 4 and 5 (including, without limitation, the confidentiality, non-solicitation and non-competition provisions) are reasonable as to duration, terms, and geographical area and that they protect the legitimate interests of the Company and its affiliates and subsidiaries, impose no undue hardship on you, are not injurious to the public, and that any violation of these provisions shall be specifically enforceable in any court with jurisdiction upon short notice. You agree and acknowledge that any breach of these provisions shall cause irreparable injury to the Company and its affiliates and subsidiaries and upon breach of any such provision, the Company and/or its affiliates and subsidiaries shall be entitled to obtain injunctive relief, specific performance, or other equitable relief or pursue any remedies or relief available to them in law or equity (including, without limitation, monetary damages). If any of the provisions of paragraphs 4 or 5 above are adjudged by a court to be invalid or unenforceable, the same shall in no way affect any other circumstance or the validity or enforceability of any other provision set forth herein. If the scope of any provision (or any part thereof) is too broad to permit enforcement to its fullest extent, you agree that the court making such determination shall have the power to reduce the duration, area, and/or other aspects of the provision to the extent necessary to permit enforcement, and, in its reduced form, such provision shall then be enforceable and shall be enforced.</w:t>
      </w:r>
    </w:p>
    <w:p>
      <w:pPr>
        <w:spacing w:after="0" w:line="173" w:lineRule="exact"/>
        <w:rPr>
          <w:rFonts w:ascii="Arial" w:cs="Arial" w:eastAsia="Arial" w:hAnsi="Arial"/>
          <w:sz w:val="18"/>
          <w:szCs w:val="18"/>
          <w:color w:val="auto"/>
        </w:rPr>
      </w:pPr>
    </w:p>
    <w:p>
      <w:pPr>
        <w:jc w:val="both"/>
        <w:ind w:left="860" w:right="219" w:hanging="651"/>
        <w:spacing w:after="0" w:line="26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acknowledge that you have returned to the Company any and all property, tangible or intangible, relating to its business or the business of its parent companies, subsidiaries, affiliates and related entities, which you possessed or had control over at any time, including but not limited to Company-provided cell phones, keys, smartphones, personal computers, credit cards, building access cards, computer equipment, files, documents and software. You agree that all processes, technologies, and inventions, including new contributions, improvements, ideas, discoveries,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agreements, contracts, trademarks, or trade names conceived, developed, invented, made, or found</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147" w:name="page148"/>
    <w:bookmarkEnd w:id="147"/>
    <w:p>
      <w:pPr>
        <w:ind w:left="860" w:right="239"/>
        <w:spacing w:after="0" w:line="260" w:lineRule="auto"/>
        <w:rPr>
          <w:sz w:val="20"/>
          <w:szCs w:val="20"/>
          <w:color w:val="auto"/>
        </w:rPr>
      </w:pPr>
      <w:r>
        <w:rPr>
          <w:rFonts w:ascii="Arial" w:cs="Arial" w:eastAsia="Arial" w:hAnsi="Arial"/>
          <w:sz w:val="20"/>
          <w:szCs w:val="20"/>
          <w:color w:val="auto"/>
        </w:rPr>
        <w:t>by you alone or with other employees during the period of your employment by the Company shall remain property of the Company.</w:t>
      </w:r>
    </w:p>
    <w:p>
      <w:pPr>
        <w:spacing w:after="0" w:line="190" w:lineRule="exact"/>
        <w:rPr>
          <w:sz w:val="20"/>
          <w:szCs w:val="20"/>
          <w:color w:val="auto"/>
        </w:rPr>
      </w:pPr>
    </w:p>
    <w:p>
      <w:pPr>
        <w:jc w:val="both"/>
        <w:ind w:left="860" w:right="219" w:hanging="651"/>
        <w:spacing w:after="0" w:line="26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By signing this letter agreement, except as to the claims and rights referred to in paragraphs 7(b) and 7(c) below, in consideration of the payments provided for in paragraph 3, and other terms of this letter, you voluntarily and knowingly release and forever discharge the Company, its subsidiaries, parent, affiliates, and related entities, and each of their employee benefit plans, and each of their shareholders, partners, directors, members, officers, employees, trustees, administrators and fiduciaries, and each of their successors and assigns, (each a “Released Party” and collectively, the “Released Parties”) from any and all claims, demands, causes of action, obligations, damages and liabilities of whatever kind, in law or equity, by statute or otherwise (all collectively referred to as “Claims”), that can be waived, whether known or unknown, asserted or unasserted, arising out of or relating directly or indirectly in any way to your employment or termination of employment or the terms and conditions of your employment with the Company or any parent, subsidiary, affiliated, or related entity, including but not limited to (i) Claims of discrimination, harassment, retaliation, or failure to accommodate under any federal, state, or local law, without limitation, the Age Discrimination in Employment Act, Title VII of the Civil Rights Act of 1964, Sections 1981 through 1988 of Title 42 of the United States Code, the Americans with Disabilities Act, the Equal Pay Act, the Older Workers Benefits Protection Act, and the Genetic Information Non-Discrimination Act (as any such law was enacted or amended); (ii) Claims under the Immigration Reform and Control Act; (iii) Claims under the Uniformed Services Employment and Reemployment Rights Act; (iv) Claims under the Employee Retirement Income Security Act of 1974 (excluding claims for vested benefits as set forth in paragraph 7(b) below); (v) Claims regarding leaves of absence, including, but not limited to, Claims under the Family and Medical Leave Act; (vi) Claims under the National Labor Relations Act; (vii) Claims under the Sarbanes-Oxley Act or the Dodd-Frank Act; (viii) Claims under New York State Human Rights Law, New York Executive Law, New York Civil Rights Law, New York City Human Rights Law, New York City Local Civil Rights Restoration Act of 2005, New York City Administrative Code, New York Minimum Wage Act, New York City Earned Safe and Sick Time Act, New York Worker Adjustment Retraining and Notification Act, New York Labor Law, New York Wage Theft Protection Act, the New York Paid Family Leave Law, the New York laws for jury duty, voting, bone marrow and blood donation, and military family leave, the New York Fair Credit Reporting Act, and the retaliation provisions of the New York Workers’ Compensation law; all as amended; Florida Civil Rights Act, f/k/a Human Rights Act of 1977, Fla. Stat. § 760.01 et seq.; Florida Equal Pay Law, Fla. Stat. § 448.07, Fla. Stat. § 725.07; Florida AIDS Act, Fla. Stat. § 760.50; Florida Law Sickle-Cell Trait Discrimination Law, Fla. Stat. §§ 448.075, 448.076; Florida Private Whistleblower Protection Law, Fla. Stat. § 448.101 et seq.; Florida Public Whistle-Blower’s Act, Fla. Stat. § 112.3187 et seq.; Florida Worker’s Compensation Retaliation Law, Fla. Stat. § 440.205; Florida Unpaid Wages Law, Fla. Stat. § 448.08; Florida Minimum Wage Act, Fla. Stat. §§ 448.109, 448.110; Florida Leave to Victims of Domestic Violence Act, Fla. Stat. § 741.313, and waivable rights under the Florida Constitution; all as amended; and similar local, state and federal laws; (ix) Claims for breach of contract (express or implied), retaliation, wrongful discharge, detrimental reliance, invasion of privacy, defamation, emotional distress or compensatory and/or punitive damages; (x) Claims for attorneys' fees, costs, disbursements and/or the like; and (xi) Claims under any severance plan, policy, or program of the Company, including any claims for severance pay, termination pay, or similar type of payment. By signing below, you also acknowledge that you cannot benefit monetarily or obtain other personal relief from any Claims released in this paragraph 7(a) and that you have waived any right to equitable relief that may have been available to you (including, without limitation, reinstatement) with respect to any Claim waived in this paragraph 7(a). Your signature below acknowledges the fact that you are receiving payments to which you would otherwise not be entitled, that it is sufficient consideration for the waiver of Claims herein, and that after the Separation Date you will not be entitled to receive any other payments or benefits from the Company apart from the payments and benefits described in this letter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148" w:name="page149"/>
    <w:bookmarkEnd w:id="148"/>
    <w:p>
      <w:pPr>
        <w:jc w:val="both"/>
        <w:ind w:left="860" w:right="219" w:hanging="3"/>
        <w:spacing w:after="0" w:line="259" w:lineRule="auto"/>
        <w:tabs>
          <w:tab w:leader="none" w:pos="1147" w:val="left"/>
        </w:tabs>
        <w:numPr>
          <w:ilvl w:val="1"/>
          <w:numId w:val="39"/>
        </w:numPr>
        <w:rPr>
          <w:rFonts w:ascii="Arial" w:cs="Arial" w:eastAsia="Arial" w:hAnsi="Arial"/>
          <w:sz w:val="19"/>
          <w:szCs w:val="19"/>
          <w:color w:val="auto"/>
        </w:rPr>
      </w:pPr>
      <w:r>
        <w:rPr>
          <w:rFonts w:ascii="Arial" w:cs="Arial" w:eastAsia="Arial" w:hAnsi="Arial"/>
          <w:sz w:val="19"/>
          <w:szCs w:val="19"/>
          <w:color w:val="auto"/>
        </w:rPr>
        <w:t>By signing this letter agreement, you are not releasing claims that arise after you sign this letter agreement; claims to enforce this letter agreement; claims relating to the enforceability, meaning, or effect of this letter agreement; claims or rights you may have to workers’ compensation or unemployment benefits; claims for accrued, vested benefits under any employee pension benefit plan of the Company in accordance with the terms of such plans and applicable law; and/or claims or rights which cannot be waived by private agreement.</w:t>
      </w:r>
    </w:p>
    <w:p>
      <w:pPr>
        <w:spacing w:after="0" w:line="191" w:lineRule="exact"/>
        <w:rPr>
          <w:rFonts w:ascii="Arial" w:cs="Arial" w:eastAsia="Arial" w:hAnsi="Arial"/>
          <w:sz w:val="19"/>
          <w:szCs w:val="19"/>
          <w:color w:val="auto"/>
        </w:rPr>
      </w:pPr>
    </w:p>
    <w:p>
      <w:pPr>
        <w:jc w:val="both"/>
        <w:ind w:left="860" w:right="219" w:hanging="3"/>
        <w:spacing w:after="0" w:line="276" w:lineRule="auto"/>
        <w:tabs>
          <w:tab w:leader="none" w:pos="11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Additionally, by signing this letter agreement, you are not waiving your right to file a charge with, or participate in an investigation conducted by, any governmental agency, including, without limitation, the United States Equal Employment Opportunity Commission (EEOC). Nevertheless, as set forth in paragraph 7(a) above, you acknowledge that you cannot benefit monetarily or obtain damages or equitable relief of any kind from or through any such charge or any action commenced by a government agency or third party with respect to claims waived in paragraph 7(a).</w:t>
      </w:r>
    </w:p>
    <w:p>
      <w:pPr>
        <w:spacing w:after="0" w:line="178" w:lineRule="exact"/>
        <w:rPr>
          <w:rFonts w:ascii="Arial" w:cs="Arial" w:eastAsia="Arial" w:hAnsi="Arial"/>
          <w:sz w:val="18"/>
          <w:szCs w:val="18"/>
          <w:color w:val="auto"/>
        </w:rPr>
      </w:pPr>
    </w:p>
    <w:p>
      <w:pPr>
        <w:jc w:val="both"/>
        <w:ind w:left="860" w:right="219" w:hanging="651"/>
        <w:spacing w:after="0" w:line="276"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you have been paid and/or received all leave (paid or unpaid), compensation, wages, bonuses, severance or termination pay, commissions, notice period, and/or benefits to which you may have been entitled and that no other remuneration or benefits are due to you, except as set forth in this letter agreement. You affirm that you have had no known workplace injuries or occupational diseases. You also represent that you have disclosed to the Company any information you have concerning any fraudulent or unlawful conduct involving the Released Parties.</w:t>
      </w:r>
    </w:p>
    <w:p>
      <w:pPr>
        <w:spacing w:after="0" w:line="178" w:lineRule="exact"/>
        <w:rPr>
          <w:rFonts w:ascii="Arial" w:cs="Arial" w:eastAsia="Arial" w:hAnsi="Arial"/>
          <w:sz w:val="18"/>
          <w:szCs w:val="18"/>
          <w:color w:val="auto"/>
        </w:rPr>
      </w:pPr>
    </w:p>
    <w:p>
      <w:pPr>
        <w:jc w:val="both"/>
        <w:ind w:left="860" w:right="219" w:hanging="651"/>
        <w:spacing w:after="0" w:line="243"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This letter agreement contains the entire understanding between you and the Company with respect to the subject matter hereof, and supersedes any and all prior agreements and understandings, whether written or oral, between or among you, the Company or any of its parent companies, subsidiaries, affiliates and related entities (other than the agreements, if any, referred to in the first sentence of paragraph 5 above, which shall remain in full force and effect following your Separation Date according to their terms).</w:t>
      </w:r>
    </w:p>
    <w:p>
      <w:pPr>
        <w:spacing w:after="0" w:line="209" w:lineRule="exact"/>
        <w:rPr>
          <w:rFonts w:ascii="Arial" w:cs="Arial" w:eastAsia="Arial" w:hAnsi="Arial"/>
          <w:sz w:val="20"/>
          <w:szCs w:val="20"/>
          <w:color w:val="auto"/>
        </w:rPr>
      </w:pPr>
    </w:p>
    <w:p>
      <w:pPr>
        <w:jc w:val="both"/>
        <w:ind w:left="860" w:right="219" w:hanging="651"/>
        <w:spacing w:after="0" w:line="246"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making of this letter agreement is not intended, and shall not be construed, as an admission that the Company or any of the Released Parties has violated any federal, state or local law (statutory or decisional), ordinance or regulation, breached any contract or committed any wrongdoing whatsoever against you or otherwise.</w:t>
      </w:r>
    </w:p>
    <w:p>
      <w:pPr>
        <w:spacing w:after="0" w:line="204" w:lineRule="exact"/>
        <w:rPr>
          <w:rFonts w:ascii="Arial" w:cs="Arial" w:eastAsia="Arial" w:hAnsi="Arial"/>
          <w:sz w:val="20"/>
          <w:szCs w:val="20"/>
          <w:color w:val="auto"/>
        </w:rPr>
      </w:pPr>
    </w:p>
    <w:p>
      <w:pPr>
        <w:jc w:val="both"/>
        <w:ind w:left="860" w:right="219" w:hanging="651"/>
        <w:spacing w:after="0" w:line="244"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This letter agreement (a) is governed by the laws of the State of Florida applicable to agreements made and to be performed wholly within such state, and as such will be construed under and in accordance with the laws of the State of Florida without regard to conflicts of law, and (b) may not be modified unless evidenced by a writing signed by yourself and an authorized representative of the Company.</w:t>
      </w:r>
    </w:p>
    <w:p>
      <w:pPr>
        <w:spacing w:after="0" w:line="207" w:lineRule="exact"/>
        <w:rPr>
          <w:rFonts w:ascii="Arial" w:cs="Arial" w:eastAsia="Arial" w:hAnsi="Arial"/>
          <w:sz w:val="20"/>
          <w:szCs w:val="20"/>
          <w:color w:val="auto"/>
        </w:rPr>
      </w:pPr>
    </w:p>
    <w:p>
      <w:pPr>
        <w:jc w:val="both"/>
        <w:ind w:left="860" w:right="219" w:hanging="651"/>
        <w:spacing w:after="0" w:line="242" w:lineRule="auto"/>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unresolved dispute arising out of this letter agreement and the general release contained in paragraph 7 shall be litigated in any court of competent jurisdiction in Miami-Dade County, Florida; provided that the Company may elect to pursue, without having to post any bond in connection therewith, a court action to seek injunctive relief in any court of competent jurisdiction to enforce any of its rights hereunder, including, without limitation, to terminate the violation of any of its proprietary rights, including but not limited to trade secrets, copyrights or trademarks as well as the restrictions in paragraph 5. Each party shall pay its own costs and fees in connection with any litigation hereunder.</w:t>
      </w:r>
    </w:p>
    <w:p>
      <w:pPr>
        <w:spacing w:after="0" w:line="196" w:lineRule="exact"/>
        <w:rPr>
          <w:rFonts w:ascii="Arial" w:cs="Arial" w:eastAsia="Arial" w:hAnsi="Arial"/>
          <w:sz w:val="20"/>
          <w:szCs w:val="20"/>
          <w:color w:val="auto"/>
        </w:rPr>
      </w:pPr>
    </w:p>
    <w:p>
      <w:pPr>
        <w:jc w:val="both"/>
        <w:ind w:left="860" w:right="219" w:hanging="651"/>
        <w:spacing w:after="0" w:line="24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may accept this letter agreement by signing it and inserting the date of signature in the space provided on or before the twenty-first (21</w:t>
      </w:r>
      <w:r>
        <w:rPr>
          <w:rFonts w:ascii="Arial" w:cs="Arial" w:eastAsia="Arial" w:hAnsi="Arial"/>
          <w:sz w:val="26"/>
          <w:szCs w:val="26"/>
          <w:color w:val="auto"/>
          <w:vertAlign w:val="superscript"/>
        </w:rPr>
        <w:t>st</w:t>
      </w:r>
      <w:r>
        <w:rPr>
          <w:rFonts w:ascii="Arial" w:cs="Arial" w:eastAsia="Arial" w:hAnsi="Arial"/>
          <w:sz w:val="18"/>
          <w:szCs w:val="18"/>
          <w:color w:val="auto"/>
        </w:rPr>
        <w:t>) day after your receipt of this letter agreement (but no earlier than your Separation Date) and delivering this signed letter agreement to Patricia A. Agnello, Esq., Chief HR Officer &amp; Employment Counsel, Icahn Enterprises L.P., 16690 Collins Avenue, PH-1, Sunny Isles Beach, FL 33160, pagnello@sfire.com. After signing this letter</w:t>
      </w:r>
    </w:p>
    <w:p>
      <w:pPr>
        <w:spacing w:after="0" w:line="4"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agreement and delivering it as set forth above, you will have seven days to revoke your decision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149" w:name="page150"/>
    <w:bookmarkEnd w:id="149"/>
    <w:p>
      <w:pPr>
        <w:jc w:val="both"/>
        <w:ind w:left="860" w:right="219"/>
        <w:spacing w:after="0" w:line="272" w:lineRule="auto"/>
        <w:rPr>
          <w:sz w:val="20"/>
          <w:szCs w:val="20"/>
          <w:color w:val="auto"/>
        </w:rPr>
      </w:pPr>
      <w:r>
        <w:rPr>
          <w:rFonts w:ascii="Arial" w:cs="Arial" w:eastAsia="Arial" w:hAnsi="Arial"/>
          <w:sz w:val="18"/>
          <w:szCs w:val="18"/>
          <w:color w:val="auto"/>
        </w:rPr>
        <w:t>(the “Revocation Period”). You may exercise your right to revoke your decision by sending written notice of revocation to Ms. Agnello as set forth above. Such notice must be postmarked (if by letter) or received (if by email) by the close of business on the seventh day after you sign this letter agreement. Provided you do not timely revoke your decision to sign this letter agreement, this letter agreement will become effective on the eighth day after you sign it (the “Effective Date”). In the event you do not accept this letter agreement, or you revoke this letter agreement as set forth above, this letter agreement, including, without limitation, the obligation of the Company to provide the payments set forth in paragraph 3, shall be deemed automatically null and void. You are advised to speak with an attorney before signing this letter agreement.</w:t>
      </w:r>
    </w:p>
    <w:p>
      <w:pPr>
        <w:spacing w:after="0" w:line="184" w:lineRule="exact"/>
        <w:rPr>
          <w:sz w:val="20"/>
          <w:szCs w:val="20"/>
          <w:color w:val="auto"/>
        </w:rPr>
      </w:pPr>
    </w:p>
    <w:p>
      <w:pPr>
        <w:jc w:val="both"/>
        <w:ind w:left="860" w:right="219" w:hanging="651"/>
        <w:spacing w:after="0" w:line="271"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paragraph or part or subpart of any paragraph in this letter agreement or the application thereof is construed to be overbroad and/or unenforceable, then the court making such determination shall have the authority to narrow the paragraph or part or subpart of the paragraph as necessary to make it enforceable and the paragraph or part or subpart of the paragraph shall then be enforceable in its/their narrowed form. Moreover, each paragraph or part or subpart of each paragraph in this letter agreement is independent of and severable (separate) from each other. In the event that any paragraph or part or subpart of any paragraph in this letter agreement is determined to be legally invalid or unenforceable by a court and is not modified by a court to be enforceable, the affected paragraph or part or subpart of such paragraph shall be stricken from the letter agreement, and the remaining paragraphs or parts or subparts of such paragraphs of this letter agreement shall remain in full force and effect.</w:t>
      </w:r>
    </w:p>
    <w:p>
      <w:pPr>
        <w:spacing w:after="0" w:line="169" w:lineRule="exact"/>
        <w:rPr>
          <w:rFonts w:ascii="Arial" w:cs="Arial" w:eastAsia="Arial" w:hAnsi="Arial"/>
          <w:sz w:val="18"/>
          <w:szCs w:val="18"/>
          <w:color w:val="auto"/>
        </w:rPr>
      </w:pPr>
    </w:p>
    <w:p>
      <w:pPr>
        <w:jc w:val="both"/>
        <w:ind w:left="860" w:right="239" w:hanging="651"/>
        <w:spacing w:after="0" w:line="250" w:lineRule="auto"/>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Nothing in this letter agreement is intended to or shall be construed to preclude you from providing truthful information about your employment or this letter agreement to any government agency or in any sworn testimony.</w:t>
      </w:r>
    </w:p>
    <w:p>
      <w:pPr>
        <w:spacing w:after="0" w:line="185" w:lineRule="exact"/>
        <w:rPr>
          <w:rFonts w:ascii="Arial" w:cs="Arial" w:eastAsia="Arial" w:hAnsi="Arial"/>
          <w:sz w:val="20"/>
          <w:szCs w:val="20"/>
          <w:color w:val="auto"/>
        </w:rPr>
      </w:pPr>
    </w:p>
    <w:p>
      <w:pPr>
        <w:jc w:val="both"/>
        <w:ind w:left="860" w:right="219" w:hanging="651"/>
        <w:spacing w:after="0" w:line="277"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signing this letter agreement, you agree that you: (i) have carefully read this letter agreement in its entirety; (ii) are signing it voluntarily of your own free will; (iii) have had at least 21 days within which to consider its terms (iv) are hereby advised by the Company to consult with an attorney of your choosing in connection with your decision whether to accept this letter agreement, (v) fully understand the significance of all of the terms and conditions of this letter agreement and have discussed them with an attorney of your choice, or have had a reasonable opportunity to do so; and (vi) you agree to abide by all of the terms and conditions contained herein.</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Understood and Agreed to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/s/ Aris Kekedjian</w:t>
      </w:r>
      <w:r>
        <w:rPr>
          <w:rFonts w:ascii="Arial" w:cs="Arial" w:eastAsia="Arial" w:hAnsi="Arial"/>
          <w:sz w:val="20"/>
          <w:szCs w:val="20"/>
          <w:color w:val="auto"/>
        </w:rPr>
        <w:t>_______________</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Aris Kekedjian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executed: November 7, 2021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150" w:name="page151"/>
    <w:bookmarkEnd w:id="150"/>
    <w:p>
      <w:pPr>
        <w:jc w:val="right"/>
        <w:ind w:right="119"/>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ICAHN ENTERPRISES L.P.</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UNIT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THE</w:t>
      </w:r>
    </w:p>
    <w:p>
      <w:pPr>
        <w:jc w:val="center"/>
        <w:ind w:right="19"/>
        <w:spacing w:after="0" w:line="230" w:lineRule="auto"/>
        <w:rPr>
          <w:sz w:val="20"/>
          <w:szCs w:val="20"/>
          <w:color w:val="auto"/>
        </w:rPr>
      </w:pPr>
      <w:r>
        <w:rPr>
          <w:rFonts w:ascii="Arial" w:cs="Arial" w:eastAsia="Arial" w:hAnsi="Arial"/>
          <w:sz w:val="22"/>
          <w:szCs w:val="22"/>
          <w:b w:val="1"/>
          <w:bCs w:val="1"/>
          <w:color w:val="auto"/>
        </w:rPr>
        <w:t>ICAHN ENTERPRISES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2017 LONG-TERM INCENTIVE PLAN</w:t>
      </w:r>
    </w:p>
    <w:p>
      <w:pPr>
        <w:spacing w:after="0" w:line="200" w:lineRule="exact"/>
        <w:rPr>
          <w:sz w:val="20"/>
          <w:szCs w:val="20"/>
          <w:color w:val="auto"/>
        </w:rPr>
      </w:pPr>
    </w:p>
    <w:p>
      <w:pPr>
        <w:spacing w:after="0" w:line="279" w:lineRule="exact"/>
        <w:rPr>
          <w:sz w:val="20"/>
          <w:szCs w:val="20"/>
          <w:color w:val="auto"/>
        </w:rPr>
      </w:pPr>
    </w:p>
    <w:p>
      <w:pPr>
        <w:jc w:val="both"/>
        <w:ind w:left="460" w:right="479" w:firstLine="648"/>
        <w:spacing w:after="0" w:line="243"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effective as of December 9, 2021 by and between Icahn Enterprises L.P., a Delaware limited partnership (the “</w:t>
      </w:r>
      <w:r>
        <w:rPr>
          <w:rFonts w:ascii="Arial" w:cs="Arial" w:eastAsia="Arial" w:hAnsi="Arial"/>
          <w:sz w:val="22"/>
          <w:szCs w:val="22"/>
          <w:b w:val="1"/>
          <w:bCs w:val="1"/>
          <w:u w:val="single" w:color="auto"/>
          <w:color w:val="auto"/>
        </w:rPr>
        <w:t>Partnership</w:t>
      </w:r>
      <w:r>
        <w:rPr>
          <w:rFonts w:ascii="Arial" w:cs="Arial" w:eastAsia="Arial" w:hAnsi="Arial"/>
          <w:sz w:val="22"/>
          <w:szCs w:val="22"/>
          <w:color w:val="auto"/>
        </w:rPr>
        <w:t>”), and David Willetts (the “</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ind w:left="460" w:right="479" w:firstLine="648"/>
        <w:spacing w:after="0" w:line="235" w:lineRule="auto"/>
        <w:rPr>
          <w:sz w:val="20"/>
          <w:szCs w:val="20"/>
          <w:color w:val="auto"/>
        </w:rPr>
      </w:pPr>
      <w:r>
        <w:rPr>
          <w:rFonts w:ascii="Arial" w:cs="Arial" w:eastAsia="Arial" w:hAnsi="Arial"/>
          <w:sz w:val="22"/>
          <w:szCs w:val="22"/>
          <w:color w:val="auto"/>
        </w:rPr>
        <w:t>The Committee hereby grants to the Participant as a Service Provider of the Partnership or any of its Affiliates (collectively, the Partnership and its Affiliates shall be referred to herein as the “</w:t>
      </w: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as of the date hereof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pursuant to the Icahn Enterprises L.P. 2017 Long-Term Incentive Plan, as it may be amended from time to time (the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number of deferred Units of the Partnership (“</w:t>
      </w:r>
      <w:r>
        <w:rPr>
          <w:rFonts w:ascii="Arial" w:cs="Arial" w:eastAsia="Arial" w:hAnsi="Arial"/>
          <w:sz w:val="22"/>
          <w:szCs w:val="22"/>
          <w:b w:val="1"/>
          <w:bCs w:val="1"/>
          <w:u w:val="single" w:color="auto"/>
          <w:color w:val="auto"/>
        </w:rPr>
        <w:t>Deferred Units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below.</w:t>
      </w:r>
    </w:p>
    <w:p>
      <w:pPr>
        <w:spacing w:after="0" w:line="201" w:lineRule="exact"/>
        <w:rPr>
          <w:sz w:val="20"/>
          <w:szCs w:val="20"/>
          <w:color w:val="auto"/>
        </w:rPr>
      </w:pPr>
    </w:p>
    <w:p>
      <w:pPr>
        <w:jc w:val="both"/>
        <w:ind w:left="460" w:right="479" w:firstLine="648"/>
        <w:spacing w:after="0" w:line="249" w:lineRule="auto"/>
        <w:rPr>
          <w:sz w:val="20"/>
          <w:szCs w:val="20"/>
          <w:color w:val="auto"/>
        </w:rPr>
      </w:pPr>
      <w:r>
        <w:rPr>
          <w:rFonts w:ascii="Arial" w:cs="Arial" w:eastAsia="Arial" w:hAnsi="Arial"/>
          <w:sz w:val="21"/>
          <w:szCs w:val="21"/>
          <w:color w:val="auto"/>
        </w:rPr>
        <w:t>Except as otherwise indicated, any capitalized term used but not defined herein shall have the meaning ascribed to such term in the Plan. A copy of the Plan has been delivered to the Participant. By signing and returning this Agreement, the Participant acknowledges having received and read a copy of the Plan and agrees to comply with the Plan, this Agreement and all applicable laws and regulations.</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Accordingly, the parties hereto agree as follows:</w:t>
      </w:r>
    </w:p>
    <w:p>
      <w:pPr>
        <w:spacing w:after="0" w:line="200" w:lineRule="exact"/>
        <w:rPr>
          <w:sz w:val="20"/>
          <w:szCs w:val="20"/>
          <w:color w:val="auto"/>
        </w:rPr>
      </w:pPr>
    </w:p>
    <w:p>
      <w:pPr>
        <w:jc w:val="both"/>
        <w:ind w:left="460" w:right="479" w:firstLine="655"/>
        <w:spacing w:after="0" w:line="246" w:lineRule="auto"/>
        <w:tabs>
          <w:tab w:leader="none" w:pos="1756"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Deferred Units</w:t>
      </w:r>
      <w:r>
        <w:rPr>
          <w:rFonts w:ascii="Arial" w:cs="Arial" w:eastAsia="Arial" w:hAnsi="Arial"/>
          <w:sz w:val="21"/>
          <w:szCs w:val="21"/>
          <w:color w:val="auto"/>
        </w:rPr>
        <w:t>. Subject in all respects to the Plan and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herein and therein, effective as of the Grant Date, the Partnership hereby awards to the Participant 69,498 Deferred Units. Each Deferred Unit represents the Participant’s right to receive, and the Partnership’s obligation to deliver, one Unit for each Deferred Unit, or, in the discretion of the Board, an amount in cash equal to the Value (as defined below) of one Unit, subject to the vesting conditions set forth in Section 2 below and the other terms and conditions of this Agreement and the Plan. The Deferred Units shall be credited to a book entry account maintained by the Partnership (or its designee) on behalf of the Participant.</w:t>
      </w:r>
    </w:p>
    <w:p>
      <w:pPr>
        <w:spacing w:after="0" w:line="188" w:lineRule="exact"/>
        <w:rPr>
          <w:rFonts w:ascii="Arial" w:cs="Arial" w:eastAsia="Arial" w:hAnsi="Arial"/>
          <w:sz w:val="21"/>
          <w:szCs w:val="21"/>
          <w:color w:val="auto"/>
        </w:rPr>
      </w:pPr>
    </w:p>
    <w:p>
      <w:pPr>
        <w:ind w:left="1760" w:hanging="645"/>
        <w:spacing w:after="0"/>
        <w:tabs>
          <w:tab w:leader="none" w:pos="176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of Deferred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right="479" w:firstLine="1303"/>
        <w:spacing w:after="0" w:line="260" w:lineRule="auto"/>
        <w:tabs>
          <w:tab w:leader="none" w:pos="2404" w:val="left"/>
        </w:tabs>
        <w:numPr>
          <w:ilvl w:val="1"/>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a Unitholder</w:t>
      </w:r>
      <w:r>
        <w:rPr>
          <w:rFonts w:ascii="Arial" w:cs="Arial" w:eastAsia="Arial" w:hAnsi="Arial"/>
          <w:sz w:val="21"/>
          <w:szCs w:val="21"/>
          <w:color w:val="auto"/>
        </w:rPr>
        <w:t>. The Participant shall not have any rights of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holder of Units with respect to the Deferred Units unless and until the Deferred Units vest and are settled by the issuance of Units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below.</w:t>
      </w:r>
    </w:p>
    <w:p>
      <w:pPr>
        <w:spacing w:after="0" w:line="160" w:lineRule="exact"/>
        <w:rPr>
          <w:rFonts w:ascii="Arial" w:cs="Arial" w:eastAsia="Arial" w:hAnsi="Arial"/>
          <w:sz w:val="21"/>
          <w:szCs w:val="21"/>
          <w:color w:val="auto"/>
        </w:rPr>
      </w:pPr>
    </w:p>
    <w:p>
      <w:pPr>
        <w:jc w:val="both"/>
        <w:ind w:left="460" w:right="459" w:firstLine="1303"/>
        <w:spacing w:after="0" w:line="300" w:lineRule="auto"/>
        <w:tabs>
          <w:tab w:leader="none" w:pos="2404" w:val="left"/>
        </w:tabs>
        <w:numPr>
          <w:ilvl w:val="1"/>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Participant holds Deferred Units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any dividend is paid on Units (whether in the form of cash or units), the Participant will be entitled to receive a dividend equivalent (a “</w:t>
      </w:r>
      <w:r>
        <w:rPr>
          <w:rFonts w:ascii="Arial" w:cs="Arial" w:eastAsia="Arial" w:hAnsi="Arial"/>
          <w:sz w:val="19"/>
          <w:szCs w:val="19"/>
          <w:b w:val="1"/>
          <w:bCs w:val="1"/>
          <w:u w:val="single" w:color="auto"/>
          <w:color w:val="auto"/>
        </w:rPr>
        <w:t>Dividend Equivalent</w:t>
      </w:r>
      <w:r>
        <w:rPr>
          <w:rFonts w:ascii="Arial" w:cs="Arial" w:eastAsia="Arial" w:hAnsi="Arial"/>
          <w:sz w:val="19"/>
          <w:szCs w:val="19"/>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723265</wp:posOffset>
            </wp:positionV>
            <wp:extent cx="55803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51" w:name="page152"/>
    <w:bookmarkEnd w:id="151"/>
    <w:p>
      <w:pPr>
        <w:jc w:val="both"/>
        <w:ind w:left="460" w:right="479"/>
        <w:spacing w:after="0" w:line="245" w:lineRule="auto"/>
        <w:rPr>
          <w:sz w:val="20"/>
          <w:szCs w:val="20"/>
          <w:color w:val="auto"/>
        </w:rPr>
      </w:pPr>
      <w:r>
        <w:rPr>
          <w:rFonts w:ascii="Arial" w:cs="Arial" w:eastAsia="Arial" w:hAnsi="Arial"/>
          <w:sz w:val="21"/>
          <w:szCs w:val="21"/>
          <w:color w:val="auto"/>
        </w:rPr>
        <w:t>Dividend Equivalent is an amount, for each one Deferred Unit held, equal to the amount of the dividend declared and paid in respect of one Unit. Dividend Equivalents will be credited in cash, provided that if the dividend is payable in the form of Units, the cash amount of the Dividend Equivalent will be equal to the Fair Market Value of the Units as of the date the dividend is paid. Dividend Equivalents will be subject to the same vesting and other conditions as the Deferred Units to which they relate. If and to the extent that the underlying Deferred Units are forfeited, all related Dividend Equivalents shall also be forfeited. Dividend Equivalents will be paid in cash, without interest, at the same time the underlying Deferred Units are settled.</w:t>
      </w:r>
    </w:p>
    <w:p>
      <w:pPr>
        <w:spacing w:after="0" w:line="192" w:lineRule="exact"/>
        <w:rPr>
          <w:sz w:val="20"/>
          <w:szCs w:val="20"/>
          <w:color w:val="auto"/>
        </w:rPr>
      </w:pPr>
    </w:p>
    <w:p>
      <w:pPr>
        <w:ind w:left="2400" w:hanging="637"/>
        <w:spacing w:after="0"/>
        <w:tabs>
          <w:tab w:leader="none" w:pos="2400" w:val="left"/>
        </w:tabs>
        <w:numPr>
          <w:ilvl w:val="1"/>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Deferred Units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460" w:right="479" w:firstLine="1950"/>
        <w:spacing w:after="0" w:line="236" w:lineRule="auto"/>
        <w:tabs>
          <w:tab w:leader="none" w:pos="3053"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Deferred Units (together with any Dividend Equivalents thereon) shall vest in full on the third (3</w:t>
      </w:r>
      <w:r>
        <w:rPr>
          <w:rFonts w:ascii="Arial" w:cs="Arial" w:eastAsia="Arial" w:hAnsi="Arial"/>
          <w:sz w:val="16"/>
          <w:szCs w:val="16"/>
          <w:color w:val="auto"/>
        </w:rPr>
        <w:t>rd</w:t>
      </w:r>
      <w:r>
        <w:rPr>
          <w:rFonts w:ascii="Arial" w:cs="Arial" w:eastAsia="Arial" w:hAnsi="Arial"/>
          <w:sz w:val="22"/>
          <w:szCs w:val="22"/>
          <w:color w:val="auto"/>
        </w:rPr>
        <w:t>) anniversary of the Grant Date (the “</w:t>
      </w: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Participant has not experienced a Termination prior to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remains employed in good standing from the Grant Date up to and including the Vesting Date.</w:t>
      </w:r>
    </w:p>
    <w:p>
      <w:pPr>
        <w:spacing w:after="0" w:line="187" w:lineRule="exact"/>
        <w:rPr>
          <w:rFonts w:ascii="Arial" w:cs="Arial" w:eastAsia="Arial" w:hAnsi="Arial"/>
          <w:sz w:val="22"/>
          <w:szCs w:val="22"/>
          <w:color w:val="auto"/>
        </w:rPr>
      </w:pPr>
    </w:p>
    <w:p>
      <w:pPr>
        <w:jc w:val="both"/>
        <w:ind w:left="460" w:right="479" w:firstLine="1950"/>
        <w:spacing w:after="0" w:line="271" w:lineRule="auto"/>
        <w:tabs>
          <w:tab w:leader="none" w:pos="3053" w:val="left"/>
        </w:tabs>
        <w:numPr>
          <w:ilvl w:val="2"/>
          <w:numId w:val="43"/>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2(c)(i)</w:t>
      </w:r>
      <w:r>
        <w:rPr>
          <w:rFonts w:ascii="Arial" w:cs="Arial" w:eastAsia="Arial" w:hAnsi="Arial"/>
          <w:sz w:val="19"/>
          <w:szCs w:val="19"/>
          <w:color w:val="auto"/>
        </w:rPr>
        <w:t xml:space="preserve">, in the event the Participant’s employment is terminated by the Employer without “Cause” (as defined below) or due to Participant’s death or Disability, in each case prior to the Vesting Date,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Deferred Units (together with any Dividend Equivalents thereon) shall immediately become vested on the date of such Termination or death or Disability, calculated by multiplying the number of Deferred Units by a fraction, the numerator of which is the number of days the Participant was employed by the Employer from the Grant Date until the date of Termination or death or Disability, and the denominator of which is the number of days from the Grant Date until the Vesting Date. The vesting of the Deferred Units on the date of Termination or death or Disability and the settlement of the vested Deferred Units thereafter shall be subject to the Participant’s (or the Participant’s estate’s) execution (and non-revocation) of a general release of claims against the Employer, its officers, directors, managers, employees, agents and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and such Release becoming effective in accordance with its terms, within sixty (60) days following the date of Termination or death or Disability.</w:t>
      </w:r>
    </w:p>
    <w:p>
      <w:pPr>
        <w:spacing w:after="0" w:line="173" w:lineRule="exact"/>
        <w:rPr>
          <w:rFonts w:ascii="Arial" w:cs="Arial" w:eastAsia="Arial" w:hAnsi="Arial"/>
          <w:sz w:val="19"/>
          <w:szCs w:val="19"/>
          <w:color w:val="auto"/>
        </w:rPr>
      </w:pPr>
    </w:p>
    <w:p>
      <w:pPr>
        <w:jc w:val="both"/>
        <w:ind w:left="460" w:right="479" w:firstLine="1951"/>
        <w:spacing w:after="0" w:line="268" w:lineRule="auto"/>
        <w:tabs>
          <w:tab w:leader="none" w:pos="3052" w:val="left"/>
        </w:tabs>
        <w:numPr>
          <w:ilvl w:val="2"/>
          <w:numId w:val="43"/>
        </w:numPr>
        <w:rPr>
          <w:rFonts w:ascii="Arial" w:cs="Arial" w:eastAsia="Arial" w:hAnsi="Arial"/>
          <w:sz w:val="19"/>
          <w:szCs w:val="19"/>
          <w:color w:val="auto"/>
        </w:rPr>
      </w:pPr>
      <w:r>
        <w:rPr>
          <w:rFonts w:ascii="Arial" w:cs="Arial" w:eastAsia="Arial" w:hAnsi="Arial"/>
          <w:sz w:val="19"/>
          <w:szCs w:val="19"/>
          <w:color w:val="auto"/>
        </w:rPr>
        <w:t>Notwithstanding the definition of “Cause” in the Plan, for all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xml:space="preserve">” shall mean, as determined by the Employer in its sole discretion, the Participant’s: (A) willful failure to perform substantially his duties (other than any such failure resulting from incapacity due to documented Disability); (B) commission of, or indictment for, a felony or any crime involving fraud or embezzlement or dishonestly or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crime or misdemeanor (other than a traffic violation) punishable by imprisonment under federal, state or local law; (C) engagement in an act of fraud or other act of willful dishonesty or misconduct toward the Employer, detrimental to the Employer, or in the performance of the Participant’s duties; (D) negligence in the performance of his employment duties that has a detrimental effect on the Employer;</w:t>
      </w:r>
    </w:p>
    <w:p>
      <w:pPr>
        <w:spacing w:after="0" w:line="8" w:lineRule="exact"/>
        <w:rPr>
          <w:rFonts w:ascii="Arial" w:cs="Arial" w:eastAsia="Arial" w:hAnsi="Arial"/>
          <w:sz w:val="19"/>
          <w:szCs w:val="19"/>
          <w:color w:val="auto"/>
        </w:rPr>
      </w:pPr>
    </w:p>
    <w:p>
      <w:pPr>
        <w:jc w:val="both"/>
        <w:ind w:left="460" w:right="479" w:firstLine="6"/>
        <w:spacing w:after="0" w:line="244" w:lineRule="auto"/>
        <w:tabs>
          <w:tab w:leader="none" w:pos="821" w:val="left"/>
        </w:tabs>
        <w:numPr>
          <w:ilvl w:val="0"/>
          <w:numId w:val="44"/>
        </w:numPr>
        <w:rPr>
          <w:rFonts w:ascii="Arial" w:cs="Arial" w:eastAsia="Arial" w:hAnsi="Arial"/>
          <w:sz w:val="21"/>
          <w:szCs w:val="21"/>
          <w:color w:val="auto"/>
        </w:rPr>
      </w:pPr>
      <w:r>
        <w:rPr>
          <w:rFonts w:ascii="Arial" w:cs="Arial" w:eastAsia="Arial" w:hAnsi="Arial"/>
          <w:sz w:val="21"/>
          <w:szCs w:val="21"/>
          <w:color w:val="auto"/>
        </w:rPr>
        <w:t>violation of a federal or state securities law or regulation; (F) the use of a controlled substance without a prescription or the use of alcohol which, in each case, significantly impairs the Participant’s ability to carry out his duties and responsibilities; (G) material violation of the policies and procedures of the Employer; (H) embezzlement and/or</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558038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152" w:name="page153"/>
    <w:bookmarkEnd w:id="152"/>
    <w:p>
      <w:pPr>
        <w:ind w:left="460" w:right="679"/>
        <w:spacing w:after="0" w:line="274" w:lineRule="auto"/>
        <w:rPr>
          <w:sz w:val="20"/>
          <w:szCs w:val="20"/>
          <w:color w:val="auto"/>
        </w:rPr>
      </w:pPr>
      <w:r>
        <w:rPr>
          <w:rFonts w:ascii="Arial" w:cs="Arial" w:eastAsia="Arial" w:hAnsi="Arial"/>
          <w:sz w:val="21"/>
          <w:szCs w:val="21"/>
          <w:color w:val="auto"/>
        </w:rPr>
        <w:t>misappropriation of property of the Employer; or (I) engaging in conduct involving any immoral acts which is reasonably likely to impair the reputation of the Employer.</w:t>
      </w:r>
    </w:p>
    <w:p>
      <w:pPr>
        <w:spacing w:after="0" w:line="158" w:lineRule="exact"/>
        <w:rPr>
          <w:sz w:val="20"/>
          <w:szCs w:val="20"/>
          <w:color w:val="auto"/>
        </w:rPr>
      </w:pPr>
    </w:p>
    <w:p>
      <w:pPr>
        <w:jc w:val="both"/>
        <w:ind w:left="460" w:right="479" w:firstLine="1303"/>
        <w:spacing w:after="0" w:line="274" w:lineRule="auto"/>
        <w:tabs>
          <w:tab w:leader="none" w:pos="2404" w:val="left"/>
        </w:tabs>
        <w:numPr>
          <w:ilvl w:val="1"/>
          <w:numId w:val="45"/>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color w:val="auto"/>
        </w:rPr>
        <w:t>. Except as provided in Section 2(c)(ii) above,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forfeit to the Partnership, without compensation, any and all unvested Deferred Units (together with all Dividend Equivalents in respect of such unvested Deferred Units) immediately upon the Termination of Participant’s employment by the Partnership for Cause or by the Participant for any reason. In addition, if the Participant’s employment is terminated by the Employer without Cause or due to Participant’s death or Disability, in each case prior to the Vesting Date, and the Participant (or the Participant’s estate) does not timely execute the Release, or the Release has not become irrevocable by its terms on or before the sixtieth (60th) day following the date of Participant’s Termination, all Deferred Units and all Dividend Equivalents related thereto shall immediately be forfeited without compensation.</w:t>
      </w:r>
    </w:p>
    <w:p>
      <w:pPr>
        <w:spacing w:after="0" w:line="151" w:lineRule="exact"/>
        <w:rPr>
          <w:rFonts w:ascii="Arial" w:cs="Arial" w:eastAsia="Arial" w:hAnsi="Arial"/>
          <w:sz w:val="19"/>
          <w:szCs w:val="19"/>
          <w:color w:val="auto"/>
        </w:rPr>
      </w:pPr>
    </w:p>
    <w:p>
      <w:pPr>
        <w:jc w:val="both"/>
        <w:ind w:left="460" w:right="479" w:firstLine="654"/>
        <w:spacing w:after="0" w:line="270" w:lineRule="auto"/>
        <w:tabs>
          <w:tab w:leader="none" w:pos="1757"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Within sixty (60) days following the Vesting Date or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death or Disability, as applicable, the Employer shall (i) issue and deliver to the Participant (or the Participant’s estate) that number of Units (together with all Dividend Equivalents in respect of such vested Deferred Units) equal to the number of vested Deferred Units, and (ii) deposit such Units into a brokerage account designated by the Participant (and once deposited in such account, the Units shall be non-forfeitable and freely transferrable, subject to applicable law). Notwithstanding the foregoing, the Board may, in its sole discretion, settle the vested Deferred Units (or any portion thereof) by paying the Participant (or the Participant’s estate) an amount in cash equal to the product of (A) the “Value” (as defined below) of one Unit on the date of settlement, and (B) the number of any such vested Deferred Units. Notwithstanding anything to the contrary, if such sixty (60)-day period following the Termination or death or Disability begins in one calendar year and ends in a second calendar year, the vested Deferred Units will be settled in the second calendar year. For all purposes of this Agreement, “</w:t>
      </w:r>
      <w:r>
        <w:rPr>
          <w:rFonts w:ascii="Arial" w:cs="Arial" w:eastAsia="Arial" w:hAnsi="Arial"/>
          <w:sz w:val="19"/>
          <w:szCs w:val="19"/>
          <w:b w:val="1"/>
          <w:bCs w:val="1"/>
          <w:u w:val="single" w:color="auto"/>
          <w:color w:val="auto"/>
        </w:rPr>
        <w:t>Value</w:t>
      </w:r>
      <w:r>
        <w:rPr>
          <w:rFonts w:ascii="Arial" w:cs="Arial" w:eastAsia="Arial" w:hAnsi="Arial"/>
          <w:sz w:val="19"/>
          <w:szCs w:val="19"/>
          <w:color w:val="auto"/>
        </w:rPr>
        <w:t>” shall mean the volume weighted average price of one Unit for the one hundred and eighty (180)-day period ending on the trading day immediately prior to the settlement date, as reported on the principal national securities exchange in the United States on which the Units are then traded, or, if not traded on any such national securities exchange, as quoted on an automated quotation system sponsored by the Financial Industry Regulatory Authority. If the Units are not traded, listed or otherwise reported or quoted, then the Value of one Unit shall mean the Fair Market Value of one Unit.</w:t>
      </w:r>
    </w:p>
    <w:p>
      <w:pPr>
        <w:spacing w:after="0" w:line="173" w:lineRule="exact"/>
        <w:rPr>
          <w:rFonts w:ascii="Arial" w:cs="Arial" w:eastAsia="Arial" w:hAnsi="Arial"/>
          <w:sz w:val="19"/>
          <w:szCs w:val="19"/>
          <w:color w:val="auto"/>
        </w:rPr>
      </w:pPr>
    </w:p>
    <w:p>
      <w:pPr>
        <w:jc w:val="both"/>
        <w:ind w:left="460" w:right="479" w:firstLine="655"/>
        <w:spacing w:after="0" w:line="283" w:lineRule="auto"/>
        <w:tabs>
          <w:tab w:leader="none" w:pos="1756"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Legal Restrictions</w:t>
      </w:r>
      <w:r>
        <w:rPr>
          <w:rFonts w:ascii="Arial" w:cs="Arial" w:eastAsia="Arial" w:hAnsi="Arial"/>
          <w:sz w:val="19"/>
          <w:szCs w:val="19"/>
          <w:color w:val="auto"/>
        </w:rPr>
        <w:t>. The Plan, this Agreement, the granting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of the Deferred Units, and any obligations of the Partnership under the Plan and this Agreement, shall be subject to all applicable federal, state and local laws, rules and regulations, and to such approvals by any regulatory or governmental agency as may be required, and to any rules or regulations of any exchange on which the Units are listed.</w:t>
      </w:r>
    </w:p>
    <w:p>
      <w:pPr>
        <w:spacing w:after="0" w:line="156" w:lineRule="exact"/>
        <w:rPr>
          <w:rFonts w:ascii="Arial" w:cs="Arial" w:eastAsia="Arial" w:hAnsi="Arial"/>
          <w:sz w:val="19"/>
          <w:szCs w:val="19"/>
          <w:color w:val="auto"/>
        </w:rPr>
      </w:pPr>
    </w:p>
    <w:p>
      <w:pPr>
        <w:ind w:left="1760" w:hanging="645"/>
        <w:spacing w:after="0"/>
        <w:tabs>
          <w:tab w:leader="none" w:pos="176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460" w:right="479" w:firstLine="1302"/>
        <w:spacing w:after="0" w:line="275" w:lineRule="auto"/>
        <w:tabs>
          <w:tab w:leader="none" w:pos="2405" w:val="left"/>
        </w:tabs>
        <w:numPr>
          <w:ilvl w:val="1"/>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The Partnership or any Affiliate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withhold from any compensation or other amount owing to the Participant due to settlement of the Deferred Units applicable withholding taxes as provided in Section 3.9 of the Plan. The Participant acknowledges that, regardless of any action the Employer takes with respect to any or all income tax, employment tax, payroll tax, foreign tax, local tax or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301625</wp:posOffset>
            </wp:positionV>
            <wp:extent cx="558038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3" w:name="page154"/>
    <w:bookmarkEnd w:id="153"/>
    <w:p>
      <w:pPr>
        <w:jc w:val="both"/>
        <w:ind w:left="460" w:right="479"/>
        <w:spacing w:after="0" w:line="273" w:lineRule="auto"/>
        <w:rPr>
          <w:sz w:val="20"/>
          <w:szCs w:val="20"/>
          <w:color w:val="auto"/>
        </w:rPr>
      </w:pPr>
      <w:r>
        <w:rPr>
          <w:rFonts w:ascii="Arial" w:cs="Arial" w:eastAsia="Arial" w:hAnsi="Arial"/>
          <w:sz w:val="19"/>
          <w:szCs w:val="19"/>
          <w:color w:val="auto"/>
        </w:rPr>
        <w:t>any other taxes related to the Participant’s participation in the Plan and the granting, vesting, settlement and/or payment of the Deferred Units (collectively, the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the ultimate liability for all Taxes is and remains his responsibility and may exceed the amount to be withheld by the Employer. The Participant further acknowledges that the Partnership and the Employer (1) make no representations or undertakings regarding the treatment of any Taxes in connection with any aspect of the Deferred Units, including, but not limited to, the granting, vesting, settlement or payment of the Deferred Units, any issuance of Units (if applicable) upon payment or settlement of the Deferred Units, any subsequent sale of Units that may be acquired pursuant to such issuance (if applicable) and the receipt of Dividend Equivalents; and (2) do not commit to structure the terms of the grant or any aspect of the Deferred Units to reduce or eliminate the Participant’s liability for Taxes or achieve any particular tax result.</w:t>
      </w:r>
    </w:p>
    <w:p>
      <w:pPr>
        <w:spacing w:after="0" w:line="163" w:lineRule="exact"/>
        <w:rPr>
          <w:sz w:val="20"/>
          <w:szCs w:val="20"/>
          <w:color w:val="auto"/>
        </w:rPr>
      </w:pPr>
    </w:p>
    <w:p>
      <w:pPr>
        <w:jc w:val="both"/>
        <w:ind w:left="460" w:right="479" w:firstLine="1302"/>
        <w:spacing w:after="0" w:line="272" w:lineRule="auto"/>
        <w:tabs>
          <w:tab w:leader="none" w:pos="2405" w:val="left"/>
        </w:tabs>
        <w:numPr>
          <w:ilvl w:val="1"/>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for Taxes Upon Settlement in Units</w:t>
      </w:r>
      <w:r>
        <w:rPr>
          <w:rFonts w:ascii="Arial" w:cs="Arial" w:eastAsia="Arial" w:hAnsi="Arial"/>
          <w:sz w:val="19"/>
          <w:szCs w:val="19"/>
          <w:color w:val="auto"/>
        </w:rPr>
        <w:t>. If any tax</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is required when the Deferred Units are settled in Units, the Employer shall have the right, but not the obligation, to withhold a portion of the Units that has an aggregate Fair Market Value sufficient to pay all required withholding Taxes thereon, and will pay such amounts to the relevant taxing authorities. The Fair Market Value of any Units withheld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To the maximum extent permitted by law, the Employer has the right to retain without notice from any fees, salary or other amounts (including, without limitation, Units) payable to the Participant, cash having a sufficient value to satisfy any Taxes that the Employer determines cannot be satisfied through the withholding of otherwise deliverable Units or that are due prior to the issuance of Units.</w:t>
      </w:r>
    </w:p>
    <w:p>
      <w:pPr>
        <w:spacing w:after="0" w:line="155" w:lineRule="exact"/>
        <w:rPr>
          <w:rFonts w:ascii="Arial" w:cs="Arial" w:eastAsia="Arial" w:hAnsi="Arial"/>
          <w:sz w:val="19"/>
          <w:szCs w:val="19"/>
          <w:color w:val="auto"/>
        </w:rPr>
      </w:pPr>
    </w:p>
    <w:p>
      <w:pPr>
        <w:jc w:val="both"/>
        <w:ind w:left="460" w:right="479" w:firstLine="654"/>
        <w:spacing w:after="0" w:line="289" w:lineRule="auto"/>
        <w:tabs>
          <w:tab w:leader="none" w:pos="1757" w:val="left"/>
        </w:tabs>
        <w:numPr>
          <w:ilvl w:val="0"/>
          <w:numId w:val="48"/>
        </w:numPr>
        <w:rPr>
          <w:rFonts w:ascii="Arial" w:cs="Arial" w:eastAsia="Arial" w:hAnsi="Arial"/>
          <w:sz w:val="19"/>
          <w:szCs w:val="19"/>
          <w:i w:val="1"/>
          <w:i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The grant of Deferred Units herein is made in</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the services to be rendered by the Participant to the Employer, and the non-disparagement, non-compete and non-solicitation covenants of the Participant contained in the letter between Icahn Enterprises L.P. and the Participant dated December 9, 2021.</w:t>
      </w:r>
    </w:p>
    <w:p>
      <w:pPr>
        <w:spacing w:after="0" w:line="149" w:lineRule="exact"/>
        <w:rPr>
          <w:rFonts w:ascii="Arial" w:cs="Arial" w:eastAsia="Arial" w:hAnsi="Arial"/>
          <w:sz w:val="19"/>
          <w:szCs w:val="19"/>
          <w:i w:val="1"/>
          <w:iCs w:val="1"/>
          <w:color w:val="auto"/>
        </w:rPr>
      </w:pPr>
    </w:p>
    <w:p>
      <w:pPr>
        <w:jc w:val="both"/>
        <w:ind w:left="460" w:right="479" w:firstLine="655"/>
        <w:spacing w:after="0" w:line="245" w:lineRule="auto"/>
        <w:tabs>
          <w:tab w:leader="none" w:pos="1756"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color w:val="auto"/>
        </w:rPr>
        <w:t>. This Agreement is subject to all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If and to the extent that any provision of this Agreement conflicts or is inconsistent with the non-discretionary terms set forth in the Plan, the Plan shall control, and this Agreement shall be deemed to be modified accordingly. Notwithstanding the foregoing, no amendment or modification to the Plan adopted after the date hereof shall adversely affect Participant’s rights under this Agreement without his prior written consent.</w:t>
      </w:r>
    </w:p>
    <w:p>
      <w:pPr>
        <w:spacing w:after="0" w:line="194" w:lineRule="exact"/>
        <w:rPr>
          <w:rFonts w:ascii="Arial" w:cs="Arial" w:eastAsia="Arial" w:hAnsi="Arial"/>
          <w:sz w:val="21"/>
          <w:szCs w:val="21"/>
          <w:color w:val="auto"/>
        </w:rPr>
      </w:pPr>
    </w:p>
    <w:p>
      <w:pPr>
        <w:jc w:val="both"/>
        <w:ind w:left="460" w:right="479" w:firstLine="655"/>
        <w:spacing w:after="0" w:line="300" w:lineRule="auto"/>
        <w:tabs>
          <w:tab w:leader="none" w:pos="1756"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understanding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subject matter hereof and supersedes any prior agreements between the Employer and the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55803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4" w:name="page155"/>
    <w:bookmarkEnd w:id="154"/>
    <w:p>
      <w:pPr>
        <w:jc w:val="both"/>
        <w:ind w:left="460" w:right="479" w:firstLine="655"/>
        <w:spacing w:after="0" w:line="273" w:lineRule="auto"/>
        <w:tabs>
          <w:tab w:leader="none" w:pos="1756"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to be given under the terms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Partnership shall be addressed to the Partnership in care of the General Counsel of the Partnership (or any other person or entity as designated by the Committee) at the Partnership’s principal office, and any notice to be given to a Participant shall be addressed to the Participant at the Participant’s last address reflected on the Employer’s records. By a notice given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either party may hereafter designate a different address for notices to be given to that party. Any notice or communication given hereunder shall be in writing or by electronic means as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below and, if in writing, shall be deemed to have been duly given: (i) when delivered in person; (ii) two (2) days after being sent by United States mail; or (iii) on the first business day following the date of deposit if delivered by a nationally recognized overnight delivery service.</w:t>
      </w:r>
    </w:p>
    <w:p>
      <w:pPr>
        <w:spacing w:after="0" w:line="168" w:lineRule="exact"/>
        <w:rPr>
          <w:rFonts w:ascii="Arial" w:cs="Arial" w:eastAsia="Arial" w:hAnsi="Arial"/>
          <w:sz w:val="19"/>
          <w:szCs w:val="19"/>
          <w:color w:val="auto"/>
        </w:rPr>
      </w:pPr>
    </w:p>
    <w:p>
      <w:pPr>
        <w:jc w:val="both"/>
        <w:ind w:left="460" w:right="479" w:firstLine="655"/>
        <w:spacing w:after="0" w:line="272" w:lineRule="auto"/>
        <w:tabs>
          <w:tab w:leader="none" w:pos="1756"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No Guaranteed Employment or Other Service Relationship</w:t>
      </w:r>
      <w:r>
        <w:rPr>
          <w:rFonts w:ascii="Arial" w:cs="Arial" w:eastAsia="Arial" w:hAnsi="Arial"/>
          <w:sz w:val="19"/>
          <w:szCs w:val="19"/>
          <w:color w:val="auto"/>
        </w:rPr>
        <w:t>. Nothing</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Agreement shall affect the right of the Partnership or any of its Affiliates to terminate the Participant’s employment or other service relationship at any time, with or without Cause, or shall be deemed to create any rights to employment or continued employment or other service relationship. The rights and obligations arising under this Agreement are not intended to and do not affect the Participant’s employment or other service relationship that otherwise exists between the Participant and the Partnership or any of its Affiliates, whether such employment or other service relationship is at will or defined by an employment or other service contract. Moreover, this Agreement is not intended to and does not amend any existing employment or other service contract between the Participant and the Partnership or any of its Affiliates; to the extent there is a conflict between this Agreement and such an employment or other service contract, the employment or other service contract shall govern and take priority.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60" w:right="459" w:firstLine="655"/>
        <w:spacing w:after="0" w:line="234" w:lineRule="auto"/>
        <w:tabs>
          <w:tab w:leader="none" w:pos="175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EACH PARTY TO THIS AGREEMENT, FOR ITSELF AND ITS AFFILIATES, HEREBY IRREVOCABLY AND UNCONDITIONALLY WAIVES TO THE FULLEST EXTENT PERMITTED BY APPLICABLE LAW ALL RIGHT TO TRIAL BY JURY IN ANY ACTION, PROCEEDING OR COUNTERCLAIM (WHETHER BASED ON CONTRACT, TORT OR OTHERWISE) ARISING OUT OF OR RELATING TO THE ACTIONS OF THE PARTIES HERETO OR THEIR RESPECTIVE AFFILIATES PURSUANT TO THIS AGREEMENT OR IN THE NEGOTIATION, ADMINISTRATION, PERFORMANCE OR ENFORCEMENT OF THIS AGREEMENT.</w:t>
      </w:r>
    </w:p>
    <w:p>
      <w:pPr>
        <w:spacing w:after="0" w:line="196" w:lineRule="exact"/>
        <w:rPr>
          <w:rFonts w:ascii="Arial" w:cs="Arial" w:eastAsia="Arial" w:hAnsi="Arial"/>
          <w:sz w:val="22"/>
          <w:szCs w:val="22"/>
          <w:b w:val="1"/>
          <w:bCs w:val="1"/>
          <w:color w:val="auto"/>
        </w:rPr>
      </w:pPr>
    </w:p>
    <w:p>
      <w:pPr>
        <w:jc w:val="both"/>
        <w:ind w:left="460" w:right="479" w:firstLine="655"/>
        <w:spacing w:after="0" w:line="300" w:lineRule="auto"/>
        <w:tabs>
          <w:tab w:leader="none" w:pos="1756"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All section titles and captions in this Agreement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only, shall not be deemed part of this Agreement, and in no way shall define, limit, extend or describe the scope or intent of any provisions of this Agreement.</w:t>
      </w:r>
    </w:p>
    <w:p>
      <w:pPr>
        <w:spacing w:after="0" w:line="139" w:lineRule="exact"/>
        <w:rPr>
          <w:rFonts w:ascii="Arial" w:cs="Arial" w:eastAsia="Arial" w:hAnsi="Arial"/>
          <w:sz w:val="19"/>
          <w:szCs w:val="19"/>
          <w:color w:val="auto"/>
        </w:rPr>
      </w:pPr>
    </w:p>
    <w:p>
      <w:pPr>
        <w:jc w:val="both"/>
        <w:ind w:left="460" w:right="479" w:firstLine="655"/>
        <w:spacing w:after="0" w:line="278" w:lineRule="auto"/>
        <w:tabs>
          <w:tab w:leader="none" w:pos="1756"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Mode of Communications</w:t>
      </w:r>
      <w:r>
        <w:rPr>
          <w:rFonts w:ascii="Arial" w:cs="Arial" w:eastAsia="Arial" w:hAnsi="Arial"/>
          <w:sz w:val="19"/>
          <w:szCs w:val="19"/>
          <w:color w:val="auto"/>
        </w:rPr>
        <w:t>. The Participant agrees,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in lieu of receiving documents in paper format, to accept electronic delivery of any documents that the Partnership or any of its Affiliates may deliver in connection with this grant of Deferred Units and any other grants offered by the Partnership, including, without limitation, prospectuses, grant notifications, account statements, annual or quarterly reports, and other communications. The Participant further agrees that electronic delivery of a document may be made via the Employer’s e-mail system</w:t>
      </w:r>
    </w:p>
    <w:p>
      <w:pPr>
        <w:spacing w:after="0" w:line="18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55803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55" w:name="page156"/>
    <w:bookmarkEnd w:id="155"/>
    <w:p>
      <w:pPr>
        <w:ind w:left="460" w:right="679"/>
        <w:spacing w:after="0" w:line="250" w:lineRule="auto"/>
        <w:rPr>
          <w:sz w:val="20"/>
          <w:szCs w:val="20"/>
          <w:color w:val="auto"/>
        </w:rPr>
      </w:pPr>
      <w:r>
        <w:rPr>
          <w:rFonts w:ascii="Arial" w:cs="Arial" w:eastAsia="Arial" w:hAnsi="Arial"/>
          <w:sz w:val="22"/>
          <w:szCs w:val="22"/>
          <w:color w:val="auto"/>
        </w:rPr>
        <w:t>or by reference to a location on the Employer’s intranet or website or the online brokerage account system.</w:t>
      </w:r>
    </w:p>
    <w:p>
      <w:pPr>
        <w:spacing w:after="0" w:line="182" w:lineRule="exact"/>
        <w:rPr>
          <w:sz w:val="20"/>
          <w:szCs w:val="20"/>
          <w:color w:val="auto"/>
        </w:rPr>
      </w:pPr>
    </w:p>
    <w:p>
      <w:pPr>
        <w:jc w:val="both"/>
        <w:ind w:left="460" w:right="479" w:firstLine="655"/>
        <w:spacing w:after="0" w:line="239" w:lineRule="auto"/>
        <w:tabs>
          <w:tab w:leader="none" w:pos="175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No failure by any party to insist upon the strict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covenant, duty, agreement or condition of this Agreement or to exercise any right or remedy consequent upon a breach thereof shall constitute waiver of any such breach or any other covenant, duty, agreement or condition.</w:t>
      </w:r>
    </w:p>
    <w:p>
      <w:pPr>
        <w:spacing w:after="0" w:line="180" w:lineRule="exact"/>
        <w:rPr>
          <w:rFonts w:ascii="Arial" w:cs="Arial" w:eastAsia="Arial" w:hAnsi="Arial"/>
          <w:sz w:val="22"/>
          <w:szCs w:val="22"/>
          <w:color w:val="auto"/>
        </w:rPr>
      </w:pPr>
    </w:p>
    <w:p>
      <w:pPr>
        <w:jc w:val="both"/>
        <w:ind w:left="460" w:right="479" w:firstLine="655"/>
        <w:spacing w:after="0" w:line="234" w:lineRule="auto"/>
        <w:tabs>
          <w:tab w:leader="none" w:pos="175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declared or found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illegal, unenforceable or void, in whole or in part, then the parties hereto shall be relieved of all obligations arising under such provision, but only to the extent that it is illegal, unenforceable or void, it being the intent and agreement of the parties hereto that this Agreement shall be deemed amended by modifying such provision to the extent necessary to make it legal and enforceable while preserving its intent or, if that is not possible, by substituting therefor another provision that is legal and enforceable and achieves the same objectives.</w:t>
      </w:r>
    </w:p>
    <w:p>
      <w:pPr>
        <w:spacing w:after="0" w:line="200" w:lineRule="exact"/>
        <w:rPr>
          <w:rFonts w:ascii="Arial" w:cs="Arial" w:eastAsia="Arial" w:hAnsi="Arial"/>
          <w:sz w:val="22"/>
          <w:szCs w:val="22"/>
          <w:color w:val="auto"/>
        </w:rPr>
      </w:pPr>
    </w:p>
    <w:p>
      <w:pPr>
        <w:jc w:val="both"/>
        <w:ind w:left="460" w:right="479" w:firstLine="655"/>
        <w:spacing w:after="0" w:line="300" w:lineRule="auto"/>
        <w:tabs>
          <w:tab w:leader="none" w:pos="1756"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counterparts, all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constitute one agreement binding on all the parties hereto, notwithstanding that all such parties are not signatories to the original or the same counterpart.</w:t>
      </w:r>
    </w:p>
    <w:p>
      <w:pPr>
        <w:spacing w:after="0" w:line="139" w:lineRule="exact"/>
        <w:rPr>
          <w:rFonts w:ascii="Arial" w:cs="Arial" w:eastAsia="Arial" w:hAnsi="Arial"/>
          <w:sz w:val="19"/>
          <w:szCs w:val="19"/>
          <w:color w:val="auto"/>
        </w:rPr>
      </w:pPr>
    </w:p>
    <w:p>
      <w:pPr>
        <w:jc w:val="both"/>
        <w:ind w:left="460" w:right="479" w:firstLine="655"/>
        <w:spacing w:after="0" w:line="243" w:lineRule="auto"/>
        <w:tabs>
          <w:tab w:leader="none" w:pos="175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New York, without giving effect to its principles of conflict of laws.</w:t>
      </w:r>
    </w:p>
    <w:p>
      <w:pPr>
        <w:spacing w:after="0" w:line="176" w:lineRule="exact"/>
        <w:rPr>
          <w:rFonts w:ascii="Arial" w:cs="Arial" w:eastAsia="Arial" w:hAnsi="Arial"/>
          <w:sz w:val="22"/>
          <w:szCs w:val="22"/>
          <w:color w:val="auto"/>
        </w:rPr>
      </w:pPr>
    </w:p>
    <w:p>
      <w:pPr>
        <w:jc w:val="both"/>
        <w:ind w:left="460" w:right="479" w:firstLine="654"/>
        <w:spacing w:after="0" w:line="278" w:lineRule="auto"/>
        <w:tabs>
          <w:tab w:leader="none" w:pos="1757"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Although the Employer does not guarantee to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particular tax treatment relating to the Award under this Agreement, it is intended that all payments pursuant to this Award shall be exempt from Section 409A, and this Agreement shall be interpreted and administered in accordance with such intentions. In no event shall the Partnership or any of its Affiliates be liable for any additional tax, interest or penalties that may be imposed on the Participant by reason of Section 409A or any damages for failing to qualify for an exemption from, or comply with, Section 409A.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Remainder of Page Intentionally Left Blank</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461645</wp:posOffset>
            </wp:positionV>
            <wp:extent cx="55803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402" w:right="1440" w:bottom="1440" w:gutter="0" w:footer="0" w:header="0"/>
        </w:sectPr>
      </w:pPr>
    </w:p>
    <w:bookmarkStart w:id="156" w:name="page157"/>
    <w:bookmarkEnd w:id="156"/>
    <w:p>
      <w:pPr>
        <w:ind w:left="460" w:right="319" w:firstLine="648"/>
        <w:spacing w:after="0" w:line="250" w:lineRule="auto"/>
        <w:rPr>
          <w:sz w:val="20"/>
          <w:szCs w:val="20"/>
          <w:color w:val="auto"/>
        </w:rPr>
      </w:pPr>
      <w:r>
        <w:rPr>
          <w:rFonts w:ascii="Arial" w:cs="Arial" w:eastAsia="Arial" w:hAnsi="Arial"/>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21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ICAHN ENTERPRISES L.P.</w:t>
      </w:r>
    </w:p>
    <w:p>
      <w:pPr>
        <w:spacing w:after="0" w:line="229" w:lineRule="exact"/>
        <w:rPr>
          <w:sz w:val="20"/>
          <w:szCs w:val="20"/>
          <w:color w:val="auto"/>
        </w:rPr>
      </w:pPr>
    </w:p>
    <w:tbl>
      <w:tblPr>
        <w:tblLayout w:type="fixed"/>
        <w:tblInd w:w="4340" w:type="dxa"/>
        <w:tblCellMar>
          <w:top w:w="0" w:type="dxa"/>
          <w:left w:w="0" w:type="dxa"/>
          <w:bottom w:w="0" w:type="dxa"/>
          <w:right w:w="0" w:type="dxa"/>
        </w:tblCellMar>
      </w:tblPr>
      <w:tr>
        <w:trPr>
          <w:trHeight w:val="253"/>
        </w:trPr>
        <w:tc>
          <w:tcPr>
            <w:tcW w:w="640" w:type="dxa"/>
            <w:vAlign w:val="bottom"/>
            <w:gridSpan w:val="2"/>
          </w:tcPr>
          <w:p>
            <w:pPr>
              <w:spacing w:after="0"/>
              <w:rPr>
                <w:sz w:val="20"/>
                <w:szCs w:val="20"/>
                <w:color w:val="auto"/>
              </w:rPr>
            </w:pPr>
            <w:r>
              <w:rPr>
                <w:rFonts w:ascii="Arial" w:cs="Arial" w:eastAsia="Arial" w:hAnsi="Arial"/>
                <w:sz w:val="22"/>
                <w:szCs w:val="22"/>
                <w:color w:val="auto"/>
              </w:rPr>
              <w:t>By:</w:t>
            </w:r>
          </w:p>
        </w:tc>
        <w:tc>
          <w:tcPr>
            <w:tcW w:w="3420" w:type="dxa"/>
            <w:vAlign w:val="bottom"/>
            <w:gridSpan w:val="5"/>
          </w:tcPr>
          <w:p>
            <w:pPr>
              <w:ind w:left="160"/>
              <w:spacing w:after="0"/>
              <w:rPr>
                <w:sz w:val="20"/>
                <w:szCs w:val="20"/>
                <w:color w:val="auto"/>
              </w:rPr>
            </w:pPr>
            <w:r>
              <w:rPr>
                <w:rFonts w:ascii="Arial" w:cs="Arial" w:eastAsia="Arial" w:hAnsi="Arial"/>
                <w:sz w:val="22"/>
                <w:szCs w:val="22"/>
                <w:color w:val="auto"/>
                <w:w w:val="86"/>
              </w:rPr>
              <w:t>Icahn Enterprises G.P. Inc., its general</w:t>
            </w:r>
          </w:p>
        </w:tc>
      </w:tr>
      <w:tr>
        <w:trPr>
          <w:trHeight w:val="274"/>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gridSpan w:val="3"/>
          </w:tcPr>
          <w:p>
            <w:pPr>
              <w:ind w:left="160"/>
              <w:spacing w:after="0"/>
              <w:rPr>
                <w:sz w:val="20"/>
                <w:szCs w:val="20"/>
                <w:color w:val="auto"/>
              </w:rPr>
            </w:pPr>
            <w:r>
              <w:rPr>
                <w:rFonts w:ascii="Arial" w:cs="Arial" w:eastAsia="Arial" w:hAnsi="Arial"/>
                <w:sz w:val="22"/>
                <w:szCs w:val="22"/>
                <w:color w:val="auto"/>
              </w:rPr>
              <w:t>partner</w:t>
            </w: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92"/>
        </w:trPr>
        <w:tc>
          <w:tcPr>
            <w:tcW w:w="640" w:type="dxa"/>
            <w:vAlign w:val="bottom"/>
            <w:gridSpan w:val="2"/>
          </w:tcPr>
          <w:p>
            <w:pPr>
              <w:ind w:left="20"/>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4"/>
                <w:szCs w:val="24"/>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/s/Ted Papapostolou</w:t>
            </w:r>
          </w:p>
        </w:tc>
        <w:tc>
          <w:tcPr>
            <w:tcW w:w="14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Pr>
          <w:p>
            <w:pPr>
              <w:ind w:left="40"/>
              <w:spacing w:after="0" w:line="223" w:lineRule="exact"/>
              <w:rPr>
                <w:sz w:val="20"/>
                <w:szCs w:val="20"/>
                <w:color w:val="auto"/>
              </w:rPr>
            </w:pPr>
            <w:r>
              <w:rPr>
                <w:rFonts w:ascii="Arial" w:cs="Arial" w:eastAsia="Arial" w:hAnsi="Arial"/>
                <w:sz w:val="22"/>
                <w:szCs w:val="22"/>
                <w:color w:val="auto"/>
              </w:rPr>
              <w:t>Name:</w:t>
            </w:r>
          </w:p>
        </w:tc>
        <w:tc>
          <w:tcPr>
            <w:tcW w:w="2200" w:type="dxa"/>
            <w:vAlign w:val="bottom"/>
            <w:gridSpan w:val="2"/>
          </w:tcPr>
          <w:p>
            <w:pPr>
              <w:ind w:left="400"/>
              <w:spacing w:after="0" w:line="223" w:lineRule="exact"/>
              <w:rPr>
                <w:sz w:val="20"/>
                <w:szCs w:val="20"/>
                <w:color w:val="auto"/>
              </w:rPr>
            </w:pPr>
            <w:r>
              <w:rPr>
                <w:rFonts w:ascii="Arial" w:cs="Arial" w:eastAsia="Arial" w:hAnsi="Arial"/>
                <w:sz w:val="22"/>
                <w:szCs w:val="22"/>
                <w:color w:val="auto"/>
              </w:rPr>
              <w:t>Ted</w:t>
            </w:r>
          </w:p>
        </w:tc>
      </w:tr>
      <w:tr>
        <w:trPr>
          <w:trHeight w:val="242"/>
        </w:trPr>
        <w:tc>
          <w:tcPr>
            <w:tcW w:w="1860" w:type="dxa"/>
            <w:vAlign w:val="bottom"/>
            <w:gridSpan w:val="5"/>
          </w:tcPr>
          <w:p>
            <w:pPr>
              <w:ind w:left="20"/>
              <w:spacing w:after="0" w:line="242" w:lineRule="exact"/>
              <w:rPr>
                <w:sz w:val="20"/>
                <w:szCs w:val="20"/>
                <w:color w:val="auto"/>
              </w:rPr>
            </w:pPr>
            <w:r>
              <w:rPr>
                <w:rFonts w:ascii="Arial" w:cs="Arial" w:eastAsia="Arial" w:hAnsi="Arial"/>
                <w:sz w:val="22"/>
                <w:szCs w:val="22"/>
                <w:color w:val="auto"/>
              </w:rPr>
              <w:t>Papapostolou</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64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420" w:type="dxa"/>
            <w:vAlign w:val="bottom"/>
            <w:gridSpan w:val="5"/>
          </w:tcPr>
          <w:p>
            <w:pPr>
              <w:ind w:left="160"/>
              <w:spacing w:after="0" w:line="243" w:lineRule="exact"/>
              <w:rPr>
                <w:sz w:val="20"/>
                <w:szCs w:val="20"/>
                <w:color w:val="auto"/>
              </w:rPr>
            </w:pPr>
            <w:r>
              <w:rPr>
                <w:rFonts w:ascii="Arial" w:cs="Arial" w:eastAsia="Arial" w:hAnsi="Arial"/>
                <w:sz w:val="22"/>
                <w:szCs w:val="22"/>
                <w:color w:val="auto"/>
              </w:rPr>
              <w:t>Chief Financial Officer and Chief</w:t>
            </w:r>
          </w:p>
        </w:tc>
      </w:tr>
      <w:tr>
        <w:trPr>
          <w:trHeight w:val="274"/>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20" w:type="dxa"/>
            <w:vAlign w:val="bottom"/>
            <w:gridSpan w:val="5"/>
          </w:tcPr>
          <w:p>
            <w:pPr>
              <w:ind w:left="160"/>
              <w:spacing w:after="0"/>
              <w:rPr>
                <w:sz w:val="20"/>
                <w:szCs w:val="20"/>
                <w:color w:val="auto"/>
              </w:rPr>
            </w:pPr>
            <w:r>
              <w:rPr>
                <w:rFonts w:ascii="Arial" w:cs="Arial" w:eastAsia="Arial" w:hAnsi="Arial"/>
                <w:sz w:val="22"/>
                <w:szCs w:val="22"/>
                <w:color w:val="auto"/>
              </w:rPr>
              <w:t>Accounting Officer</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22"/>
          <w:szCs w:val="22"/>
          <w:u w:val="single" w:color="auto"/>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-17780</wp:posOffset>
            </wp:positionV>
            <wp:extent cx="4114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David Willetts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[David Willetts Deferred</w:t>
      </w:r>
      <w:r>
        <w:rPr>
          <w:rFonts w:ascii="Arial" w:cs="Arial" w:eastAsia="Arial" w:hAnsi="Arial"/>
          <w:sz w:val="19"/>
          <w:szCs w:val="19"/>
          <w:color w:val="auto"/>
        </w:rPr>
        <w:t>7</w:t>
      </w:r>
      <w:r>
        <w:rPr>
          <w:rFonts w:ascii="Arial" w:cs="Arial" w:eastAsia="Arial" w:hAnsi="Arial"/>
          <w:sz w:val="22"/>
          <w:szCs w:val="22"/>
          <w:i w:val="1"/>
          <w:iCs w:val="1"/>
          <w:color w:val="auto"/>
        </w:rPr>
        <w:t>Unit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461645</wp:posOffset>
            </wp:positionV>
            <wp:extent cx="558038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7" w:name="page158"/>
    <w:bookmarkEnd w:id="157"/>
    <w:p>
      <w:pPr>
        <w:ind w:left="3980"/>
        <w:spacing w:after="0"/>
        <w:rPr>
          <w:sz w:val="20"/>
          <w:szCs w:val="20"/>
          <w:color w:val="auto"/>
        </w:rPr>
      </w:pPr>
      <w:r>
        <w:rPr>
          <w:rFonts w:ascii="Arial" w:cs="Arial" w:eastAsia="Arial" w:hAnsi="Arial"/>
          <w:sz w:val="22"/>
          <w:szCs w:val="22"/>
          <w:b w:val="1"/>
          <w:bCs w:val="1"/>
          <w:u w:val="single" w:color="auto"/>
          <w:color w:val="auto"/>
        </w:rPr>
        <w:t>Exhibit A General</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104" w:lineRule="exact"/>
        <w:rPr>
          <w:sz w:val="20"/>
          <w:szCs w:val="20"/>
          <w:color w:val="auto"/>
        </w:rPr>
      </w:pPr>
    </w:p>
    <w:p>
      <w:pPr>
        <w:jc w:val="both"/>
        <w:ind w:left="460" w:right="479"/>
        <w:spacing w:after="0" w:line="274" w:lineRule="auto"/>
        <w:rPr>
          <w:sz w:val="20"/>
          <w:szCs w:val="20"/>
          <w:color w:val="auto"/>
        </w:rPr>
      </w:pPr>
      <w:r>
        <w:rPr>
          <w:rFonts w:ascii="Arial" w:cs="Arial" w:eastAsia="Arial" w:hAnsi="Arial"/>
          <w:sz w:val="19"/>
          <w:szCs w:val="19"/>
          <w:color w:val="auto"/>
        </w:rPr>
        <w:t>This General Release of All Claims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dated as of December 9, 2021, is made by David Willetts (“</w:t>
      </w:r>
      <w:r>
        <w:rPr>
          <w:rFonts w:ascii="Arial" w:cs="Arial" w:eastAsia="Arial" w:hAnsi="Arial"/>
          <w:sz w:val="19"/>
          <w:szCs w:val="19"/>
          <w:u w:val="single" w:color="auto"/>
          <w:color w:val="auto"/>
        </w:rPr>
        <w:t>Employee</w:t>
      </w:r>
      <w:r>
        <w:rPr>
          <w:rFonts w:ascii="Arial" w:cs="Arial" w:eastAsia="Arial" w:hAnsi="Arial"/>
          <w:sz w:val="19"/>
          <w:szCs w:val="19"/>
          <w:color w:val="auto"/>
        </w:rPr>
        <w:t>”) under the Deferred Unit Agreement dated December 9, 2021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pursuant to the Icahn Enterprises L.P. 2017 Long-Term 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good and valuable consideration, the receipt and sufficiency of which is hereby acknowledged. Unless otherwise defined herein, the terms defined in the Award Agreement or the Plan, as applicable, shall have the same defined meaning in this General Release. For purposes of this General Release, the “</w:t>
      </w:r>
      <w:r>
        <w:rPr>
          <w:rFonts w:ascii="Arial" w:cs="Arial" w:eastAsia="Arial" w:hAnsi="Arial"/>
          <w:sz w:val="19"/>
          <w:szCs w:val="19"/>
          <w:u w:val="single" w:color="auto"/>
          <w:color w:val="auto"/>
        </w:rPr>
        <w:t>Company</w:t>
      </w:r>
      <w:r>
        <w:rPr>
          <w:rFonts w:ascii="Arial" w:cs="Arial" w:eastAsia="Arial" w:hAnsi="Arial"/>
          <w:sz w:val="19"/>
          <w:szCs w:val="19"/>
          <w:color w:val="auto"/>
        </w:rPr>
        <w:t>” means, collectively, Icahn Enterprises L.P., Icahn Enterprises Holdings L.P., Icahn Capital LP, and their respective Affiliates.</w:t>
      </w:r>
    </w:p>
    <w:p>
      <w:pPr>
        <w:spacing w:after="0" w:line="185" w:lineRule="exact"/>
        <w:rPr>
          <w:sz w:val="20"/>
          <w:szCs w:val="20"/>
          <w:color w:val="auto"/>
        </w:rPr>
      </w:pPr>
    </w:p>
    <w:p>
      <w:pPr>
        <w:jc w:val="both"/>
        <w:ind w:left="460" w:right="479" w:firstLine="654"/>
        <w:spacing w:after="0" w:line="268" w:lineRule="auto"/>
        <w:tabs>
          <w:tab w:leader="none" w:pos="1757"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Employee, for himself, his spouse, heirs, administrators, children, representatives, executors, successors, assigns, and all other persons claiming through Employee, if any, does hereby release, waive, and forever discharge the Company and its officers, directors, employees and agents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and does fully waive any obligations of Releasees to Employee for, any and all liability, actions, charges, causes of action, demands, damages, or claims for relief, remuneration, sums of money, accounts or expenses (including, without limitation, attorneys’ fees and costs) of any kind whatsoever, whether known or unknown or contingent or absolute, which heretofore has been or may have been suffered or sustained, directly or indirectly, by Employee in consequence of, arising out of, or in any way relating to Employee’s employment with the Company and the termination of Employee’s employment. The foregoing release, discharge and waiver includes, but is not limited to, all claims, and any obligations or causes of action arising from such claims, under common or statutory law including, without limitation, any state or federal discrimination, fair employment practices or any other employment-related statute or regulation (as they may have been amended through the date of this General Release) prohibiting discrimination or harassment based upon any protected status including, without limitation, race, color, religion, national origin, age, gender, marital status, disability, handicap, veteran status or sexual orientation. Without limitation, specifically included in this paragraph are any and all waivable claims arising under the Federal Rehabilitation Act, the Age Discrimination in Employment Act of 1967, Title VII of the Civil Rights Act of 1964, Sections 1981 through 1988 of Title 42 of the United States Code, the Americans with Disabilities Act, the Equal Pay Act, the Older Workers Benefits Protection Act, the Genetic Information Non-Discrimination Act, the Immigration Reform and Control Act, the Uniformed Services Employment and Reemployment Rights Act, the Employee Retirement Income Security Act of 1974, the Family and Medical Leave Act of 1993, the National Labor Relations Act, the Consolidated Omnibus Budget Reconciliation Act of 1985, the Sarbanes-Oxley Act, the Dodd-Frank Act, the Florida Civil Rights Act, the Florida Equal Pay Law, the Florida AIDS Act, the Florida Sickle-Cell Trait Discrimination Law, the Florida Private Whistleblower Protection Law, the Florida Public Whistle- Blower’s Act, the Florida Worker’s Compensation Retaliation Law, the Florida Unpaid Wages Law, the Florida Minimum Wage Act, the Florida Leave to Victims of Domestic Violence Act, the Florida Constitution, and any similar state and federal laws (in each case, as such law was enacted or has been amended). The foregoing release and discharge also</w:t>
      </w:r>
    </w:p>
    <w:p>
      <w:pPr>
        <w:spacing w:after="0" w:line="200" w:lineRule="exact"/>
        <w:rPr>
          <w:sz w:val="20"/>
          <w:szCs w:val="20"/>
          <w:color w:val="auto"/>
        </w:rPr>
      </w:pP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558038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jc w:val="both"/>
        <w:ind w:left="460" w:right="479"/>
        <w:spacing w:after="0" w:line="270" w:lineRule="auto"/>
        <w:rPr>
          <w:sz w:val="20"/>
          <w:szCs w:val="20"/>
          <w:color w:val="auto"/>
        </w:rPr>
      </w:pPr>
      <w:r>
        <w:rPr>
          <w:rFonts w:ascii="Arial" w:cs="Arial" w:eastAsia="Arial" w:hAnsi="Arial"/>
          <w:sz w:val="19"/>
          <w:szCs w:val="19"/>
          <w:color w:val="auto"/>
        </w:rPr>
        <w:t>expressly includes, without limitation, any claims under any state or federal common law theory, including, without limitation, wrongful or retaliatory discharge, breach of express or implied contract, promissory estoppel, unjust enrichment, breach of covenant of good faith and fair dealing, violation of public policy, defamation, interference with contractual relations, intentional or negligent infliction of emotional distress, invasion of privacy, misrepresentation, deceit, fraud or negligence, claims for alleged physical or personal injury, emotional distress relating to or arising out of Employee’s employment with the Company or the termination of that employment; and any claims under the WARN Act or any similar law, which requires, among other things, that advance notice be given of certain work force reductions. All of the claims, liabilities, actions, charges, causes of action, demands, damages, remuneration, sums of money, accounts or expenses described in this Section 1 shall be described, collectively as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Employee waives Employee’s right to any monetary recovery should any agency (such as the Equal Employment Opportunity Commission) pursue any claims on Employee’s behalf. Nothing in this General Release shall be deemed to waive Employee’s right to file a charge with or participate in any investigation or proceeding conducted by the U.S. Equal Employment Opportunity Commission or other government agency, except that even if Employee files a charge or participates in such an investigation or proceeding, Employee will not be able to recover damages or equitable relief of any kind from the Releasees with respect to the Released Claims.</w:t>
      </w:r>
    </w:p>
    <w:p>
      <w:pPr>
        <w:spacing w:after="0" w:line="200" w:lineRule="exact"/>
        <w:rPr>
          <w:sz w:val="20"/>
          <w:szCs w:val="20"/>
          <w:color w:val="auto"/>
        </w:rPr>
      </w:pPr>
    </w:p>
    <w:p>
      <w:pPr>
        <w:spacing w:after="0" w:line="233" w:lineRule="exact"/>
        <w:rPr>
          <w:sz w:val="20"/>
          <w:szCs w:val="20"/>
          <w:color w:val="auto"/>
        </w:rPr>
      </w:pPr>
    </w:p>
    <w:p>
      <w:pPr>
        <w:jc w:val="both"/>
        <w:ind w:left="460" w:right="479" w:firstLine="655"/>
        <w:spacing w:after="0" w:line="238" w:lineRule="auto"/>
        <w:tabs>
          <w:tab w:leader="none" w:pos="1756"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Excluded from this General Release are the following: (i) claims and rights that arise after the date Employee signs this General Release; and (ii) any claims for vested benefits Employee may have under any employee benefit plan subject to the Employee Retirement Income Security Act of 1974, as amended.</w:t>
      </w:r>
    </w:p>
    <w:p>
      <w:pPr>
        <w:spacing w:after="0" w:line="225" w:lineRule="exact"/>
        <w:rPr>
          <w:rFonts w:ascii="Arial" w:cs="Arial" w:eastAsia="Arial" w:hAnsi="Arial"/>
          <w:sz w:val="22"/>
          <w:szCs w:val="22"/>
          <w:color w:val="auto"/>
        </w:rPr>
      </w:pPr>
    </w:p>
    <w:p>
      <w:pPr>
        <w:jc w:val="both"/>
        <w:ind w:left="460" w:right="479" w:firstLine="654"/>
        <w:spacing w:after="0" w:line="234" w:lineRule="auto"/>
        <w:tabs>
          <w:tab w:leader="none" w:pos="1757"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Any unresolved dispute arising out of this General Release shall be litigated in any court of competent jurisdiction in the County of Miami-Dade in the State of Florida;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may elect to pursue a court action to seek injunctive relief in any court of competent jurisdiction to terminate the violation of its proprietary rights, including but not limited to trade secrets, copyrights or trademarks and to protect any confidential information. Each party shall pay its own costs and fees in connection with any litigation hereunder.</w:t>
      </w:r>
    </w:p>
    <w:p>
      <w:pPr>
        <w:spacing w:after="0" w:line="217" w:lineRule="exact"/>
        <w:rPr>
          <w:rFonts w:ascii="Arial" w:cs="Arial" w:eastAsia="Arial" w:hAnsi="Arial"/>
          <w:sz w:val="22"/>
          <w:szCs w:val="22"/>
          <w:color w:val="auto"/>
        </w:rPr>
      </w:pPr>
    </w:p>
    <w:p>
      <w:pPr>
        <w:ind w:left="1760" w:hanging="645"/>
        <w:spacing w:after="0"/>
        <w:tabs>
          <w:tab w:leader="none" w:pos="1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Employee acknowledges and recites that:</w:t>
      </w:r>
    </w:p>
    <w:p>
      <w:pPr>
        <w:spacing w:after="0" w:line="219" w:lineRule="exact"/>
        <w:rPr>
          <w:rFonts w:ascii="Arial" w:cs="Arial" w:eastAsia="Arial" w:hAnsi="Arial"/>
          <w:sz w:val="22"/>
          <w:szCs w:val="22"/>
          <w:color w:val="auto"/>
        </w:rPr>
      </w:pPr>
    </w:p>
    <w:p>
      <w:pPr>
        <w:ind w:left="2420" w:hanging="644"/>
        <w:spacing w:after="0"/>
        <w:tabs>
          <w:tab w:leader="none" w:pos="2420" w:val="left"/>
        </w:tabs>
        <w:numPr>
          <w:ilvl w:val="1"/>
          <w:numId w:val="52"/>
        </w:numPr>
        <w:rPr>
          <w:rFonts w:ascii="Arial" w:cs="Arial" w:eastAsia="Arial" w:hAnsi="Arial"/>
          <w:sz w:val="21"/>
          <w:szCs w:val="21"/>
          <w:color w:val="auto"/>
        </w:rPr>
      </w:pPr>
      <w:r>
        <w:rPr>
          <w:rFonts w:ascii="Arial" w:cs="Arial" w:eastAsia="Arial" w:hAnsi="Arial"/>
          <w:sz w:val="21"/>
          <w:szCs w:val="21"/>
          <w:color w:val="auto"/>
        </w:rPr>
        <w:t>Employee has  executed  this  General  Release  knowingly  and</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voluntarily;</w:t>
      </w:r>
    </w:p>
    <w:p>
      <w:pPr>
        <w:spacing w:after="0" w:line="201" w:lineRule="exact"/>
        <w:rPr>
          <w:rFonts w:ascii="Arial" w:cs="Arial" w:eastAsia="Arial" w:hAnsi="Arial"/>
          <w:sz w:val="21"/>
          <w:szCs w:val="21"/>
          <w:color w:val="auto"/>
        </w:rPr>
      </w:pPr>
    </w:p>
    <w:p>
      <w:pPr>
        <w:ind w:left="2400" w:hanging="629"/>
        <w:spacing w:after="0"/>
        <w:tabs>
          <w:tab w:leader="none" w:pos="24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Employee has read and understands this General Release in its</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entirety;</w:t>
      </w:r>
    </w:p>
    <w:p>
      <w:pPr>
        <w:spacing w:after="0" w:line="201" w:lineRule="exact"/>
        <w:rPr>
          <w:rFonts w:ascii="Arial" w:cs="Arial" w:eastAsia="Arial" w:hAnsi="Arial"/>
          <w:sz w:val="21"/>
          <w:szCs w:val="21"/>
          <w:color w:val="auto"/>
        </w:rPr>
      </w:pPr>
    </w:p>
    <w:p>
      <w:pPr>
        <w:jc w:val="both"/>
        <w:ind w:left="460" w:right="479" w:firstLine="1310"/>
        <w:spacing w:after="0" w:line="297" w:lineRule="auto"/>
        <w:tabs>
          <w:tab w:leader="none" w:pos="24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Employee has been advised and directed orally and in writing (and this subparagraph (c) constitutes such written direction) to seek legal counsel and any other advice he wishes with respect to the terms of this General Release before executing 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558038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9" w:name="page160"/>
    <w:bookmarkEnd w:id="159"/>
    <w:p>
      <w:pPr>
        <w:jc w:val="both"/>
        <w:ind w:left="460" w:right="479" w:firstLine="1310"/>
        <w:spacing w:after="0" w:line="282" w:lineRule="auto"/>
        <w:tabs>
          <w:tab w:leader="none" w:pos="2405" w:val="left"/>
        </w:tabs>
        <w:numPr>
          <w:ilvl w:val="1"/>
          <w:numId w:val="53"/>
        </w:numPr>
        <w:rPr>
          <w:rFonts w:ascii="Arial" w:cs="Arial" w:eastAsia="Arial" w:hAnsi="Arial"/>
          <w:sz w:val="19"/>
          <w:szCs w:val="19"/>
          <w:color w:val="auto"/>
        </w:rPr>
      </w:pPr>
      <w:r>
        <w:rPr>
          <w:rFonts w:ascii="Arial" w:cs="Arial" w:eastAsia="Arial" w:hAnsi="Arial"/>
          <w:sz w:val="19"/>
          <w:szCs w:val="19"/>
          <w:color w:val="auto"/>
        </w:rPr>
        <w:t>Employee’s execution of this General Release has not been forced by any employee or agent of the Company, and Employee has had an opportunity to negotiate about the terms of this General Release and that the agreements and obligations herein are made voluntarily, knowingly and without duress, and that neither the Company nor its agents have made any representation inconsistent with the General Release; and</w:t>
      </w:r>
    </w:p>
    <w:p>
      <w:pPr>
        <w:spacing w:after="0" w:line="174" w:lineRule="exact"/>
        <w:rPr>
          <w:rFonts w:ascii="Arial" w:cs="Arial" w:eastAsia="Arial" w:hAnsi="Arial"/>
          <w:sz w:val="19"/>
          <w:szCs w:val="19"/>
          <w:color w:val="auto"/>
        </w:rPr>
      </w:pPr>
    </w:p>
    <w:p>
      <w:pPr>
        <w:ind w:left="460" w:right="479" w:firstLine="1310"/>
        <w:spacing w:after="0" w:line="250" w:lineRule="auto"/>
        <w:tabs>
          <w:tab w:leader="none" w:pos="2405" w:val="left"/>
        </w:tabs>
        <w:numPr>
          <w:ilvl w:val="1"/>
          <w:numId w:val="53"/>
        </w:numPr>
        <w:rPr>
          <w:rFonts w:ascii="Arial" w:cs="Arial" w:eastAsia="Arial" w:hAnsi="Arial"/>
          <w:sz w:val="22"/>
          <w:szCs w:val="22"/>
          <w:color w:val="auto"/>
        </w:rPr>
      </w:pPr>
      <w:r>
        <w:rPr>
          <w:rFonts w:ascii="Arial" w:cs="Arial" w:eastAsia="Arial" w:hAnsi="Arial"/>
          <w:sz w:val="22"/>
          <w:szCs w:val="22"/>
          <w:color w:val="auto"/>
        </w:rPr>
        <w:t>Employee has been offered 21 calendar days after receipt of this General Release to consider its terms before executing it.</w:t>
      </w:r>
    </w:p>
    <w:p>
      <w:pPr>
        <w:spacing w:after="0" w:line="201" w:lineRule="exact"/>
        <w:rPr>
          <w:rFonts w:ascii="Arial" w:cs="Arial" w:eastAsia="Arial" w:hAnsi="Arial"/>
          <w:sz w:val="22"/>
          <w:szCs w:val="22"/>
          <w:color w:val="auto"/>
        </w:rPr>
      </w:pPr>
    </w:p>
    <w:p>
      <w:pPr>
        <w:jc w:val="both"/>
        <w:ind w:left="460" w:right="479" w:firstLine="654"/>
        <w:spacing w:after="0" w:line="257" w:lineRule="auto"/>
        <w:tabs>
          <w:tab w:leader="none" w:pos="1757"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This General Release shall be governed by, and construed in accordance with, the laws of the United States applicable thereto and the internal laws of the State of Florida, without giving effect to the conflicts of law principles thereof.</w:t>
      </w:r>
    </w:p>
    <w:p>
      <w:pPr>
        <w:spacing w:after="0" w:line="196" w:lineRule="exact"/>
        <w:rPr>
          <w:rFonts w:ascii="Arial" w:cs="Arial" w:eastAsia="Arial" w:hAnsi="Arial"/>
          <w:sz w:val="21"/>
          <w:szCs w:val="21"/>
          <w:color w:val="auto"/>
        </w:rPr>
      </w:pPr>
    </w:p>
    <w:p>
      <w:pPr>
        <w:jc w:val="both"/>
        <w:ind w:left="460" w:right="479" w:firstLine="654"/>
        <w:spacing w:after="0" w:line="235" w:lineRule="auto"/>
        <w:tabs>
          <w:tab w:leader="none" w:pos="17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Employee represents that he has returned all property belonging to the Company required to be returned including, without limitation, keys, access cards, computer software and any other equipment or property. Employee further represents that he has delivered to the Company all documents or materials of any nature belonging to it, whether an original or copies of any kind, including any confidential information, required to be returned.</w:t>
      </w:r>
    </w:p>
    <w:p>
      <w:pPr>
        <w:spacing w:after="0" w:line="214" w:lineRule="exact"/>
        <w:rPr>
          <w:rFonts w:ascii="Arial" w:cs="Arial" w:eastAsia="Arial" w:hAnsi="Arial"/>
          <w:sz w:val="22"/>
          <w:szCs w:val="22"/>
          <w:color w:val="auto"/>
        </w:rPr>
      </w:pPr>
    </w:p>
    <w:p>
      <w:pPr>
        <w:jc w:val="both"/>
        <w:ind w:left="460" w:right="479" w:firstLine="654"/>
        <w:spacing w:after="0" w:line="236" w:lineRule="auto"/>
        <w:tabs>
          <w:tab w:leader="none" w:pos="17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Employee shall have seven days from the date he signs this General Release to revoke it by providing written notice of the revocation to the Company, in which event this General Release shall be unenforceable and null and void. Provided Employee does not revoke this General Release, it shall become effective on the eighth day after Employee signs this General Release.</w:t>
      </w:r>
    </w:p>
    <w:p>
      <w:pPr>
        <w:spacing w:after="0" w:line="227" w:lineRule="exact"/>
        <w:rPr>
          <w:rFonts w:ascii="Arial" w:cs="Arial" w:eastAsia="Arial" w:hAnsi="Arial"/>
          <w:sz w:val="22"/>
          <w:szCs w:val="22"/>
          <w:color w:val="auto"/>
        </w:rPr>
      </w:pPr>
    </w:p>
    <w:p>
      <w:pPr>
        <w:ind w:left="460" w:right="479" w:firstLine="654"/>
        <w:spacing w:after="0" w:line="252" w:lineRule="auto"/>
        <w:tabs>
          <w:tab w:leader="none" w:pos="1757" w:val="left"/>
        </w:tabs>
        <w:numPr>
          <w:ilvl w:val="0"/>
          <w:numId w:val="54"/>
        </w:numPr>
        <w:rPr>
          <w:rFonts w:ascii="Arial" w:cs="Arial" w:eastAsia="Arial" w:hAnsi="Arial"/>
          <w:sz w:val="21"/>
          <w:szCs w:val="21"/>
          <w:color w:val="auto"/>
        </w:rPr>
      </w:pPr>
      <w:r>
        <w:rPr>
          <w:rFonts w:ascii="Arial" w:cs="Arial" w:eastAsia="Arial" w:hAnsi="Arial"/>
          <w:sz w:val="21"/>
          <w:szCs w:val="21"/>
          <w:color w:val="auto"/>
        </w:rPr>
        <w:t>Employee agrees and acknowledges that he continues to be subject to the restrictive covenant provisions contained in the letter agreement between Icahn Enterprises L.P. and the Employee dated December 9 2021, including but not limited to the non-disparagement, non-compete and non-solicitation covenants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441325</wp:posOffset>
            </wp:positionV>
            <wp:extent cx="55803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019"/>
          </w:cols>
          <w:pgMar w:left="1440" w:top="402" w:right="1440" w:bottom="1440" w:gutter="0" w:footer="0" w:header="0"/>
        </w:sectPr>
      </w:pPr>
    </w:p>
    <w:bookmarkStart w:id="160" w:name="page161"/>
    <w:bookmarkEnd w:id="160"/>
    <w:p>
      <w:pPr>
        <w:jc w:val="both"/>
        <w:ind w:left="200" w:right="219" w:firstLine="648"/>
        <w:spacing w:after="0" w:line="257" w:lineRule="auto"/>
        <w:rPr>
          <w:sz w:val="20"/>
          <w:szCs w:val="20"/>
          <w:color w:val="auto"/>
        </w:rPr>
      </w:pPr>
      <w:r>
        <w:rPr>
          <w:rFonts w:ascii="Arial" w:cs="Arial" w:eastAsia="Arial" w:hAnsi="Arial"/>
          <w:sz w:val="21"/>
          <w:szCs w:val="21"/>
          <w:color w:val="auto"/>
        </w:rPr>
        <w:t>Employee represents and agrees that he has carefully read this General Release; that he has been given ample opportunity to consult with legal counsel or any other party to the extent, if any, that he desires; and that he is voluntarily signing by his own free act.</w:t>
      </w:r>
    </w:p>
    <w:p>
      <w:pPr>
        <w:spacing w:after="0" w:line="196" w:lineRule="exact"/>
        <w:rPr>
          <w:sz w:val="20"/>
          <w:szCs w:val="20"/>
          <w:color w:val="auto"/>
        </w:rPr>
      </w:pPr>
    </w:p>
    <w:p>
      <w:pPr>
        <w:ind w:left="200" w:right="479"/>
        <w:spacing w:after="0" w:line="250" w:lineRule="auto"/>
        <w:rPr>
          <w:sz w:val="20"/>
          <w:szCs w:val="20"/>
          <w:color w:val="auto"/>
        </w:rPr>
      </w:pPr>
      <w:r>
        <w:rPr>
          <w:rFonts w:ascii="Arial" w:cs="Arial" w:eastAsia="Arial" w:hAnsi="Arial"/>
          <w:sz w:val="22"/>
          <w:szCs w:val="22"/>
          <w:color w:val="auto"/>
        </w:rPr>
        <w:t>PLEASE READ THIS GENERAL RELEASE CAREFULLY. IT CONTAINS A RELEASE OF ALL KNOWN AND UNKNOWN CLAIMS.</w:t>
      </w:r>
    </w:p>
    <w:p>
      <w:pPr>
        <w:spacing w:after="0" w:line="200" w:lineRule="exact"/>
        <w:rPr>
          <w:sz w:val="20"/>
          <w:szCs w:val="20"/>
          <w:color w:val="auto"/>
        </w:rPr>
      </w:pPr>
    </w:p>
    <w:p>
      <w:pPr>
        <w:spacing w:after="0" w:line="25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ICAHN ENTERPRISES L.P.</w:t>
      </w:r>
    </w:p>
    <w:p>
      <w:pPr>
        <w:spacing w:after="0" w:line="23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Icahn Enterprises G.P. Inc., its</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135890</wp:posOffset>
            </wp:positionV>
            <wp:extent cx="17741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1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December 9,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40"/>
        <w:spacing w:after="0"/>
        <w:rPr>
          <w:sz w:val="20"/>
          <w:szCs w:val="20"/>
          <w:color w:val="auto"/>
        </w:rPr>
      </w:pPr>
      <w:r>
        <w:rPr>
          <w:rFonts w:ascii="Arial" w:cs="Arial" w:eastAsia="Arial" w:hAnsi="Arial"/>
          <w:sz w:val="25"/>
          <w:szCs w:val="25"/>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David Willetts</w:t>
      </w:r>
    </w:p>
    <w:p>
      <w:pPr>
        <w:spacing w:after="0" w:line="23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349885</wp:posOffset>
            </wp:positionV>
            <wp:extent cx="558038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1" w:name="page162"/>
    <w:bookmarkEnd w:id="161"/>
    <w:p>
      <w:pPr>
        <w:jc w:val="right"/>
        <w:ind w:right="119"/>
        <w:spacing w:after="0"/>
        <w:rPr>
          <w:sz w:val="20"/>
          <w:szCs w:val="20"/>
          <w:color w:val="auto"/>
        </w:rPr>
      </w:pPr>
      <w:r>
        <w:rPr>
          <w:rFonts w:ascii="Arial" w:cs="Arial" w:eastAsia="Arial" w:hAnsi="Arial"/>
          <w:sz w:val="20"/>
          <w:szCs w:val="20"/>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ICAHN ENTERPRISES L.P.</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UNIT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THE</w:t>
      </w:r>
    </w:p>
    <w:p>
      <w:pPr>
        <w:jc w:val="center"/>
        <w:ind w:right="19"/>
        <w:spacing w:after="0" w:line="230" w:lineRule="auto"/>
        <w:rPr>
          <w:sz w:val="20"/>
          <w:szCs w:val="20"/>
          <w:color w:val="auto"/>
        </w:rPr>
      </w:pPr>
      <w:r>
        <w:rPr>
          <w:rFonts w:ascii="Arial" w:cs="Arial" w:eastAsia="Arial" w:hAnsi="Arial"/>
          <w:sz w:val="22"/>
          <w:szCs w:val="22"/>
          <w:b w:val="1"/>
          <w:bCs w:val="1"/>
          <w:color w:val="auto"/>
        </w:rPr>
        <w:t>ICAHN ENTERPRISES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2017 LONG-TERM INCENTIVE PLAN</w:t>
      </w:r>
    </w:p>
    <w:p>
      <w:pPr>
        <w:spacing w:after="0" w:line="200" w:lineRule="exact"/>
        <w:rPr>
          <w:sz w:val="20"/>
          <w:szCs w:val="20"/>
          <w:color w:val="auto"/>
        </w:rPr>
      </w:pPr>
    </w:p>
    <w:p>
      <w:pPr>
        <w:spacing w:after="0" w:line="279" w:lineRule="exact"/>
        <w:rPr>
          <w:sz w:val="20"/>
          <w:szCs w:val="20"/>
          <w:color w:val="auto"/>
        </w:rPr>
      </w:pPr>
    </w:p>
    <w:p>
      <w:pPr>
        <w:jc w:val="both"/>
        <w:ind w:left="460" w:right="479" w:firstLine="648"/>
        <w:spacing w:after="0" w:line="243"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effective as of December 9, 2021 by and between Icahn Enterprises L.P., a Delaware limited partnership (the “</w:t>
      </w:r>
      <w:r>
        <w:rPr>
          <w:rFonts w:ascii="Arial" w:cs="Arial" w:eastAsia="Arial" w:hAnsi="Arial"/>
          <w:sz w:val="22"/>
          <w:szCs w:val="22"/>
          <w:b w:val="1"/>
          <w:bCs w:val="1"/>
          <w:u w:val="single" w:color="auto"/>
          <w:color w:val="auto"/>
        </w:rPr>
        <w:t>Partnership</w:t>
      </w:r>
      <w:r>
        <w:rPr>
          <w:rFonts w:ascii="Arial" w:cs="Arial" w:eastAsia="Arial" w:hAnsi="Arial"/>
          <w:sz w:val="22"/>
          <w:szCs w:val="22"/>
          <w:color w:val="auto"/>
        </w:rPr>
        <w:t>”), and Ted Papapostolou (the “</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12" w:lineRule="exact"/>
        <w:rPr>
          <w:sz w:val="20"/>
          <w:szCs w:val="20"/>
          <w:color w:val="auto"/>
        </w:rPr>
      </w:pPr>
    </w:p>
    <w:p>
      <w:pPr>
        <w:jc w:val="both"/>
        <w:ind w:left="460" w:right="479" w:firstLine="648"/>
        <w:spacing w:after="0" w:line="235" w:lineRule="auto"/>
        <w:rPr>
          <w:sz w:val="20"/>
          <w:szCs w:val="20"/>
          <w:color w:val="auto"/>
        </w:rPr>
      </w:pPr>
      <w:r>
        <w:rPr>
          <w:rFonts w:ascii="Arial" w:cs="Arial" w:eastAsia="Arial" w:hAnsi="Arial"/>
          <w:sz w:val="22"/>
          <w:szCs w:val="22"/>
          <w:color w:val="auto"/>
        </w:rPr>
        <w:t>The Committee hereby grants to the Participant as a Service Provider of the Partnership or any of its Affiliates (collectively, the Partnership and its Affiliates shall be referred to herein as the “</w:t>
      </w: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as of the date hereof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pursuant to the Icahn Enterprises L.P. 2017 Long-Term Incentive Plan, as it may be amended from time to time (the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number of deferred Units of the Partnership (“</w:t>
      </w:r>
      <w:r>
        <w:rPr>
          <w:rFonts w:ascii="Arial" w:cs="Arial" w:eastAsia="Arial" w:hAnsi="Arial"/>
          <w:sz w:val="22"/>
          <w:szCs w:val="22"/>
          <w:b w:val="1"/>
          <w:bCs w:val="1"/>
          <w:u w:val="single" w:color="auto"/>
          <w:color w:val="auto"/>
        </w:rPr>
        <w:t>Deferred Units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below.</w:t>
      </w:r>
    </w:p>
    <w:p>
      <w:pPr>
        <w:spacing w:after="0" w:line="201" w:lineRule="exact"/>
        <w:rPr>
          <w:sz w:val="20"/>
          <w:szCs w:val="20"/>
          <w:color w:val="auto"/>
        </w:rPr>
      </w:pPr>
    </w:p>
    <w:p>
      <w:pPr>
        <w:jc w:val="both"/>
        <w:ind w:left="460" w:right="479" w:firstLine="648"/>
        <w:spacing w:after="0" w:line="249" w:lineRule="auto"/>
        <w:rPr>
          <w:sz w:val="20"/>
          <w:szCs w:val="20"/>
          <w:color w:val="auto"/>
        </w:rPr>
      </w:pPr>
      <w:r>
        <w:rPr>
          <w:rFonts w:ascii="Arial" w:cs="Arial" w:eastAsia="Arial" w:hAnsi="Arial"/>
          <w:sz w:val="21"/>
          <w:szCs w:val="21"/>
          <w:color w:val="auto"/>
        </w:rPr>
        <w:t>Except as otherwise indicated, any capitalized term used but not defined herein shall have the meaning ascribed to such term in the Plan. A copy of the Plan has been delivered to the Participant. By signing and returning this Agreement, the Participant acknowledges having received and read a copy of the Plan and agrees to comply with the Plan, this Agreement and all applicable laws and regulations.</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Accordingly, the parties hereto agree as follows:</w:t>
      </w:r>
    </w:p>
    <w:p>
      <w:pPr>
        <w:spacing w:after="0" w:line="200" w:lineRule="exact"/>
        <w:rPr>
          <w:sz w:val="20"/>
          <w:szCs w:val="20"/>
          <w:color w:val="auto"/>
        </w:rPr>
      </w:pPr>
    </w:p>
    <w:p>
      <w:pPr>
        <w:jc w:val="both"/>
        <w:ind w:left="460" w:right="479" w:firstLine="654"/>
        <w:spacing w:after="0" w:line="246" w:lineRule="auto"/>
        <w:tabs>
          <w:tab w:leader="none" w:pos="1757"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Deferred Units</w:t>
      </w:r>
      <w:r>
        <w:rPr>
          <w:rFonts w:ascii="Arial" w:cs="Arial" w:eastAsia="Arial" w:hAnsi="Arial"/>
          <w:sz w:val="21"/>
          <w:szCs w:val="21"/>
          <w:color w:val="auto"/>
        </w:rPr>
        <w:t>. Subject in all respects to the Plan and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herein and therein, effective as of the Grant Date, the Partnership hereby awards to the Participant 30,579 Deferred Units. Each Deferred Unit represents the Participant’s right to receive, and the Partnership’s obligation to deliver, one Unit for each Deferred Unit, or, in the discretion of the Board, an amount in cash equal to the Value (as defined below) of one Unit, subject to the vesting conditions set forth in Section 2 below and the other terms and conditions of this Agreement and the Plan. The Deferred Units shall be credited to a book entry account maintained by the Partnership (or its designee) on behalf of the Participant.</w:t>
      </w:r>
    </w:p>
    <w:p>
      <w:pPr>
        <w:spacing w:after="0" w:line="188" w:lineRule="exact"/>
        <w:rPr>
          <w:rFonts w:ascii="Arial" w:cs="Arial" w:eastAsia="Arial" w:hAnsi="Arial"/>
          <w:sz w:val="21"/>
          <w:szCs w:val="21"/>
          <w:color w:val="auto"/>
        </w:rPr>
      </w:pPr>
    </w:p>
    <w:p>
      <w:pPr>
        <w:ind w:left="1760" w:hanging="645"/>
        <w:spacing w:after="0"/>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of Deferred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right="479" w:firstLine="1303"/>
        <w:spacing w:after="0" w:line="260" w:lineRule="auto"/>
        <w:tabs>
          <w:tab w:leader="none" w:pos="2404" w:val="left"/>
        </w:tabs>
        <w:numPr>
          <w:ilvl w:val="1"/>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a Unitholder</w:t>
      </w:r>
      <w:r>
        <w:rPr>
          <w:rFonts w:ascii="Arial" w:cs="Arial" w:eastAsia="Arial" w:hAnsi="Arial"/>
          <w:sz w:val="21"/>
          <w:szCs w:val="21"/>
          <w:color w:val="auto"/>
        </w:rPr>
        <w:t>. The Participant shall not have any rights of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holder of Units with respect to the Deferred Units unless and until the Deferred Units vest and are settled by the issuance of Units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below.</w:t>
      </w:r>
    </w:p>
    <w:p>
      <w:pPr>
        <w:spacing w:after="0" w:line="160" w:lineRule="exact"/>
        <w:rPr>
          <w:rFonts w:ascii="Arial" w:cs="Arial" w:eastAsia="Arial" w:hAnsi="Arial"/>
          <w:sz w:val="21"/>
          <w:szCs w:val="21"/>
          <w:color w:val="auto"/>
        </w:rPr>
      </w:pPr>
    </w:p>
    <w:p>
      <w:pPr>
        <w:jc w:val="both"/>
        <w:ind w:left="460" w:right="459" w:firstLine="1303"/>
        <w:spacing w:after="0" w:line="300" w:lineRule="auto"/>
        <w:tabs>
          <w:tab w:leader="none" w:pos="2404" w:val="left"/>
        </w:tabs>
        <w:numPr>
          <w:ilvl w:val="1"/>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Participant holds Deferred Units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any dividend is paid on Units (whether in the form of cash or units), the Participant will be entitled to receive a dividend equivalent (a “</w:t>
      </w:r>
      <w:r>
        <w:rPr>
          <w:rFonts w:ascii="Arial" w:cs="Arial" w:eastAsia="Arial" w:hAnsi="Arial"/>
          <w:sz w:val="19"/>
          <w:szCs w:val="19"/>
          <w:b w:val="1"/>
          <w:bCs w:val="1"/>
          <w:u w:val="single" w:color="auto"/>
          <w:color w:val="auto"/>
        </w:rPr>
        <w:t>Dividend Equivalent</w:t>
      </w:r>
      <w:r>
        <w:rPr>
          <w:rFonts w:ascii="Arial" w:cs="Arial" w:eastAsia="Arial" w:hAnsi="Arial"/>
          <w:sz w:val="19"/>
          <w:szCs w:val="19"/>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577215</wp:posOffset>
            </wp:positionV>
            <wp:extent cx="55803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2" w:name="page163"/>
    <w:bookmarkEnd w:id="162"/>
    <w:p>
      <w:pPr>
        <w:jc w:val="both"/>
        <w:ind w:left="460" w:right="479"/>
        <w:spacing w:after="0" w:line="245" w:lineRule="auto"/>
        <w:rPr>
          <w:sz w:val="20"/>
          <w:szCs w:val="20"/>
          <w:color w:val="auto"/>
        </w:rPr>
      </w:pPr>
      <w:r>
        <w:rPr>
          <w:rFonts w:ascii="Arial" w:cs="Arial" w:eastAsia="Arial" w:hAnsi="Arial"/>
          <w:sz w:val="21"/>
          <w:szCs w:val="21"/>
          <w:color w:val="auto"/>
        </w:rPr>
        <w:t>Dividend Equivalent is an amount, for each one Deferred Unit held, equal to the amount of the dividend declared and paid in respect of one Unit. Dividend Equivalents will be credited in cash, provided that if the dividend is payable in the form of Units, the cash amount of the Dividend Equivalent will be equal to the Fair Market Value of the Units as of the date the dividend is paid. Dividend Equivalents will be subject to the same vesting and other conditions as the Deferred Units to which they relate. If and to the extent that the underlying Deferred Units are forfeited, all related Dividend Equivalents shall also be forfeited. Dividend Equivalents will be paid in cash, without interest, at the same time the underlying Deferred Units are settled.</w:t>
      </w:r>
    </w:p>
    <w:p>
      <w:pPr>
        <w:spacing w:after="0" w:line="192" w:lineRule="exact"/>
        <w:rPr>
          <w:sz w:val="20"/>
          <w:szCs w:val="20"/>
          <w:color w:val="auto"/>
        </w:rPr>
      </w:pPr>
    </w:p>
    <w:p>
      <w:pPr>
        <w:ind w:left="2400" w:hanging="637"/>
        <w:spacing w:after="0"/>
        <w:tabs>
          <w:tab w:leader="none" w:pos="2400" w:val="left"/>
        </w:tabs>
        <w:numPr>
          <w:ilvl w:val="1"/>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Deferred Units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460" w:right="479" w:firstLine="1950"/>
        <w:spacing w:after="0" w:line="236" w:lineRule="auto"/>
        <w:tabs>
          <w:tab w:leader="none" w:pos="3053"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Deferred Units (together with any Dividend Equivalents thereon) shall vest in full on the third (3</w:t>
      </w:r>
      <w:r>
        <w:rPr>
          <w:rFonts w:ascii="Arial" w:cs="Arial" w:eastAsia="Arial" w:hAnsi="Arial"/>
          <w:sz w:val="16"/>
          <w:szCs w:val="16"/>
          <w:color w:val="auto"/>
        </w:rPr>
        <w:t>rd</w:t>
      </w:r>
      <w:r>
        <w:rPr>
          <w:rFonts w:ascii="Arial" w:cs="Arial" w:eastAsia="Arial" w:hAnsi="Arial"/>
          <w:sz w:val="22"/>
          <w:szCs w:val="22"/>
          <w:color w:val="auto"/>
        </w:rPr>
        <w:t>) anniversary of the Grant Date (the “</w:t>
      </w: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Participant has not experienced a Termination prior to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remains employed in good standing from the Grant Date up to and including the Vesting Date.</w:t>
      </w:r>
    </w:p>
    <w:p>
      <w:pPr>
        <w:spacing w:after="0" w:line="187" w:lineRule="exact"/>
        <w:rPr>
          <w:rFonts w:ascii="Arial" w:cs="Arial" w:eastAsia="Arial" w:hAnsi="Arial"/>
          <w:sz w:val="22"/>
          <w:szCs w:val="22"/>
          <w:color w:val="auto"/>
        </w:rPr>
      </w:pPr>
    </w:p>
    <w:p>
      <w:pPr>
        <w:jc w:val="both"/>
        <w:ind w:left="460" w:right="479" w:firstLine="1950"/>
        <w:spacing w:after="0" w:line="271" w:lineRule="auto"/>
        <w:tabs>
          <w:tab w:leader="none" w:pos="3053" w:val="left"/>
        </w:tabs>
        <w:numPr>
          <w:ilvl w:val="2"/>
          <w:numId w:val="5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2(c)(i)</w:t>
      </w:r>
      <w:r>
        <w:rPr>
          <w:rFonts w:ascii="Arial" w:cs="Arial" w:eastAsia="Arial" w:hAnsi="Arial"/>
          <w:sz w:val="19"/>
          <w:szCs w:val="19"/>
          <w:color w:val="auto"/>
        </w:rPr>
        <w:t xml:space="preserve">, in the event the Participant’s employment is terminated by the Employer without “Cause” (as defined below) or due to Participant’s death or Disability, in each case prior to the Vesting Date,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Deferred Units (together with any Dividend Equivalents thereon) shall immediately become vested on the date of such Termination or death or Disability, calculated by multiplying the number of Deferred Units by a fraction, the numerator of which is the number of days the Participant was employed by the Employer from the Grant Date until the date of Termination or death or Disability, and the denominator of which is the number of days from the Grant Date until the Vesting Date. The vesting of the Deferred Units on the date of Termination or death or Disability and the settlement of the vested Deferred Units thereafter shall be subject to the Participant’s (or the Participant’s estate’s) execution (and non-revocation) of a general release of claims against the Employer, its officers, directors, managers, employees, agents and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and such Release becoming effective in accordance with its terms, within sixty (60) days following the date of Termination or death or Disability.</w:t>
      </w:r>
    </w:p>
    <w:p>
      <w:pPr>
        <w:spacing w:after="0" w:line="173" w:lineRule="exact"/>
        <w:rPr>
          <w:rFonts w:ascii="Arial" w:cs="Arial" w:eastAsia="Arial" w:hAnsi="Arial"/>
          <w:sz w:val="19"/>
          <w:szCs w:val="19"/>
          <w:color w:val="auto"/>
        </w:rPr>
      </w:pPr>
    </w:p>
    <w:p>
      <w:pPr>
        <w:jc w:val="both"/>
        <w:ind w:left="460" w:right="479" w:firstLine="1951"/>
        <w:spacing w:after="0" w:line="268" w:lineRule="auto"/>
        <w:tabs>
          <w:tab w:leader="none" w:pos="3052" w:val="left"/>
        </w:tabs>
        <w:numPr>
          <w:ilvl w:val="2"/>
          <w:numId w:val="56"/>
        </w:numPr>
        <w:rPr>
          <w:rFonts w:ascii="Arial" w:cs="Arial" w:eastAsia="Arial" w:hAnsi="Arial"/>
          <w:sz w:val="19"/>
          <w:szCs w:val="19"/>
          <w:color w:val="auto"/>
        </w:rPr>
      </w:pPr>
      <w:r>
        <w:rPr>
          <w:rFonts w:ascii="Arial" w:cs="Arial" w:eastAsia="Arial" w:hAnsi="Arial"/>
          <w:sz w:val="19"/>
          <w:szCs w:val="19"/>
          <w:color w:val="auto"/>
        </w:rPr>
        <w:t>Notwithstanding the definition of “Cause” in the Plan, for all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xml:space="preserve">” shall mean, as determined by the Employer in its sole discretion, the Participant’s: (A) willful failure to perform substantially his duties (other than any such failure resulting from incapacity due to documented Disability); (B) commission of, or indictment for, a felony or any crime involving fraud or embezzlement or dishonestly or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crime or misdemeanor (other than a traffic violation) punishable by imprisonment under federal, state or local law; (C) engagement in an act of fraud or other act of willful dishonesty or misconduct toward the Employer, detrimental to the Employer, or in the performance of the Participant’s duties; (D) negligence in the performance of his employment duties that has a detrimental effect on the Employer;</w:t>
      </w:r>
    </w:p>
    <w:p>
      <w:pPr>
        <w:spacing w:after="0" w:line="8" w:lineRule="exact"/>
        <w:rPr>
          <w:rFonts w:ascii="Arial" w:cs="Arial" w:eastAsia="Arial" w:hAnsi="Arial"/>
          <w:sz w:val="19"/>
          <w:szCs w:val="19"/>
          <w:color w:val="auto"/>
        </w:rPr>
      </w:pPr>
    </w:p>
    <w:p>
      <w:pPr>
        <w:jc w:val="both"/>
        <w:ind w:left="460" w:right="479" w:firstLine="6"/>
        <w:spacing w:after="0" w:line="244" w:lineRule="auto"/>
        <w:tabs>
          <w:tab w:leader="none" w:pos="821" w:val="left"/>
        </w:tabs>
        <w:numPr>
          <w:ilvl w:val="0"/>
          <w:numId w:val="57"/>
        </w:numPr>
        <w:rPr>
          <w:rFonts w:ascii="Arial" w:cs="Arial" w:eastAsia="Arial" w:hAnsi="Arial"/>
          <w:sz w:val="21"/>
          <w:szCs w:val="21"/>
          <w:color w:val="auto"/>
        </w:rPr>
      </w:pPr>
      <w:r>
        <w:rPr>
          <w:rFonts w:ascii="Arial" w:cs="Arial" w:eastAsia="Arial" w:hAnsi="Arial"/>
          <w:sz w:val="21"/>
          <w:szCs w:val="21"/>
          <w:color w:val="auto"/>
        </w:rPr>
        <w:t>violation of a federal or state securities law or regulation; (F) the use of a controlled substance without a prescription or the use of alcohol which, in each case, significantly impairs the Participant’s ability to carry out his duties and responsibilities; (G) material violation of the policies and procedures of the Employer; (H) embezzlement and/or</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558038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3" w:name="page164"/>
    <w:bookmarkEnd w:id="163"/>
    <w:p>
      <w:pPr>
        <w:ind w:left="460" w:right="679"/>
        <w:spacing w:after="0" w:line="274" w:lineRule="auto"/>
        <w:rPr>
          <w:sz w:val="20"/>
          <w:szCs w:val="20"/>
          <w:color w:val="auto"/>
        </w:rPr>
      </w:pPr>
      <w:r>
        <w:rPr>
          <w:rFonts w:ascii="Arial" w:cs="Arial" w:eastAsia="Arial" w:hAnsi="Arial"/>
          <w:sz w:val="21"/>
          <w:szCs w:val="21"/>
          <w:color w:val="auto"/>
        </w:rPr>
        <w:t>misappropriation of property of the Employer; or (I) engaging in conduct involving any immoral acts which is reasonably likely to impair the reputation of the Employer.</w:t>
      </w:r>
    </w:p>
    <w:p>
      <w:pPr>
        <w:spacing w:after="0" w:line="158" w:lineRule="exact"/>
        <w:rPr>
          <w:sz w:val="20"/>
          <w:szCs w:val="20"/>
          <w:color w:val="auto"/>
        </w:rPr>
      </w:pPr>
    </w:p>
    <w:p>
      <w:pPr>
        <w:jc w:val="both"/>
        <w:ind w:left="460" w:right="479" w:firstLine="1303"/>
        <w:spacing w:after="0" w:line="274" w:lineRule="auto"/>
        <w:tabs>
          <w:tab w:leader="none" w:pos="2404" w:val="left"/>
        </w:tabs>
        <w:numPr>
          <w:ilvl w:val="1"/>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color w:val="auto"/>
        </w:rPr>
        <w:t>. Except as provided in Section 2(c)(ii) above,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forfeit to the Partnership, without compensation, any and all unvested Deferred Units (together with all Dividend Equivalents in respect of such unvested Deferred Units) immediately upon the Termination of Participant’s employment by the Partnership for Cause or by the Participant for any reason. In addition, if the Participant’s employment is terminated by the Employer without Cause or due to Participant’s death or Disability, in each case prior to the Vesting Date, and the Participant (or the Participant’s estate) does not timely execute the Release, or the Release has not become irrevocable by its terms on or before the sixtieth (60th) day following the date of Participant’s Termination, all Deferred Units and all Dividend Equivalents related thereto shall immediately be forfeited without compensation.</w:t>
      </w:r>
    </w:p>
    <w:p>
      <w:pPr>
        <w:spacing w:after="0" w:line="151" w:lineRule="exact"/>
        <w:rPr>
          <w:rFonts w:ascii="Arial" w:cs="Arial" w:eastAsia="Arial" w:hAnsi="Arial"/>
          <w:sz w:val="19"/>
          <w:szCs w:val="19"/>
          <w:color w:val="auto"/>
        </w:rPr>
      </w:pPr>
    </w:p>
    <w:p>
      <w:pPr>
        <w:jc w:val="both"/>
        <w:ind w:left="460" w:right="479" w:firstLine="654"/>
        <w:spacing w:after="0" w:line="270" w:lineRule="auto"/>
        <w:tabs>
          <w:tab w:leader="none" w:pos="1757"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Within sixty (60) days following the Vesting Date or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death or Disability, as applicable, the Employer shall (i) issue and deliver to the Participant (or the Participant’s estate) that number of Units (together with all Dividend Equivalents in respect of such vested Deferred Units) equal to the number of vested Deferred Units, and (ii) deposit such Units into a brokerage account designated by the Participant (and once deposited in such account, the Units shall be non-forfeitable and freely transferrable, subject to applicable law). Notwithstanding the foregoing, the Board may, in its sole discretion, settle the vested Deferred Units (or any portion thereof) by paying the Participant (or the Participant’s estate) an amount in cash equal to the product of (A) the “Value” (as defined below) of one Unit on the date of settlement, and (B) the number of any such vested Deferred Units. Notwithstanding anything to the contrary, if such sixty (60)-day period following the Termination or death or Disability begins in one calendar year and ends in a second calendar year, the vested Deferred Units will be settled in the second calendar year. For all purposes of this Agreement, “</w:t>
      </w:r>
      <w:r>
        <w:rPr>
          <w:rFonts w:ascii="Arial" w:cs="Arial" w:eastAsia="Arial" w:hAnsi="Arial"/>
          <w:sz w:val="19"/>
          <w:szCs w:val="19"/>
          <w:b w:val="1"/>
          <w:bCs w:val="1"/>
          <w:u w:val="single" w:color="auto"/>
          <w:color w:val="auto"/>
        </w:rPr>
        <w:t>Value</w:t>
      </w:r>
      <w:r>
        <w:rPr>
          <w:rFonts w:ascii="Arial" w:cs="Arial" w:eastAsia="Arial" w:hAnsi="Arial"/>
          <w:sz w:val="19"/>
          <w:szCs w:val="19"/>
          <w:color w:val="auto"/>
        </w:rPr>
        <w:t>” shall mean the volume weighted average price of one Unit for the one hundred and eighty (180)-day period ending on the trading day immediately prior to the settlement date, as reported on the principal national securities exchange in the United States on which the Units are then traded, or, if not traded on any such national securities exchange, as quoted on an automated quotation system sponsored by the Financial Industry Regulatory Authority. If the Units are not traded, listed or otherwise reported or quoted, then the Value of one Unit shall mean the Fair Market Value of one Unit.</w:t>
      </w:r>
    </w:p>
    <w:p>
      <w:pPr>
        <w:spacing w:after="0" w:line="173" w:lineRule="exact"/>
        <w:rPr>
          <w:rFonts w:ascii="Arial" w:cs="Arial" w:eastAsia="Arial" w:hAnsi="Arial"/>
          <w:sz w:val="19"/>
          <w:szCs w:val="19"/>
          <w:color w:val="auto"/>
        </w:rPr>
      </w:pPr>
    </w:p>
    <w:p>
      <w:pPr>
        <w:jc w:val="both"/>
        <w:ind w:left="460" w:right="479" w:firstLine="655"/>
        <w:spacing w:after="0" w:line="283" w:lineRule="auto"/>
        <w:tabs>
          <w:tab w:leader="none" w:pos="1756"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Legal Restrictions</w:t>
      </w:r>
      <w:r>
        <w:rPr>
          <w:rFonts w:ascii="Arial" w:cs="Arial" w:eastAsia="Arial" w:hAnsi="Arial"/>
          <w:sz w:val="19"/>
          <w:szCs w:val="19"/>
          <w:color w:val="auto"/>
        </w:rPr>
        <w:t>. The Plan, this Agreement, the granting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of the Deferred Units, and any obligations of the Partnership under the Plan and this Agreement, shall be subject to all applicable federal, state and local laws, rules and regulations, and to such approvals by any regulatory or governmental agency as may be required, and to any rules or regulations of any exchange on which the Units are listed.</w:t>
      </w:r>
    </w:p>
    <w:p>
      <w:pPr>
        <w:spacing w:after="0" w:line="156" w:lineRule="exact"/>
        <w:rPr>
          <w:rFonts w:ascii="Arial" w:cs="Arial" w:eastAsia="Arial" w:hAnsi="Arial"/>
          <w:sz w:val="19"/>
          <w:szCs w:val="19"/>
          <w:color w:val="auto"/>
        </w:rPr>
      </w:pPr>
    </w:p>
    <w:p>
      <w:pPr>
        <w:ind w:left="1760" w:hanging="645"/>
        <w:spacing w:after="0"/>
        <w:tabs>
          <w:tab w:leader="none" w:pos="176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460" w:right="479" w:firstLine="1302"/>
        <w:spacing w:after="0" w:line="275" w:lineRule="auto"/>
        <w:tabs>
          <w:tab w:leader="none" w:pos="2405" w:val="left"/>
        </w:tabs>
        <w:numPr>
          <w:ilvl w:val="1"/>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The Partnership or any Affiliate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withhold from any compensation or other amount owing to the Participant due to settlement of the Deferred Units applicable withholding taxes as provided in Section 3.9 of the Plan. The Participant acknowledges that, regardless of any action the Employer takes with respect to any or all income tax, employment tax, payroll tax, foreign tax, local tax or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301625</wp:posOffset>
            </wp:positionV>
            <wp:extent cx="558038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4" w:name="page165"/>
    <w:bookmarkEnd w:id="164"/>
    <w:p>
      <w:pPr>
        <w:jc w:val="both"/>
        <w:ind w:left="460" w:right="479"/>
        <w:spacing w:after="0" w:line="273" w:lineRule="auto"/>
        <w:rPr>
          <w:sz w:val="20"/>
          <w:szCs w:val="20"/>
          <w:color w:val="auto"/>
        </w:rPr>
      </w:pPr>
      <w:r>
        <w:rPr>
          <w:rFonts w:ascii="Arial" w:cs="Arial" w:eastAsia="Arial" w:hAnsi="Arial"/>
          <w:sz w:val="19"/>
          <w:szCs w:val="19"/>
          <w:color w:val="auto"/>
        </w:rPr>
        <w:t>any other taxes related to the Participant’s participation in the Plan and the granting, vesting, settlement and/or payment of the Deferred Units (collectively, the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the ultimate liability for all Taxes is and remains his responsibility and may exceed the amount to be withheld by the Employer. The Participant further acknowledges that the Partnership and the Employer (1) make no representations or undertakings regarding the treatment of any Taxes in connection with any aspect of the Deferred Units, including, but not limited to, the granting, vesting, settlement or payment of the Deferred Units, any issuance of Units (if applicable) upon payment or settlement of the Deferred Units, any subsequent sale of Units that may be acquired pursuant to such issuance (if applicable) and the receipt of Dividend Equivalents; and (2) do not commit to structure the terms of the grant or any aspect of the Deferred Units to reduce or eliminate the Participant’s liability for Taxes or achieve any particular tax result.</w:t>
      </w:r>
    </w:p>
    <w:p>
      <w:pPr>
        <w:spacing w:after="0" w:line="163" w:lineRule="exact"/>
        <w:rPr>
          <w:sz w:val="20"/>
          <w:szCs w:val="20"/>
          <w:color w:val="auto"/>
        </w:rPr>
      </w:pPr>
    </w:p>
    <w:p>
      <w:pPr>
        <w:jc w:val="both"/>
        <w:ind w:left="460" w:right="479" w:firstLine="1302"/>
        <w:spacing w:after="0" w:line="272" w:lineRule="auto"/>
        <w:tabs>
          <w:tab w:leader="none" w:pos="2405" w:val="left"/>
        </w:tabs>
        <w:numPr>
          <w:ilvl w:val="1"/>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for Taxes Upon Settlement in Units</w:t>
      </w:r>
      <w:r>
        <w:rPr>
          <w:rFonts w:ascii="Arial" w:cs="Arial" w:eastAsia="Arial" w:hAnsi="Arial"/>
          <w:sz w:val="19"/>
          <w:szCs w:val="19"/>
          <w:color w:val="auto"/>
        </w:rPr>
        <w:t>. If any tax</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is required when the Deferred Units are settled in Units, the Employer shall have the right, but not the obligation, to withhold a portion of the Units that has an aggregate Fair Market Value sufficient to pay all required withholding Taxes thereon, and will pay such amounts to the relevant taxing authorities. The Fair Market Value of any Units withheld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To the maximum extent permitted by law, the Employer has the right to retain without notice from any fees, salary or other amounts (including, without limitation, Units) payable to the Participant, cash having a sufficient value to satisfy any Taxes that the Employer determines cannot be satisfied through the withholding of otherwise deliverable Units or that are due prior to the issuance of Units.</w:t>
      </w:r>
    </w:p>
    <w:p>
      <w:pPr>
        <w:spacing w:after="0" w:line="155" w:lineRule="exact"/>
        <w:rPr>
          <w:rFonts w:ascii="Arial" w:cs="Arial" w:eastAsia="Arial" w:hAnsi="Arial"/>
          <w:sz w:val="19"/>
          <w:szCs w:val="19"/>
          <w:color w:val="auto"/>
        </w:rPr>
      </w:pPr>
    </w:p>
    <w:p>
      <w:pPr>
        <w:jc w:val="both"/>
        <w:ind w:left="460" w:right="479" w:firstLine="654"/>
        <w:spacing w:after="0" w:line="289" w:lineRule="auto"/>
        <w:tabs>
          <w:tab w:leader="none" w:pos="1757" w:val="left"/>
        </w:tabs>
        <w:numPr>
          <w:ilvl w:val="0"/>
          <w:numId w:val="61"/>
        </w:numPr>
        <w:rPr>
          <w:rFonts w:ascii="Arial" w:cs="Arial" w:eastAsia="Arial" w:hAnsi="Arial"/>
          <w:sz w:val="19"/>
          <w:szCs w:val="19"/>
          <w:i w:val="1"/>
          <w:i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The grant of Deferred Units herein is made in</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the services to be rendered by the Participant to the Employer, and the non-disparagement, non-compete and non-solicitation covenants of the Participant contained in the letter between Icahn Enterprises L.P. and the Participant dated December 9, 2021.</w:t>
      </w:r>
    </w:p>
    <w:p>
      <w:pPr>
        <w:spacing w:after="0" w:line="149" w:lineRule="exact"/>
        <w:rPr>
          <w:rFonts w:ascii="Arial" w:cs="Arial" w:eastAsia="Arial" w:hAnsi="Arial"/>
          <w:sz w:val="19"/>
          <w:szCs w:val="19"/>
          <w:i w:val="1"/>
          <w:iCs w:val="1"/>
          <w:color w:val="auto"/>
        </w:rPr>
      </w:pPr>
    </w:p>
    <w:p>
      <w:pPr>
        <w:jc w:val="both"/>
        <w:ind w:left="460" w:right="479" w:firstLine="655"/>
        <w:spacing w:after="0" w:line="245" w:lineRule="auto"/>
        <w:tabs>
          <w:tab w:leader="none" w:pos="1756"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color w:val="auto"/>
        </w:rPr>
        <w:t>. This Agreement is subject to all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If and to the extent that any provision of this Agreement conflicts or is inconsistent with the non-discretionary terms set forth in the Plan, the Plan shall control, and this Agreement shall be deemed to be modified accordingly. Notwithstanding the foregoing, no amendment or modification to the Plan adopted after the date hereof shall adversely affect Participant’s rights under this Agreement without his prior written consent.</w:t>
      </w:r>
    </w:p>
    <w:p>
      <w:pPr>
        <w:spacing w:after="0" w:line="194" w:lineRule="exact"/>
        <w:rPr>
          <w:rFonts w:ascii="Arial" w:cs="Arial" w:eastAsia="Arial" w:hAnsi="Arial"/>
          <w:sz w:val="21"/>
          <w:szCs w:val="21"/>
          <w:color w:val="auto"/>
        </w:rPr>
      </w:pPr>
    </w:p>
    <w:p>
      <w:pPr>
        <w:jc w:val="both"/>
        <w:ind w:left="460" w:right="479" w:firstLine="655"/>
        <w:spacing w:after="0" w:line="300" w:lineRule="auto"/>
        <w:tabs>
          <w:tab w:leader="none" w:pos="1756"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understanding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subject matter hereof and supersedes any prior agreements between the Employer and the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55803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5" w:name="page166"/>
    <w:bookmarkEnd w:id="165"/>
    <w:p>
      <w:pPr>
        <w:jc w:val="both"/>
        <w:ind w:left="460" w:right="479" w:firstLine="655"/>
        <w:spacing w:after="0" w:line="273" w:lineRule="auto"/>
        <w:tabs>
          <w:tab w:leader="none" w:pos="1756"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to be given under the terms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Partnership shall be addressed to the Partnership in care of the General Counsel of the Partnership (or any other person or entity as designated by the Committee) at the Partnership’s principal office, and any notice to be given to a Participant shall be addressed to the Participant at the Participant’s last address reflected on the Employer’s records. By a notice given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either party may hereafter designate a different address for notices to be given to that party. Any notice or communication given hereunder shall be in writing or by electronic means as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below and, if in writing, shall be deemed to have been duly given: (i) when delivered in person; (ii) two (2) days after being sent by United States mail; or (iii) on the first business day following the date of deposit if delivered by a nationally recognized overnight delivery service.</w:t>
      </w:r>
    </w:p>
    <w:p>
      <w:pPr>
        <w:spacing w:after="0" w:line="168" w:lineRule="exact"/>
        <w:rPr>
          <w:rFonts w:ascii="Arial" w:cs="Arial" w:eastAsia="Arial" w:hAnsi="Arial"/>
          <w:sz w:val="19"/>
          <w:szCs w:val="19"/>
          <w:color w:val="auto"/>
        </w:rPr>
      </w:pPr>
    </w:p>
    <w:p>
      <w:pPr>
        <w:jc w:val="both"/>
        <w:ind w:left="460" w:right="479" w:firstLine="655"/>
        <w:spacing w:after="0" w:line="272" w:lineRule="auto"/>
        <w:tabs>
          <w:tab w:leader="none" w:pos="1756"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No Guaranteed Employment or Other Service Relationship</w:t>
      </w:r>
      <w:r>
        <w:rPr>
          <w:rFonts w:ascii="Arial" w:cs="Arial" w:eastAsia="Arial" w:hAnsi="Arial"/>
          <w:sz w:val="19"/>
          <w:szCs w:val="19"/>
          <w:color w:val="auto"/>
        </w:rPr>
        <w:t>. Nothing</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Agreement shall affect the right of the Partnership or any of its Affiliates to terminate the Participant’s employment or other service relationship at any time, with or without Cause, or shall be deemed to create any rights to employment or continued employment or other service relationship. The rights and obligations arising under this Agreement are not intended to and do not affect the Participant’s employment or other service relationship that otherwise exists between the Participant and the Partnership or any of its Affiliates, whether such employment or other service relationship is at will or defined by an employment or other service contract. Moreover, this Agreement is not intended to and does not amend any existing employment or other service contract between the Participant and the Partnership or any of its Affiliates; to the extent there is a conflict between this Agreement and such an employment or other service contract, the employment or other service contract shall govern and take priority.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60" w:right="459" w:firstLine="655"/>
        <w:spacing w:after="0" w:line="234" w:lineRule="auto"/>
        <w:tabs>
          <w:tab w:leader="none" w:pos="175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EACH PARTY TO THIS AGREEMENT, FOR ITSELF AND ITS AFFILIATES, HEREBY IRREVOCABLY AND UNCONDITIONALLY WAIVES TO THE FULLEST EXTENT PERMITTED BY APPLICABLE LAW ALL RIGHT TO TRIAL BY JURY IN ANY ACTION, PROCEEDING OR COUNTERCLAIM (WHETHER BASED ON CONTRACT, TORT OR OTHERWISE) ARISING OUT OF OR RELATING TO THE ACTIONS OF THE PARTIES HERETO OR THEIR RESPECTIVE AFFILIATES PURSUANT TO THIS AGREEMENT OR IN THE NEGOTIATION, ADMINISTRATION, PERFORMANCE OR ENFORCEMENT OF THIS AGREEMENT.</w:t>
      </w:r>
    </w:p>
    <w:p>
      <w:pPr>
        <w:spacing w:after="0" w:line="196" w:lineRule="exact"/>
        <w:rPr>
          <w:rFonts w:ascii="Arial" w:cs="Arial" w:eastAsia="Arial" w:hAnsi="Arial"/>
          <w:sz w:val="22"/>
          <w:szCs w:val="22"/>
          <w:b w:val="1"/>
          <w:bCs w:val="1"/>
          <w:color w:val="auto"/>
        </w:rPr>
      </w:pPr>
    </w:p>
    <w:p>
      <w:pPr>
        <w:jc w:val="both"/>
        <w:ind w:left="460" w:right="479" w:firstLine="655"/>
        <w:spacing w:after="0" w:line="300" w:lineRule="auto"/>
        <w:tabs>
          <w:tab w:leader="none" w:pos="1756"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All section titles and captions in this Agreement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only, shall not be deemed part of this Agreement, and in no way shall define, limit, extend or describe the scope or intent of any provisions of this Agreement.</w:t>
      </w:r>
    </w:p>
    <w:p>
      <w:pPr>
        <w:spacing w:after="0" w:line="139" w:lineRule="exact"/>
        <w:rPr>
          <w:rFonts w:ascii="Arial" w:cs="Arial" w:eastAsia="Arial" w:hAnsi="Arial"/>
          <w:sz w:val="19"/>
          <w:szCs w:val="19"/>
          <w:color w:val="auto"/>
        </w:rPr>
      </w:pPr>
    </w:p>
    <w:p>
      <w:pPr>
        <w:jc w:val="both"/>
        <w:ind w:left="460" w:right="479" w:firstLine="655"/>
        <w:spacing w:after="0" w:line="278" w:lineRule="auto"/>
        <w:tabs>
          <w:tab w:leader="none" w:pos="1756"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Mode of Communications</w:t>
      </w:r>
      <w:r>
        <w:rPr>
          <w:rFonts w:ascii="Arial" w:cs="Arial" w:eastAsia="Arial" w:hAnsi="Arial"/>
          <w:sz w:val="19"/>
          <w:szCs w:val="19"/>
          <w:color w:val="auto"/>
        </w:rPr>
        <w:t>. The Participant agrees,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in lieu of receiving documents in paper format, to accept electronic delivery of any documents that the Partnership or any of its Affiliates may deliver in connection with this grant of Deferred Units and any other grants offered by the Partnership, including, without limitation, prospectuses, grant notifications, account statements, annual or quarterly reports, and other communications. The Participant further agrees that electronic delivery of a document may be made via the Employer’s e-mail system</w:t>
      </w:r>
    </w:p>
    <w:p>
      <w:pPr>
        <w:spacing w:after="0" w:line="18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55803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66" w:name="page167"/>
    <w:bookmarkEnd w:id="166"/>
    <w:p>
      <w:pPr>
        <w:ind w:left="460" w:right="679"/>
        <w:spacing w:after="0" w:line="250" w:lineRule="auto"/>
        <w:rPr>
          <w:sz w:val="20"/>
          <w:szCs w:val="20"/>
          <w:color w:val="auto"/>
        </w:rPr>
      </w:pPr>
      <w:r>
        <w:rPr>
          <w:rFonts w:ascii="Arial" w:cs="Arial" w:eastAsia="Arial" w:hAnsi="Arial"/>
          <w:sz w:val="22"/>
          <w:szCs w:val="22"/>
          <w:color w:val="auto"/>
        </w:rPr>
        <w:t>or by reference to a location on the Employer’s intranet or website or the online brokerage account system.</w:t>
      </w:r>
    </w:p>
    <w:p>
      <w:pPr>
        <w:spacing w:after="0" w:line="182" w:lineRule="exact"/>
        <w:rPr>
          <w:sz w:val="20"/>
          <w:szCs w:val="20"/>
          <w:color w:val="auto"/>
        </w:rPr>
      </w:pPr>
    </w:p>
    <w:p>
      <w:pPr>
        <w:jc w:val="both"/>
        <w:ind w:left="460" w:right="479" w:firstLine="655"/>
        <w:spacing w:after="0" w:line="239" w:lineRule="auto"/>
        <w:tabs>
          <w:tab w:leader="none" w:pos="1756"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No failure by any party to insist upon the strict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covenant, duty, agreement or condition of this Agreement or to exercise any right or remedy consequent upon a breach thereof shall constitute waiver of any such breach or any other covenant, duty, agreement or condition.</w:t>
      </w:r>
    </w:p>
    <w:p>
      <w:pPr>
        <w:spacing w:after="0" w:line="180" w:lineRule="exact"/>
        <w:rPr>
          <w:rFonts w:ascii="Arial" w:cs="Arial" w:eastAsia="Arial" w:hAnsi="Arial"/>
          <w:sz w:val="22"/>
          <w:szCs w:val="22"/>
          <w:color w:val="auto"/>
        </w:rPr>
      </w:pPr>
    </w:p>
    <w:p>
      <w:pPr>
        <w:jc w:val="both"/>
        <w:ind w:left="460" w:right="479" w:firstLine="655"/>
        <w:spacing w:after="0" w:line="234" w:lineRule="auto"/>
        <w:tabs>
          <w:tab w:leader="none" w:pos="1756"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declared or found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illegal, unenforceable or void, in whole or in part, then the parties hereto shall be relieved of all obligations arising under such provision, but only to the extent that it is illegal, unenforceable or void, it being the intent and agreement of the parties hereto that this Agreement shall be deemed amended by modifying such provision to the extent necessary to make it legal and enforceable while preserving its intent or, if that is not possible, by substituting therefor another provision that is legal and enforceable and achieves the same objectives.</w:t>
      </w:r>
    </w:p>
    <w:p>
      <w:pPr>
        <w:spacing w:after="0" w:line="200" w:lineRule="exact"/>
        <w:rPr>
          <w:rFonts w:ascii="Arial" w:cs="Arial" w:eastAsia="Arial" w:hAnsi="Arial"/>
          <w:sz w:val="22"/>
          <w:szCs w:val="22"/>
          <w:color w:val="auto"/>
        </w:rPr>
      </w:pPr>
    </w:p>
    <w:p>
      <w:pPr>
        <w:jc w:val="both"/>
        <w:ind w:left="460" w:right="479" w:firstLine="655"/>
        <w:spacing w:after="0" w:line="300" w:lineRule="auto"/>
        <w:tabs>
          <w:tab w:leader="none" w:pos="1756"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counterparts, all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constitute one agreement binding on all the parties hereto, notwithstanding that all such parties are not signatories to the original or the same counterpart.</w:t>
      </w:r>
    </w:p>
    <w:p>
      <w:pPr>
        <w:spacing w:after="0" w:line="139" w:lineRule="exact"/>
        <w:rPr>
          <w:rFonts w:ascii="Arial" w:cs="Arial" w:eastAsia="Arial" w:hAnsi="Arial"/>
          <w:sz w:val="19"/>
          <w:szCs w:val="19"/>
          <w:color w:val="auto"/>
        </w:rPr>
      </w:pPr>
    </w:p>
    <w:p>
      <w:pPr>
        <w:jc w:val="both"/>
        <w:ind w:left="460" w:right="479" w:firstLine="655"/>
        <w:spacing w:after="0" w:line="243" w:lineRule="auto"/>
        <w:tabs>
          <w:tab w:leader="none" w:pos="1756"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New York, without giving effect to its principles of conflict of laws.</w:t>
      </w:r>
    </w:p>
    <w:p>
      <w:pPr>
        <w:spacing w:after="0" w:line="176" w:lineRule="exact"/>
        <w:rPr>
          <w:rFonts w:ascii="Arial" w:cs="Arial" w:eastAsia="Arial" w:hAnsi="Arial"/>
          <w:sz w:val="22"/>
          <w:szCs w:val="22"/>
          <w:color w:val="auto"/>
        </w:rPr>
      </w:pPr>
    </w:p>
    <w:p>
      <w:pPr>
        <w:jc w:val="both"/>
        <w:ind w:left="460" w:right="479" w:firstLine="654"/>
        <w:spacing w:after="0" w:line="278" w:lineRule="auto"/>
        <w:tabs>
          <w:tab w:leader="none" w:pos="1757"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Although the Employer does not guarantee to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particular tax treatment relating to the Award under this Agreement, it is intended that all payments pursuant to this Award shall be exempt from Section 409A, and this Agreement shall be interpreted and administered in accordance with such intentions. In no event shall the Partnership or any of its Affiliates be liable for any additional tax, interest or penalties that may be imposed on the Participant by reason of Section 409A or any damages for failing to qualify for an exemption from, or comply with, Section 409A.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Remainder of Page Intentionally Left Blank</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461645</wp:posOffset>
            </wp:positionV>
            <wp:extent cx="55803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402" w:right="1440" w:bottom="1440" w:gutter="0" w:footer="0" w:header="0"/>
        </w:sectPr>
      </w:pPr>
    </w:p>
    <w:bookmarkStart w:id="167" w:name="page168"/>
    <w:bookmarkEnd w:id="167"/>
    <w:p>
      <w:pPr>
        <w:ind w:left="460" w:right="319" w:firstLine="648"/>
        <w:spacing w:after="0" w:line="250" w:lineRule="auto"/>
        <w:rPr>
          <w:sz w:val="20"/>
          <w:szCs w:val="20"/>
          <w:color w:val="auto"/>
        </w:rPr>
      </w:pPr>
      <w:r>
        <w:rPr>
          <w:rFonts w:ascii="Arial" w:cs="Arial" w:eastAsia="Arial" w:hAnsi="Arial"/>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21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ICAHN ENTERPRISES L.P.</w:t>
      </w:r>
    </w:p>
    <w:p>
      <w:pPr>
        <w:spacing w:after="0" w:line="229" w:lineRule="exact"/>
        <w:rPr>
          <w:sz w:val="20"/>
          <w:szCs w:val="20"/>
          <w:color w:val="auto"/>
        </w:rPr>
      </w:pPr>
    </w:p>
    <w:tbl>
      <w:tblPr>
        <w:tblLayout w:type="fixed"/>
        <w:tblInd w:w="434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360" w:type="dxa"/>
            <w:vAlign w:val="bottom"/>
            <w:gridSpan w:val="3"/>
          </w:tcPr>
          <w:p>
            <w:pPr>
              <w:ind w:left="100"/>
              <w:spacing w:after="0"/>
              <w:rPr>
                <w:sz w:val="20"/>
                <w:szCs w:val="20"/>
                <w:color w:val="auto"/>
              </w:rPr>
            </w:pPr>
            <w:r>
              <w:rPr>
                <w:rFonts w:ascii="Arial" w:cs="Arial" w:eastAsia="Arial" w:hAnsi="Arial"/>
                <w:sz w:val="22"/>
                <w:szCs w:val="22"/>
                <w:color w:val="auto"/>
                <w:w w:val="86"/>
              </w:rPr>
              <w:t>Icahn Enterprises G.P. Inc., its general</w:t>
            </w:r>
          </w:p>
        </w:tc>
      </w:tr>
      <w:tr>
        <w:trPr>
          <w:trHeight w:val="274"/>
        </w:trPr>
        <w:tc>
          <w:tcPr>
            <w:tcW w:w="700" w:type="dxa"/>
            <w:vAlign w:val="bottom"/>
          </w:tcPr>
          <w:p>
            <w:pPr>
              <w:spacing w:after="0"/>
              <w:rPr>
                <w:sz w:val="23"/>
                <w:szCs w:val="23"/>
                <w:color w:val="auto"/>
              </w:rPr>
            </w:pPr>
          </w:p>
        </w:tc>
        <w:tc>
          <w:tcPr>
            <w:tcW w:w="3360" w:type="dxa"/>
            <w:vAlign w:val="bottom"/>
            <w:gridSpan w:val="3"/>
          </w:tcPr>
          <w:p>
            <w:pPr>
              <w:ind w:left="100"/>
              <w:spacing w:after="0"/>
              <w:rPr>
                <w:sz w:val="20"/>
                <w:szCs w:val="20"/>
                <w:color w:val="auto"/>
              </w:rPr>
            </w:pPr>
            <w:r>
              <w:rPr>
                <w:rFonts w:ascii="Arial" w:cs="Arial" w:eastAsia="Arial" w:hAnsi="Arial"/>
                <w:sz w:val="22"/>
                <w:szCs w:val="22"/>
                <w:color w:val="auto"/>
              </w:rPr>
              <w:t>partner</w:t>
            </w:r>
          </w:p>
        </w:tc>
      </w:tr>
      <w:tr>
        <w:trPr>
          <w:trHeight w:val="692"/>
        </w:trPr>
        <w:tc>
          <w:tcPr>
            <w:tcW w:w="700" w:type="dxa"/>
            <w:vAlign w:val="bottom"/>
          </w:tcPr>
          <w:p>
            <w:pPr>
              <w:ind w:left="20"/>
              <w:spacing w:after="0"/>
              <w:rPr>
                <w:sz w:val="20"/>
                <w:szCs w:val="20"/>
                <w:color w:val="auto"/>
              </w:rPr>
            </w:pPr>
            <w:r>
              <w:rPr>
                <w:rFonts w:ascii="Arial" w:cs="Arial" w:eastAsia="Arial" w:hAnsi="Arial"/>
                <w:sz w:val="22"/>
                <w:szCs w:val="22"/>
                <w:color w:val="auto"/>
              </w:rPr>
              <w:t>By:</w:t>
            </w:r>
          </w:p>
        </w:tc>
        <w:tc>
          <w:tcPr>
            <w:tcW w:w="12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/s/David Willetts</w:t>
            </w:r>
          </w:p>
        </w:tc>
        <w:tc>
          <w:tcPr>
            <w:tcW w:w="920" w:type="dxa"/>
            <w:vAlign w:val="bottom"/>
          </w:tcPr>
          <w:p>
            <w:pPr>
              <w:spacing w:after="0"/>
              <w:rPr>
                <w:sz w:val="24"/>
                <w:szCs w:val="24"/>
                <w:color w:val="auto"/>
              </w:rPr>
            </w:pPr>
          </w:p>
        </w:tc>
      </w:tr>
      <w:tr>
        <w:trPr>
          <w:trHeight w:val="242"/>
        </w:trPr>
        <w:tc>
          <w:tcPr>
            <w:tcW w:w="700" w:type="dxa"/>
            <w:vAlign w:val="bottom"/>
          </w:tcPr>
          <w:p>
            <w:pPr>
              <w:ind w:left="20"/>
              <w:spacing w:after="0" w:line="242" w:lineRule="exact"/>
              <w:rPr>
                <w:sz w:val="20"/>
                <w:szCs w:val="20"/>
                <w:color w:val="auto"/>
              </w:rPr>
            </w:pPr>
            <w:r>
              <w:rPr>
                <w:rFonts w:ascii="Arial" w:cs="Arial" w:eastAsia="Arial" w:hAnsi="Arial"/>
                <w:sz w:val="22"/>
                <w:szCs w:val="22"/>
                <w:color w:val="auto"/>
              </w:rPr>
              <w:t>Name:</w:t>
            </w:r>
          </w:p>
        </w:tc>
        <w:tc>
          <w:tcPr>
            <w:tcW w:w="120" w:type="dxa"/>
            <w:vAlign w:val="bottom"/>
          </w:tcPr>
          <w:p>
            <w:pPr>
              <w:spacing w:after="0"/>
              <w:rPr>
                <w:sz w:val="21"/>
                <w:szCs w:val="21"/>
                <w:color w:val="auto"/>
              </w:rPr>
            </w:pPr>
          </w:p>
        </w:tc>
        <w:tc>
          <w:tcPr>
            <w:tcW w:w="3240" w:type="dxa"/>
            <w:vAlign w:val="bottom"/>
            <w:gridSpan w:val="2"/>
          </w:tcPr>
          <w:p>
            <w:pPr>
              <w:ind w:left="580"/>
              <w:spacing w:after="0" w:line="242" w:lineRule="exact"/>
              <w:rPr>
                <w:sz w:val="20"/>
                <w:szCs w:val="20"/>
                <w:color w:val="auto"/>
              </w:rPr>
            </w:pPr>
            <w:r>
              <w:rPr>
                <w:rFonts w:ascii="Arial" w:cs="Arial" w:eastAsia="Arial" w:hAnsi="Arial"/>
                <w:sz w:val="22"/>
                <w:szCs w:val="22"/>
                <w:color w:val="auto"/>
              </w:rPr>
              <w:t>David Willetts</w:t>
            </w:r>
          </w:p>
        </w:tc>
      </w:tr>
      <w:tr>
        <w:trPr>
          <w:trHeight w:val="274"/>
        </w:trPr>
        <w:tc>
          <w:tcPr>
            <w:tcW w:w="700" w:type="dxa"/>
            <w:vAlign w:val="bottom"/>
          </w:tcPr>
          <w:p>
            <w:pPr>
              <w:ind w:left="20"/>
              <w:spacing w:after="0"/>
              <w:rPr>
                <w:sz w:val="20"/>
                <w:szCs w:val="20"/>
                <w:color w:val="auto"/>
              </w:rPr>
            </w:pPr>
            <w:r>
              <w:rPr>
                <w:rFonts w:ascii="Arial" w:cs="Arial" w:eastAsia="Arial" w:hAnsi="Arial"/>
                <w:sz w:val="22"/>
                <w:szCs w:val="22"/>
                <w:color w:val="auto"/>
              </w:rPr>
              <w:t>Title:</w:t>
            </w:r>
          </w:p>
        </w:tc>
        <w:tc>
          <w:tcPr>
            <w:tcW w:w="3360" w:type="dxa"/>
            <w:vAlign w:val="bottom"/>
            <w:gridSpan w:val="3"/>
          </w:tcPr>
          <w:p>
            <w:pPr>
              <w:ind w:left="120"/>
              <w:spacing w:after="0"/>
              <w:rPr>
                <w:sz w:val="20"/>
                <w:szCs w:val="20"/>
                <w:color w:val="auto"/>
              </w:rPr>
            </w:pPr>
            <w:r>
              <w:rPr>
                <w:rFonts w:ascii="Arial" w:cs="Arial" w:eastAsia="Arial" w:hAnsi="Arial"/>
                <w:sz w:val="22"/>
                <w:szCs w:val="22"/>
                <w:color w:val="auto"/>
              </w:rPr>
              <w:t>Chief Executive Officer</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-17780</wp:posOffset>
            </wp:positionV>
            <wp:extent cx="1406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Ted Papapostolou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[Ted Papapostolou Deferred Unit Agreement Signature Page]</w:t>
      </w:r>
    </w:p>
    <w:p>
      <w:pPr>
        <w:spacing w:after="0" w:line="200" w:lineRule="exact"/>
        <w:rPr>
          <w:sz w:val="20"/>
          <w:szCs w:val="20"/>
          <w:color w:val="auto"/>
        </w:rPr>
      </w:pPr>
    </w:p>
    <w:p>
      <w:pPr>
        <w:spacing w:after="0" w:line="28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558038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8" w:name="page169"/>
    <w:bookmarkEnd w:id="168"/>
    <w:p>
      <w:pPr>
        <w:ind w:left="3980"/>
        <w:spacing w:after="0"/>
        <w:rPr>
          <w:sz w:val="20"/>
          <w:szCs w:val="20"/>
          <w:color w:val="auto"/>
        </w:rPr>
      </w:pPr>
      <w:r>
        <w:rPr>
          <w:rFonts w:ascii="Arial" w:cs="Arial" w:eastAsia="Arial" w:hAnsi="Arial"/>
          <w:sz w:val="22"/>
          <w:szCs w:val="22"/>
          <w:b w:val="1"/>
          <w:bCs w:val="1"/>
          <w:u w:val="single" w:color="auto"/>
          <w:color w:val="auto"/>
        </w:rPr>
        <w:t>Exhibit A General</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104" w:lineRule="exact"/>
        <w:rPr>
          <w:sz w:val="20"/>
          <w:szCs w:val="20"/>
          <w:color w:val="auto"/>
        </w:rPr>
      </w:pPr>
    </w:p>
    <w:p>
      <w:pPr>
        <w:jc w:val="both"/>
        <w:ind w:left="460" w:right="479"/>
        <w:spacing w:after="0" w:line="274" w:lineRule="auto"/>
        <w:rPr>
          <w:sz w:val="20"/>
          <w:szCs w:val="20"/>
          <w:color w:val="auto"/>
        </w:rPr>
      </w:pPr>
      <w:r>
        <w:rPr>
          <w:rFonts w:ascii="Arial" w:cs="Arial" w:eastAsia="Arial" w:hAnsi="Arial"/>
          <w:sz w:val="19"/>
          <w:szCs w:val="19"/>
          <w:color w:val="auto"/>
        </w:rPr>
        <w:t>This General Release of All Claims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dated as of December 9, 2021, is made by Ted Papapostolou (“</w:t>
      </w:r>
      <w:r>
        <w:rPr>
          <w:rFonts w:ascii="Arial" w:cs="Arial" w:eastAsia="Arial" w:hAnsi="Arial"/>
          <w:sz w:val="19"/>
          <w:szCs w:val="19"/>
          <w:u w:val="single" w:color="auto"/>
          <w:color w:val="auto"/>
        </w:rPr>
        <w:t>Employee</w:t>
      </w:r>
      <w:r>
        <w:rPr>
          <w:rFonts w:ascii="Arial" w:cs="Arial" w:eastAsia="Arial" w:hAnsi="Arial"/>
          <w:sz w:val="19"/>
          <w:szCs w:val="19"/>
          <w:color w:val="auto"/>
        </w:rPr>
        <w:t>”) under the Deferred Unit Agreement dated December 9, 2021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pursuant to the Icahn Enterprises L.P. 2017 Long-Term 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good and valuable consideration, the receipt and sufficiency of which is hereby acknowledged. Unless otherwise defined herein, the terms defined in the Award Agreement or the Plan, as applicable, shall have the same defined meaning in this General Release. For purposes of this General Release, the “</w:t>
      </w:r>
      <w:r>
        <w:rPr>
          <w:rFonts w:ascii="Arial" w:cs="Arial" w:eastAsia="Arial" w:hAnsi="Arial"/>
          <w:sz w:val="19"/>
          <w:szCs w:val="19"/>
          <w:u w:val="single" w:color="auto"/>
          <w:color w:val="auto"/>
        </w:rPr>
        <w:t>Company</w:t>
      </w:r>
      <w:r>
        <w:rPr>
          <w:rFonts w:ascii="Arial" w:cs="Arial" w:eastAsia="Arial" w:hAnsi="Arial"/>
          <w:sz w:val="19"/>
          <w:szCs w:val="19"/>
          <w:color w:val="auto"/>
        </w:rPr>
        <w:t>” means, collectively, Icahn Enterprises L.P., Icahn Enterprises Holdings L.P., Icahn Capital LP, and their respective Affiliates.</w:t>
      </w:r>
    </w:p>
    <w:p>
      <w:pPr>
        <w:spacing w:after="0" w:line="185" w:lineRule="exact"/>
        <w:rPr>
          <w:sz w:val="20"/>
          <w:szCs w:val="20"/>
          <w:color w:val="auto"/>
        </w:rPr>
      </w:pPr>
    </w:p>
    <w:p>
      <w:pPr>
        <w:jc w:val="both"/>
        <w:ind w:left="460" w:right="479" w:firstLine="654"/>
        <w:spacing w:after="0" w:line="268" w:lineRule="auto"/>
        <w:tabs>
          <w:tab w:leader="none" w:pos="175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Employee, for himself, his spouse, heirs, administrators, children, representatives, executors, successors, assigns, and all other persons claiming through Employee, if any, does hereby release, waive, and forever discharge the Company and its officers, directors, employees and agents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and does fully waive any obligations of Releasees to Employee for, any and all liability, actions, charges, causes of action, demands, damages, or claims for relief, remuneration, sums of money, accounts or expenses (including, without limitation, attorneys’ fees and costs) of any kind whatsoever, whether known or unknown or contingent or absolute, which heretofore has been or may have been suffered or sustained, directly or indirectly, by Employee in consequence of, arising out of, or in any way relating to Employee’s employment with the Company and the termination of Employee’s employment. The foregoing release, discharge and waiver includes, but is not limited to, all claims, and any obligations or causes of action arising from such claims, under common or statutory law including, without limitation, any state or federal discrimination, fair employment practices or any other employment-related statute or regulation (as they may have been amended through the date of this General Release) prohibiting discrimination or harassment based upon any protected status including, without limitation, race, color, religion, national origin, age, gender, marital status, disability, handicap, veteran status or sexual orientation. Without limitation, specifically included in this paragraph are any and all waivable claims arising under the Federal Rehabilitation Act, the Age Discrimination in Employment Act of 1967, Title VII of the Civil Rights Act of 1964, Sections 1981 through 1988 of Title 42 of the United States Code, the Americans with Disabilities Act, the Equal Pay Act, the Older Workers Benefits Protection Act, the Genetic Information Non-Discrimination Act, the Immigration Reform and Control Act, the Uniformed Services Employment and Reemployment Rights Act, the Employee Retirement Income Security Act of 1974, the Family and Medical Leave Act of 1993, the National Labor Relations Act, the Consolidated Omnibus Budget Reconciliation Act of 1985, the Sarbanes-Oxley Act, the Dodd-Frank Act, the Florida Civil Rights Act, the Florida Equal Pay Law, the Florida AIDS Act, the Florida Sickle-Cell Trait Discrimination Law, the Florida Private Whistleblower Protection Law, the Florida Public Whistle- Blower’s Act, the Florida Worker’s Compensation Retaliation Law, the Florida Unpaid Wages Law, the Florida Minimum Wage Act, the Florida Leave to Victims of Domestic Violence Act, the Florida Constitution, and any similar state and federal laws (in each case, as such law was enacted or has been amended). The foregoing release and discharge also</w:t>
      </w:r>
    </w:p>
    <w:p>
      <w:pPr>
        <w:spacing w:after="0" w:line="200" w:lineRule="exact"/>
        <w:rPr>
          <w:sz w:val="20"/>
          <w:szCs w:val="20"/>
          <w:color w:val="auto"/>
        </w:rPr>
      </w:pP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558038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9" w:name="page170"/>
    <w:bookmarkEnd w:id="169"/>
    <w:p>
      <w:pPr>
        <w:jc w:val="both"/>
        <w:ind w:left="460" w:right="479"/>
        <w:spacing w:after="0" w:line="270" w:lineRule="auto"/>
        <w:rPr>
          <w:sz w:val="20"/>
          <w:szCs w:val="20"/>
          <w:color w:val="auto"/>
        </w:rPr>
      </w:pPr>
      <w:r>
        <w:rPr>
          <w:rFonts w:ascii="Arial" w:cs="Arial" w:eastAsia="Arial" w:hAnsi="Arial"/>
          <w:sz w:val="19"/>
          <w:szCs w:val="19"/>
          <w:color w:val="auto"/>
        </w:rPr>
        <w:t>expressly includes, without limitation, any claims under any state or federal common law theory, including, without limitation, wrongful or retaliatory discharge, breach of express or implied contract, promissory estoppel, unjust enrichment, breach of covenant of good faith and fair dealing, violation of public policy, defamation, interference with contractual relations, intentional or negligent infliction of emotional distress, invasion of privacy, misrepresentation, deceit, fraud or negligence, claims for alleged physical or personal injury, emotional distress relating to or arising out of Employee’s employment with the Company or the termination of that employment; and any claims under the WARN Act or any similar law, which requires, among other things, that advance notice be given of certain work force reductions. All of the claims, liabilities, actions, charges, causes of action, demands, damages, remuneration, sums of money, accounts or expenses described in this Section 1 shall be described, collectively as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Employee waives Employee’s right to any monetary recovery should any agency (such as the Equal Employment Opportunity Commission) pursue any claims on Employee’s behalf. Nothing in this General Release shall be deemed to waive Employee’s right to file a charge with or participate in any investigation or proceeding conducted by the U.S. Equal Employment Opportunity Commission or other government agency, except that even if Employee files a charge or participates in such an investigation or proceeding, Employee will not be able to recover damages or equitable relief of any kind from the Releasees with respect to the Released Claims.</w:t>
      </w:r>
    </w:p>
    <w:p>
      <w:pPr>
        <w:spacing w:after="0" w:line="200" w:lineRule="exact"/>
        <w:rPr>
          <w:sz w:val="20"/>
          <w:szCs w:val="20"/>
          <w:color w:val="auto"/>
        </w:rPr>
      </w:pPr>
    </w:p>
    <w:p>
      <w:pPr>
        <w:spacing w:after="0" w:line="233" w:lineRule="exact"/>
        <w:rPr>
          <w:sz w:val="20"/>
          <w:szCs w:val="20"/>
          <w:color w:val="auto"/>
        </w:rPr>
      </w:pPr>
    </w:p>
    <w:p>
      <w:pPr>
        <w:jc w:val="both"/>
        <w:ind w:left="460" w:right="479" w:firstLine="655"/>
        <w:spacing w:after="0" w:line="238" w:lineRule="auto"/>
        <w:tabs>
          <w:tab w:leader="none" w:pos="1756"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Excluded from this General Release are the following: (i) claims and rights that arise after the date Employee signs this General Release; and (ii) any claims for vested benefits Employee may have under any employee benefit plan subject to the Employee Retirement Income Security Act of 1974, as amended.</w:t>
      </w:r>
    </w:p>
    <w:p>
      <w:pPr>
        <w:spacing w:after="0" w:line="225" w:lineRule="exact"/>
        <w:rPr>
          <w:rFonts w:ascii="Arial" w:cs="Arial" w:eastAsia="Arial" w:hAnsi="Arial"/>
          <w:sz w:val="22"/>
          <w:szCs w:val="22"/>
          <w:color w:val="auto"/>
        </w:rPr>
      </w:pPr>
    </w:p>
    <w:p>
      <w:pPr>
        <w:jc w:val="both"/>
        <w:ind w:left="460" w:right="479" w:firstLine="654"/>
        <w:spacing w:after="0" w:line="234" w:lineRule="auto"/>
        <w:tabs>
          <w:tab w:leader="none" w:pos="1757"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Any unresolved dispute arising out of this General Release shall be litigated in any court of competent jurisdiction in the County of Miami-Dade in the State of Florida;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may elect to pursue a court action to seek injunctive relief in any court of competent jurisdiction to terminate the violation of its proprietary rights, including but not limited to trade secrets, copyrights or trademarks and to protect any confidential information. Each party shall pay its own costs and fees in connection with any litigation hereunder.</w:t>
      </w:r>
    </w:p>
    <w:p>
      <w:pPr>
        <w:spacing w:after="0" w:line="217" w:lineRule="exact"/>
        <w:rPr>
          <w:rFonts w:ascii="Arial" w:cs="Arial" w:eastAsia="Arial" w:hAnsi="Arial"/>
          <w:sz w:val="22"/>
          <w:szCs w:val="22"/>
          <w:color w:val="auto"/>
        </w:rPr>
      </w:pPr>
    </w:p>
    <w:p>
      <w:pPr>
        <w:ind w:left="1760" w:hanging="645"/>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Employee acknowledges and recites that:</w:t>
      </w:r>
    </w:p>
    <w:p>
      <w:pPr>
        <w:spacing w:after="0" w:line="219" w:lineRule="exact"/>
        <w:rPr>
          <w:rFonts w:ascii="Arial" w:cs="Arial" w:eastAsia="Arial" w:hAnsi="Arial"/>
          <w:sz w:val="22"/>
          <w:szCs w:val="22"/>
          <w:color w:val="auto"/>
        </w:rPr>
      </w:pPr>
    </w:p>
    <w:p>
      <w:pPr>
        <w:ind w:left="2420" w:hanging="644"/>
        <w:spacing w:after="0"/>
        <w:tabs>
          <w:tab w:leader="none" w:pos="2420" w:val="left"/>
        </w:tabs>
        <w:numPr>
          <w:ilvl w:val="1"/>
          <w:numId w:val="65"/>
        </w:numPr>
        <w:rPr>
          <w:rFonts w:ascii="Arial" w:cs="Arial" w:eastAsia="Arial" w:hAnsi="Arial"/>
          <w:sz w:val="21"/>
          <w:szCs w:val="21"/>
          <w:color w:val="auto"/>
        </w:rPr>
      </w:pPr>
      <w:r>
        <w:rPr>
          <w:rFonts w:ascii="Arial" w:cs="Arial" w:eastAsia="Arial" w:hAnsi="Arial"/>
          <w:sz w:val="21"/>
          <w:szCs w:val="21"/>
          <w:color w:val="auto"/>
        </w:rPr>
        <w:t>Employee has  executed  this  General  Release  knowingly  and</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voluntarily;</w:t>
      </w:r>
    </w:p>
    <w:p>
      <w:pPr>
        <w:spacing w:after="0" w:line="201" w:lineRule="exact"/>
        <w:rPr>
          <w:rFonts w:ascii="Arial" w:cs="Arial" w:eastAsia="Arial" w:hAnsi="Arial"/>
          <w:sz w:val="21"/>
          <w:szCs w:val="21"/>
          <w:color w:val="auto"/>
        </w:rPr>
      </w:pPr>
    </w:p>
    <w:p>
      <w:pPr>
        <w:ind w:left="2400" w:hanging="629"/>
        <w:spacing w:after="0"/>
        <w:tabs>
          <w:tab w:leader="none" w:pos="2400" w:val="left"/>
        </w:tabs>
        <w:numPr>
          <w:ilvl w:val="1"/>
          <w:numId w:val="65"/>
        </w:numPr>
        <w:rPr>
          <w:rFonts w:ascii="Arial" w:cs="Arial" w:eastAsia="Arial" w:hAnsi="Arial"/>
          <w:sz w:val="21"/>
          <w:szCs w:val="21"/>
          <w:color w:val="auto"/>
        </w:rPr>
      </w:pPr>
      <w:r>
        <w:rPr>
          <w:rFonts w:ascii="Arial" w:cs="Arial" w:eastAsia="Arial" w:hAnsi="Arial"/>
          <w:sz w:val="21"/>
          <w:szCs w:val="21"/>
          <w:color w:val="auto"/>
        </w:rPr>
        <w:t>Employee has read and understands this General Release in its</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entirety;</w:t>
      </w:r>
    </w:p>
    <w:p>
      <w:pPr>
        <w:spacing w:after="0" w:line="201" w:lineRule="exact"/>
        <w:rPr>
          <w:rFonts w:ascii="Arial" w:cs="Arial" w:eastAsia="Arial" w:hAnsi="Arial"/>
          <w:sz w:val="21"/>
          <w:szCs w:val="21"/>
          <w:color w:val="auto"/>
        </w:rPr>
      </w:pPr>
    </w:p>
    <w:p>
      <w:pPr>
        <w:jc w:val="both"/>
        <w:ind w:left="460" w:right="479" w:firstLine="1311"/>
        <w:spacing w:after="0" w:line="297" w:lineRule="auto"/>
        <w:tabs>
          <w:tab w:leader="none" w:pos="2404" w:val="left"/>
        </w:tabs>
        <w:numPr>
          <w:ilvl w:val="1"/>
          <w:numId w:val="65"/>
        </w:numPr>
        <w:rPr>
          <w:rFonts w:ascii="Arial" w:cs="Arial" w:eastAsia="Arial" w:hAnsi="Arial"/>
          <w:sz w:val="19"/>
          <w:szCs w:val="19"/>
          <w:color w:val="auto"/>
        </w:rPr>
      </w:pPr>
      <w:r>
        <w:rPr>
          <w:rFonts w:ascii="Arial" w:cs="Arial" w:eastAsia="Arial" w:hAnsi="Arial"/>
          <w:sz w:val="19"/>
          <w:szCs w:val="19"/>
          <w:color w:val="auto"/>
        </w:rPr>
        <w:t>Employee has been advised and directed orally and in writing (and this subparagraph (c) constitutes such written direction) to seek legal counsel and any other advice he wishes with respect to the terms of this General Release before executing 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558038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0" w:name="page171"/>
    <w:bookmarkEnd w:id="170"/>
    <w:p>
      <w:pPr>
        <w:jc w:val="both"/>
        <w:ind w:left="460" w:right="479" w:firstLine="1310"/>
        <w:spacing w:after="0" w:line="282" w:lineRule="auto"/>
        <w:tabs>
          <w:tab w:leader="none" w:pos="2405" w:val="left"/>
        </w:tabs>
        <w:numPr>
          <w:ilvl w:val="1"/>
          <w:numId w:val="66"/>
        </w:numPr>
        <w:rPr>
          <w:rFonts w:ascii="Arial" w:cs="Arial" w:eastAsia="Arial" w:hAnsi="Arial"/>
          <w:sz w:val="19"/>
          <w:szCs w:val="19"/>
          <w:color w:val="auto"/>
        </w:rPr>
      </w:pPr>
      <w:r>
        <w:rPr>
          <w:rFonts w:ascii="Arial" w:cs="Arial" w:eastAsia="Arial" w:hAnsi="Arial"/>
          <w:sz w:val="19"/>
          <w:szCs w:val="19"/>
          <w:color w:val="auto"/>
        </w:rPr>
        <w:t>Employee’s execution of this General Release has not been forced by any employee or agent of the Company, and Employee has had an opportunity to negotiate about the terms of this General Release and that the agreements and obligations herein are made voluntarily, knowingly and without duress, and that neither the Company nor its agents have made any representation inconsistent with the General Release; and</w:t>
      </w:r>
    </w:p>
    <w:p>
      <w:pPr>
        <w:spacing w:after="0" w:line="174" w:lineRule="exact"/>
        <w:rPr>
          <w:rFonts w:ascii="Arial" w:cs="Arial" w:eastAsia="Arial" w:hAnsi="Arial"/>
          <w:sz w:val="19"/>
          <w:szCs w:val="19"/>
          <w:color w:val="auto"/>
        </w:rPr>
      </w:pPr>
    </w:p>
    <w:p>
      <w:pPr>
        <w:ind w:left="460" w:right="479" w:firstLine="1310"/>
        <w:spacing w:after="0" w:line="250" w:lineRule="auto"/>
        <w:tabs>
          <w:tab w:leader="none" w:pos="2405" w:val="left"/>
        </w:tabs>
        <w:numPr>
          <w:ilvl w:val="1"/>
          <w:numId w:val="66"/>
        </w:numPr>
        <w:rPr>
          <w:rFonts w:ascii="Arial" w:cs="Arial" w:eastAsia="Arial" w:hAnsi="Arial"/>
          <w:sz w:val="22"/>
          <w:szCs w:val="22"/>
          <w:color w:val="auto"/>
        </w:rPr>
      </w:pPr>
      <w:r>
        <w:rPr>
          <w:rFonts w:ascii="Arial" w:cs="Arial" w:eastAsia="Arial" w:hAnsi="Arial"/>
          <w:sz w:val="22"/>
          <w:szCs w:val="22"/>
          <w:color w:val="auto"/>
        </w:rPr>
        <w:t>Employee has been offered 21 calendar days after receipt of this General Release to consider its terms before executing it.</w:t>
      </w:r>
    </w:p>
    <w:p>
      <w:pPr>
        <w:spacing w:after="0" w:line="201" w:lineRule="exact"/>
        <w:rPr>
          <w:rFonts w:ascii="Arial" w:cs="Arial" w:eastAsia="Arial" w:hAnsi="Arial"/>
          <w:sz w:val="22"/>
          <w:szCs w:val="22"/>
          <w:color w:val="auto"/>
        </w:rPr>
      </w:pPr>
    </w:p>
    <w:p>
      <w:pPr>
        <w:jc w:val="both"/>
        <w:ind w:left="460" w:right="479" w:firstLine="654"/>
        <w:spacing w:after="0" w:line="257" w:lineRule="auto"/>
        <w:tabs>
          <w:tab w:leader="none" w:pos="1757"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This General Release shall be governed by, and construed in accordance with, the laws of the United States applicable thereto and the internal laws of the State of Florida, without giving effect to the conflicts of law principles thereof.</w:t>
      </w:r>
    </w:p>
    <w:p>
      <w:pPr>
        <w:spacing w:after="0" w:line="196" w:lineRule="exact"/>
        <w:rPr>
          <w:rFonts w:ascii="Arial" w:cs="Arial" w:eastAsia="Arial" w:hAnsi="Arial"/>
          <w:sz w:val="21"/>
          <w:szCs w:val="21"/>
          <w:color w:val="auto"/>
        </w:rPr>
      </w:pPr>
    </w:p>
    <w:p>
      <w:pPr>
        <w:jc w:val="both"/>
        <w:ind w:left="460" w:right="479" w:firstLine="654"/>
        <w:spacing w:after="0" w:line="235" w:lineRule="auto"/>
        <w:tabs>
          <w:tab w:leader="none" w:pos="1757" w:val="left"/>
        </w:tabs>
        <w:numPr>
          <w:ilvl w:val="0"/>
          <w:numId w:val="67"/>
        </w:numPr>
        <w:rPr>
          <w:rFonts w:ascii="Arial" w:cs="Arial" w:eastAsia="Arial" w:hAnsi="Arial"/>
          <w:sz w:val="22"/>
          <w:szCs w:val="22"/>
          <w:color w:val="auto"/>
        </w:rPr>
      </w:pPr>
      <w:r>
        <w:rPr>
          <w:rFonts w:ascii="Arial" w:cs="Arial" w:eastAsia="Arial" w:hAnsi="Arial"/>
          <w:sz w:val="22"/>
          <w:szCs w:val="22"/>
          <w:color w:val="auto"/>
        </w:rPr>
        <w:t>Employee represents that he has returned all property belonging to the Company required to be returned including, without limitation, keys, access cards, computer software and any other equipment or property. Employee further represents that he has delivered to the Company all documents or materials of any nature belonging to it, whether an original or copies of any kind, including any confidential information, required to be returned.</w:t>
      </w:r>
    </w:p>
    <w:p>
      <w:pPr>
        <w:spacing w:after="0" w:line="214" w:lineRule="exact"/>
        <w:rPr>
          <w:rFonts w:ascii="Arial" w:cs="Arial" w:eastAsia="Arial" w:hAnsi="Arial"/>
          <w:sz w:val="22"/>
          <w:szCs w:val="22"/>
          <w:color w:val="auto"/>
        </w:rPr>
      </w:pPr>
    </w:p>
    <w:p>
      <w:pPr>
        <w:jc w:val="both"/>
        <w:ind w:left="460" w:right="479" w:firstLine="654"/>
        <w:spacing w:after="0" w:line="236" w:lineRule="auto"/>
        <w:tabs>
          <w:tab w:leader="none" w:pos="1757" w:val="left"/>
        </w:tabs>
        <w:numPr>
          <w:ilvl w:val="0"/>
          <w:numId w:val="67"/>
        </w:numPr>
        <w:rPr>
          <w:rFonts w:ascii="Arial" w:cs="Arial" w:eastAsia="Arial" w:hAnsi="Arial"/>
          <w:sz w:val="22"/>
          <w:szCs w:val="22"/>
          <w:color w:val="auto"/>
        </w:rPr>
      </w:pPr>
      <w:r>
        <w:rPr>
          <w:rFonts w:ascii="Arial" w:cs="Arial" w:eastAsia="Arial" w:hAnsi="Arial"/>
          <w:sz w:val="22"/>
          <w:szCs w:val="22"/>
          <w:color w:val="auto"/>
        </w:rPr>
        <w:t>Employee shall have seven days from the date he signs this General Release to revoke it by providing written notice of the revocation to the Company, in which event this General Release shall be unenforceable and null and void. Provided Employee does not revoke this General Release, it shall become effective on the eighth day after Employee signs this General Release.</w:t>
      </w:r>
    </w:p>
    <w:p>
      <w:pPr>
        <w:spacing w:after="0" w:line="227" w:lineRule="exact"/>
        <w:rPr>
          <w:rFonts w:ascii="Arial" w:cs="Arial" w:eastAsia="Arial" w:hAnsi="Arial"/>
          <w:sz w:val="22"/>
          <w:szCs w:val="22"/>
          <w:color w:val="auto"/>
        </w:rPr>
      </w:pPr>
    </w:p>
    <w:p>
      <w:pPr>
        <w:ind w:left="460" w:right="479" w:firstLine="654"/>
        <w:spacing w:after="0" w:line="252" w:lineRule="auto"/>
        <w:tabs>
          <w:tab w:leader="none" w:pos="1757" w:val="left"/>
        </w:tabs>
        <w:numPr>
          <w:ilvl w:val="0"/>
          <w:numId w:val="67"/>
        </w:numPr>
        <w:rPr>
          <w:rFonts w:ascii="Arial" w:cs="Arial" w:eastAsia="Arial" w:hAnsi="Arial"/>
          <w:sz w:val="21"/>
          <w:szCs w:val="21"/>
          <w:color w:val="auto"/>
        </w:rPr>
      </w:pPr>
      <w:r>
        <w:rPr>
          <w:rFonts w:ascii="Arial" w:cs="Arial" w:eastAsia="Arial" w:hAnsi="Arial"/>
          <w:sz w:val="21"/>
          <w:szCs w:val="21"/>
          <w:color w:val="auto"/>
        </w:rPr>
        <w:t>Employee agrees and acknowledges that he continues to be subject to the restrictive covenant provisions contained in the letter agreement between Icahn Enterprises L.P. and the Employee dated December 9, 2021, including but not limited to the non-disparagement, non-compete and non-solicitation covenants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441325</wp:posOffset>
            </wp:positionV>
            <wp:extent cx="55803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019"/>
          </w:cols>
          <w:pgMar w:left="1440" w:top="402" w:right="1440" w:bottom="1440" w:gutter="0" w:footer="0" w:header="0"/>
        </w:sectPr>
      </w:pPr>
    </w:p>
    <w:bookmarkStart w:id="171" w:name="page172"/>
    <w:bookmarkEnd w:id="171"/>
    <w:p>
      <w:pPr>
        <w:jc w:val="both"/>
        <w:ind w:left="200" w:right="219" w:firstLine="648"/>
        <w:spacing w:after="0" w:line="257" w:lineRule="auto"/>
        <w:rPr>
          <w:sz w:val="20"/>
          <w:szCs w:val="20"/>
          <w:color w:val="auto"/>
        </w:rPr>
      </w:pPr>
      <w:r>
        <w:rPr>
          <w:rFonts w:ascii="Arial" w:cs="Arial" w:eastAsia="Arial" w:hAnsi="Arial"/>
          <w:sz w:val="21"/>
          <w:szCs w:val="21"/>
          <w:color w:val="auto"/>
        </w:rPr>
        <w:t>Employee represents and agrees that he has carefully read this General Release; that he has been given ample opportunity to consult with legal counsel or any other party to the extent, if any, that he desires; and that he is voluntarily signing by his own free act.</w:t>
      </w:r>
    </w:p>
    <w:p>
      <w:pPr>
        <w:spacing w:after="0" w:line="196" w:lineRule="exact"/>
        <w:rPr>
          <w:sz w:val="20"/>
          <w:szCs w:val="20"/>
          <w:color w:val="auto"/>
        </w:rPr>
      </w:pPr>
    </w:p>
    <w:p>
      <w:pPr>
        <w:ind w:left="200" w:right="479"/>
        <w:spacing w:after="0" w:line="250" w:lineRule="auto"/>
        <w:rPr>
          <w:sz w:val="20"/>
          <w:szCs w:val="20"/>
          <w:color w:val="auto"/>
        </w:rPr>
      </w:pPr>
      <w:r>
        <w:rPr>
          <w:rFonts w:ascii="Arial" w:cs="Arial" w:eastAsia="Arial" w:hAnsi="Arial"/>
          <w:sz w:val="22"/>
          <w:szCs w:val="22"/>
          <w:color w:val="auto"/>
        </w:rPr>
        <w:t>PLEASE READ THIS GENERAL RELEASE CAREFULLY. IT CONTAINS A RELEASE OF ALL KNOWN AND UNKNOWN CLAIMS.</w:t>
      </w:r>
    </w:p>
    <w:p>
      <w:pPr>
        <w:spacing w:after="0" w:line="200" w:lineRule="exact"/>
        <w:rPr>
          <w:sz w:val="20"/>
          <w:szCs w:val="20"/>
          <w:color w:val="auto"/>
        </w:rPr>
      </w:pPr>
    </w:p>
    <w:p>
      <w:pPr>
        <w:spacing w:after="0" w:line="25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ICAHN ENTERPRISES L.P.</w:t>
      </w:r>
    </w:p>
    <w:p>
      <w:pPr>
        <w:spacing w:after="0" w:line="233"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Icahn Enterprises G.P. Inc., its</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135890</wp:posOffset>
            </wp:positionV>
            <wp:extent cx="17741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1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December 9,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40"/>
        <w:spacing w:after="0"/>
        <w:rPr>
          <w:sz w:val="20"/>
          <w:szCs w:val="20"/>
          <w:color w:val="auto"/>
        </w:rPr>
      </w:pPr>
      <w:r>
        <w:rPr>
          <w:rFonts w:ascii="Arial" w:cs="Arial" w:eastAsia="Arial" w:hAnsi="Arial"/>
          <w:sz w:val="25"/>
          <w:szCs w:val="25"/>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Ted Papapostolou</w:t>
      </w:r>
    </w:p>
    <w:p>
      <w:pPr>
        <w:spacing w:after="0" w:line="23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Date: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349885</wp:posOffset>
            </wp:positionV>
            <wp:extent cx="558038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920"/>
              <w:spacing w:after="0"/>
              <w:rPr>
                <w:sz w:val="20"/>
                <w:szCs w:val="20"/>
                <w:color w:val="auto"/>
              </w:rPr>
            </w:pPr>
            <w:r>
              <w:rPr>
                <w:rFonts w:ascii="Arial" w:cs="Arial" w:eastAsia="Arial" w:hAnsi="Arial"/>
                <w:sz w:val="18"/>
                <w:szCs w:val="18"/>
                <w:b w:val="1"/>
                <w:bCs w:val="1"/>
                <w:color w:val="auto"/>
              </w:rPr>
              <w:t>EXHIBIT 21.1</w:t>
            </w:r>
          </w:p>
        </w:tc>
      </w:tr>
      <w:tr>
        <w:trPr>
          <w:trHeight w:val="675"/>
        </w:trPr>
        <w:tc>
          <w:tcPr>
            <w:tcW w:w="80" w:type="dxa"/>
            <w:vAlign w:val="bottom"/>
          </w:tcPr>
          <w:p>
            <w:pPr>
              <w:spacing w:after="0"/>
              <w:rPr>
                <w:sz w:val="24"/>
                <w:szCs w:val="24"/>
                <w:color w:val="auto"/>
              </w:rPr>
            </w:pPr>
          </w:p>
        </w:tc>
        <w:tc>
          <w:tcPr>
            <w:tcW w:w="7360" w:type="dxa"/>
            <w:vAlign w:val="bottom"/>
            <w:gridSpan w:val="2"/>
          </w:tcPr>
          <w:p>
            <w:pPr>
              <w:ind w:left="3100"/>
              <w:spacing w:after="0"/>
              <w:rPr>
                <w:sz w:val="20"/>
                <w:szCs w:val="20"/>
                <w:color w:val="auto"/>
              </w:rPr>
            </w:pPr>
            <w:r>
              <w:rPr>
                <w:rFonts w:ascii="Arial" w:cs="Arial" w:eastAsia="Arial" w:hAnsi="Arial"/>
                <w:sz w:val="18"/>
                <w:szCs w:val="18"/>
                <w:b w:val="1"/>
                <w:bCs w:val="1"/>
                <w:color w:val="auto"/>
              </w:rPr>
              <w:t>SUBSIDIARIES OF THE REGISTRANT</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7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Entity</w:t>
            </w:r>
          </w:p>
        </w:tc>
        <w:tc>
          <w:tcPr>
            <w:tcW w:w="360" w:type="dxa"/>
            <w:vAlign w:val="bottom"/>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26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Icahn Enterprises Holdings L.P.</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American Entertainment Properties Corp.</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AEP Real Estate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AEP CCR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 Net Lease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New Seabury Homes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Utility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AREP Debt HoldCo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AREP Florida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AREP New York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AREP Real Estate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Atlantic Coast Entertainment Holdings, Inc.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Development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Falling Waters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Flat Pond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Hammond Ridge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Pondview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Bayswater Seaside II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GH Vero Beach Development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GH Vero Holdings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Grand Harbor Golf Club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Grand Harbor North Land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Icahn Automotive Service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Icahn Automotive Group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767 Auto Leasing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Icahn Enterprises Onshore/Offshore Investors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Icahn Strategy Holding Corp.</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IEH Auto Parts Holding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IEH BioPharma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IEH Loop Road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IEH Sherman Drive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Energy Holding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Ferrous Brazil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Ferrous Brazil Sub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AC Holdings LP</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AC Plaza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7"/>
              </w:rPr>
              <w:t>New Jersey</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TERH LP, Inc.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TTM Associates</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7"/>
              </w:rPr>
              <w:t>New Jersey</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TER Holdings I, Inc. f/k/a Trump Entertainment Resorts, Inc.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Peachtree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Valley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IEP Viga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6"/>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New Seabury Golf Club LLC</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New Seabury Properties L.L.C .</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2"/>
              </w:rPr>
              <w:t>Delaware</w:t>
            </w:r>
          </w:p>
        </w:tc>
      </w:tr>
      <w:tr>
        <w:trPr>
          <w:trHeight w:val="790"/>
        </w:trPr>
        <w:tc>
          <w:tcPr>
            <w:tcW w:w="80" w:type="dxa"/>
            <w:vAlign w:val="bottom"/>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580"/>
          </w:cols>
          <w:pgMar w:left="1160" w:top="121" w:right="115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60" w:type="dxa"/>
            <w:vAlign w:val="bottom"/>
            <w:gridSpan w:val="2"/>
          </w:tcPr>
          <w:p>
            <w:pPr>
              <w:spacing w:after="0"/>
              <w:rPr>
                <w:sz w:val="20"/>
                <w:szCs w:val="20"/>
                <w:color w:val="auto"/>
              </w:rPr>
            </w:pPr>
            <w:r>
              <w:rPr>
                <w:rFonts w:ascii="Arial" w:cs="Arial" w:eastAsia="Arial" w:hAnsi="Arial"/>
                <w:sz w:val="18"/>
                <w:szCs w:val="18"/>
                <w:color w:val="auto"/>
              </w:rPr>
              <w:t>New Seabury Real Estate Holdings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NS Beach Club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VB Community Management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Vero Beach Acquisition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IEP Eagle Beach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Eagle Entertainment Cayman Holdings Company Ltd.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88"/>
              </w:rPr>
              <w:t>Cayman Islands</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Abura Development Corporation</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5"/>
              </w:rPr>
              <w:t>Aruba</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Eagle Aruba Casino Operating Corporation VBA</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5"/>
              </w:rPr>
              <w:t>Aruba</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Eagle Aruba Resort Operating Corporation VBA</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5"/>
              </w:rPr>
              <w:t>Aruba</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Federal-Mogul Ignition Company</w:t>
            </w:r>
          </w:p>
        </w:tc>
        <w:tc>
          <w:tcPr>
            <w:tcW w:w="2380" w:type="dxa"/>
            <w:vAlign w:val="bottom"/>
          </w:tcPr>
          <w:p>
            <w:pPr>
              <w:jc w:val="center"/>
              <w:ind w:left="330"/>
              <w:spacing w:after="0"/>
              <w:rPr>
                <w:sz w:val="20"/>
                <w:szCs w:val="20"/>
                <w:color w:val="auto"/>
              </w:rPr>
            </w:pPr>
            <w:r>
              <w:rPr>
                <w:rFonts w:ascii="Arial" w:cs="Arial" w:eastAsia="Arial" w:hAnsi="Arial"/>
                <w:sz w:val="18"/>
                <w:szCs w:val="18"/>
                <w:color w:val="auto"/>
                <w:w w:val="95"/>
              </w:rPr>
              <w:t>Missouri</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Federal-Mogul New Products Inc.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IEP Parts Acquisition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IE Gator Leasing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Icahn Enterprises Finance Corp.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Nashville Recycling,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IPH GP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Icahn Capital LP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Icahn Onshore LP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Icahn Offshore LP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Icahn Partners LP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Icahn Agency Services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Icahn Partners Master Fund LP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The Pep Boys Manny Moe &amp; Jack of Delaware, LLC (189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The Pep Boys Manny Moe &amp; Jack (275 "Pep Boys" stores omitted)</w:t>
            </w:r>
          </w:p>
        </w:tc>
        <w:tc>
          <w:tcPr>
            <w:tcW w:w="2380" w:type="dxa"/>
            <w:vAlign w:val="bottom"/>
          </w:tcPr>
          <w:p>
            <w:pPr>
              <w:jc w:val="center"/>
              <w:ind w:left="330"/>
              <w:spacing w:after="0"/>
              <w:rPr>
                <w:sz w:val="20"/>
                <w:szCs w:val="20"/>
                <w:color w:val="auto"/>
              </w:rPr>
            </w:pPr>
            <w:r>
              <w:rPr>
                <w:rFonts w:ascii="Arial" w:cs="Arial" w:eastAsia="Arial" w:hAnsi="Arial"/>
                <w:sz w:val="18"/>
                <w:szCs w:val="18"/>
                <w:color w:val="auto"/>
                <w:w w:val="89"/>
              </w:rPr>
              <w:t>Pennsylvania</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Tire Store Holding Corp.</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Big 10 Tire Stores, LLC (79 "Big 10 Tires"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Pep Boys - Manny, Moe &amp; Jack of Puerto Rico, Inc. (26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Carrus Supply Corporation</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Florida LLC (11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Texas LLC (4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North Carolina LLC (3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Puerto Rico LLC (6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Tennessee LLC (3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Colchester Insurance Company</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1"/>
              </w:rPr>
              <w:t>Vermont</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Pep Boys - Manny, Moe &amp; Jack of Delaware, Inc.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Car Sales US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Car Sales of New York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Car Sales of California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Car Sales of Georgia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Car Sales of Pennsylvania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The Pep Boys - Manny, Moe &amp; Jack of California (224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7"/>
              </w:rPr>
              <w:t>California</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San Diego LLC</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Arizona LLC (14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Alameda LLC (3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Minnesota LLC (2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Illinois LLC (2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Hartford LLC (2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256"/>
        </w:trPr>
        <w:tc>
          <w:tcPr>
            <w:tcW w:w="7060" w:type="dxa"/>
            <w:vAlign w:val="bottom"/>
            <w:gridSpan w:val="2"/>
          </w:tcPr>
          <w:p>
            <w:pPr>
              <w:spacing w:after="0"/>
              <w:rPr>
                <w:sz w:val="20"/>
                <w:szCs w:val="20"/>
                <w:color w:val="auto"/>
              </w:rPr>
            </w:pPr>
            <w:r>
              <w:rPr>
                <w:rFonts w:ascii="Arial" w:cs="Arial" w:eastAsia="Arial" w:hAnsi="Arial"/>
                <w:sz w:val="18"/>
                <w:szCs w:val="18"/>
                <w:color w:val="auto"/>
              </w:rPr>
              <w:t>PB Acquisition Company Massachusettes LLC (2 "Pep Boys" stores omitted)</w:t>
            </w:r>
          </w:p>
        </w:tc>
        <w:tc>
          <w:tcPr>
            <w:tcW w:w="2380" w:type="dxa"/>
            <w:vAlign w:val="bottom"/>
          </w:tcPr>
          <w:p>
            <w:pPr>
              <w:jc w:val="center"/>
              <w:ind w:left="350"/>
              <w:spacing w:after="0"/>
              <w:rPr>
                <w:sz w:val="20"/>
                <w:szCs w:val="20"/>
                <w:color w:val="auto"/>
              </w:rPr>
            </w:pPr>
            <w:r>
              <w:rPr>
                <w:rFonts w:ascii="Arial" w:cs="Arial" w:eastAsia="Arial" w:hAnsi="Arial"/>
                <w:sz w:val="18"/>
                <w:szCs w:val="18"/>
                <w:color w:val="auto"/>
                <w:w w:val="92"/>
              </w:rPr>
              <w:t>Delaware</w:t>
            </w:r>
          </w:p>
        </w:tc>
      </w:tr>
      <w:tr>
        <w:trPr>
          <w:trHeight w:val="763"/>
        </w:trPr>
        <w:tc>
          <w:tcPr>
            <w:tcW w:w="40" w:type="dxa"/>
            <w:vAlign w:val="bottom"/>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949" w:right="125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gridSpan w:val="2"/>
          </w:tcPr>
          <w:p>
            <w:pPr>
              <w:spacing w:after="0"/>
              <w:rPr>
                <w:sz w:val="20"/>
                <w:szCs w:val="20"/>
                <w:color w:val="auto"/>
              </w:rPr>
            </w:pPr>
            <w:r>
              <w:rPr>
                <w:rFonts w:ascii="Arial" w:cs="Arial" w:eastAsia="Arial" w:hAnsi="Arial"/>
                <w:sz w:val="18"/>
                <w:szCs w:val="18"/>
                <w:color w:val="auto"/>
              </w:rPr>
              <w:t>PB Acquisition Company Michigan LLC (5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PB Acquisition Company Nassau LLC (5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PB Acquisition Company Washington LLC (10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Holdings,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JBRE,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CTEX LLC (9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CO LLC (9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AZ LLC (4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GA LLC (6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JBRE NV LLC (6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NTEX LLC (15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FL LLC (24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JBRE STEX LLC (7 "Pep Boys"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Auto Care, Inc. (36 "Precision Tune"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6"/>
              </w:rPr>
              <w:t>Virginia</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Printing,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6"/>
              </w:rPr>
              <w:t>Virginia</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WE JAC Corporation</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Tune Auto Care,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6"/>
              </w:rPr>
              <w:t>Virginia</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PTAC Operating Centers,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6"/>
              </w:rPr>
              <w:t>Virginia</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PTW,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0"/>
              </w:rPr>
              <w:t>Washington</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Franchising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6"/>
              </w:rPr>
              <w:t>Virginia</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PT Auto Care Canada,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85"/>
              </w:rPr>
              <w:t>Canada</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ACC-U-TUNE</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7"/>
              </w:rPr>
              <w:t>California</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National 60 Minute Tune,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0"/>
              </w:rPr>
              <w:t>Washington</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Colorado Tune,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0"/>
              </w:rPr>
              <w:t>Colorado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Miracle Industries, Inc</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94"/>
              </w:rPr>
              <w:t>Ohio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PAC Mexican Delaware Holding Company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Auto Care Mexico II, S. de R.l.</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Auto Care Mexico I, S. de R.l.</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Promotora de Franquicas Praxis, S.A.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Praxis Afinaciones Puerto Rico,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Sixar Afinaciones Puerto Rico,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Praxis Autopartes S.S.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Praxis Afinaciones S.A.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Premier Accessories S.A.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Sixar Afinaciones S.A.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Sixar Guadalajara S.A. de C.V.</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Sixar Occidente, S.A.</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4"/>
              </w:rPr>
              <w:t>Mexico</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Miracle Partners,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Precision Building Solutions, Inc.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IEH Auto Parts Holding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IEH BA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IEH AIM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Icahn Automotive Service Partners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IEH Auto Parts LLC (433 "Auto Plus" and 55 "Consumer Auto Parts" stores omitted)</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AP Acquisition Company Clark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AP Acquisition Company Gordon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6"/>
        </w:trPr>
        <w:tc>
          <w:tcPr>
            <w:tcW w:w="7100" w:type="dxa"/>
            <w:vAlign w:val="bottom"/>
            <w:gridSpan w:val="2"/>
          </w:tcPr>
          <w:p>
            <w:pPr>
              <w:spacing w:after="0"/>
              <w:rPr>
                <w:sz w:val="20"/>
                <w:szCs w:val="20"/>
                <w:color w:val="auto"/>
              </w:rPr>
            </w:pPr>
            <w:r>
              <w:rPr>
                <w:rFonts w:ascii="Arial" w:cs="Arial" w:eastAsia="Arial" w:hAnsi="Arial"/>
                <w:sz w:val="18"/>
                <w:szCs w:val="18"/>
                <w:color w:val="auto"/>
              </w:rPr>
              <w:t>AP Acquisition Company Missouri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AP Acquisition Company Washington LLC</w:t>
            </w:r>
          </w:p>
        </w:tc>
        <w:tc>
          <w:tcPr>
            <w:tcW w:w="234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r>
      <w:tr>
        <w:trPr>
          <w:trHeight w:val="763"/>
        </w:trPr>
        <w:tc>
          <w:tcPr>
            <w:tcW w:w="4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949" w:right="125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gridSpan w:val="2"/>
          </w:tcPr>
          <w:p>
            <w:pPr>
              <w:spacing w:after="0"/>
              <w:rPr>
                <w:sz w:val="20"/>
                <w:szCs w:val="20"/>
                <w:color w:val="auto"/>
              </w:rPr>
            </w:pPr>
            <w:r>
              <w:rPr>
                <w:rFonts w:ascii="Arial" w:cs="Arial" w:eastAsia="Arial" w:hAnsi="Arial"/>
                <w:sz w:val="18"/>
                <w:szCs w:val="18"/>
                <w:color w:val="auto"/>
              </w:rPr>
              <w:t>AP Acquisition Company Massachusetts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AP Acquisition Company New York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AP Acquisition Company North Carolina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Transmissions, LLC</w:t>
            </w:r>
          </w:p>
        </w:tc>
        <w:tc>
          <w:tcPr>
            <w:tcW w:w="3380" w:type="dxa"/>
            <w:vAlign w:val="bottom"/>
          </w:tcPr>
          <w:p>
            <w:pPr>
              <w:jc w:val="center"/>
              <w:ind w:left="1330"/>
              <w:spacing w:after="0"/>
              <w:rPr>
                <w:sz w:val="20"/>
                <w:szCs w:val="20"/>
                <w:color w:val="auto"/>
              </w:rPr>
            </w:pPr>
            <w:r>
              <w:rPr>
                <w:rFonts w:ascii="Arial" w:cs="Arial" w:eastAsia="Arial" w:hAnsi="Arial"/>
                <w:sz w:val="18"/>
                <w:szCs w:val="18"/>
                <w:color w:val="auto"/>
                <w:w w:val="89"/>
              </w:rPr>
              <w:t>Pennsylvania</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Canada,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85"/>
              </w:rPr>
              <w:t>Canada</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American Driveline Technical Services, LLC</w:t>
            </w:r>
          </w:p>
        </w:tc>
        <w:tc>
          <w:tcPr>
            <w:tcW w:w="3380" w:type="dxa"/>
            <w:vAlign w:val="bottom"/>
          </w:tcPr>
          <w:p>
            <w:pPr>
              <w:jc w:val="center"/>
              <w:ind w:left="1330"/>
              <w:spacing w:after="0"/>
              <w:rPr>
                <w:sz w:val="20"/>
                <w:szCs w:val="20"/>
                <w:color w:val="auto"/>
              </w:rPr>
            </w:pPr>
            <w:r>
              <w:rPr>
                <w:rFonts w:ascii="Arial" w:cs="Arial" w:eastAsia="Arial" w:hAnsi="Arial"/>
                <w:sz w:val="18"/>
                <w:szCs w:val="18"/>
                <w:color w:val="auto"/>
                <w:w w:val="89"/>
              </w:rPr>
              <w:t>Pennsylvania</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American Driveline Centers, LLC</w:t>
            </w:r>
          </w:p>
        </w:tc>
        <w:tc>
          <w:tcPr>
            <w:tcW w:w="3380" w:type="dxa"/>
            <w:vAlign w:val="bottom"/>
          </w:tcPr>
          <w:p>
            <w:pPr>
              <w:jc w:val="center"/>
              <w:ind w:left="1330"/>
              <w:spacing w:after="0"/>
              <w:rPr>
                <w:sz w:val="20"/>
                <w:szCs w:val="20"/>
                <w:color w:val="auto"/>
              </w:rPr>
            </w:pPr>
            <w:r>
              <w:rPr>
                <w:rFonts w:ascii="Arial" w:cs="Arial" w:eastAsia="Arial" w:hAnsi="Arial"/>
                <w:sz w:val="18"/>
                <w:szCs w:val="18"/>
                <w:color w:val="auto"/>
                <w:w w:val="89"/>
              </w:rPr>
              <w:t>Pennsylvania</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Cottman Transmission Systems,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Ross Advertising, LLC</w:t>
            </w:r>
          </w:p>
        </w:tc>
        <w:tc>
          <w:tcPr>
            <w:tcW w:w="3380" w:type="dxa"/>
            <w:vAlign w:val="bottom"/>
          </w:tcPr>
          <w:p>
            <w:pPr>
              <w:jc w:val="center"/>
              <w:ind w:left="1330"/>
              <w:spacing w:after="0"/>
              <w:rPr>
                <w:sz w:val="20"/>
                <w:szCs w:val="20"/>
                <w:color w:val="auto"/>
              </w:rPr>
            </w:pPr>
            <w:r>
              <w:rPr>
                <w:rFonts w:ascii="Arial" w:cs="Arial" w:eastAsia="Arial" w:hAnsi="Arial"/>
                <w:sz w:val="18"/>
                <w:szCs w:val="18"/>
                <w:color w:val="auto"/>
                <w:w w:val="89"/>
              </w:rPr>
              <w:t>Pennsylvania</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AAMCO Retail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Northeast LLC (3 "AAMCO" stores omitted)</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Northwest LLC (10 "AAMCO" stores omitted)</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Southeast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AAMCO Southwest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Transom ADS Holdings Corp</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American Driveline Systems,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Energy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Energy Holdings,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CVR Services,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Coffeyville Resources Refining &amp; Marketing,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Coffeyville Resources Crude Transportation,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Coffeyville Resources Terminal,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Coffeyville Resources Pipeline,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GP,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Partners, LP</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Coffeyville Resources Nitrogen Fertilizers,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Wynnewood Energy Company,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Wynnewood Refining Company,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Refining,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CVR Refining, LP</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Refining GP,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CVR Nitrogen GP,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CVR Nitrogen, LP</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CVR Nitrogen Finance Corporation</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East Dubuque Nitrogen Fertlizers,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Wynnewood Insurance Corporation</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85"/>
              </w:rPr>
              <w:t>Texas</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CVR Nitrogen Holdings, LLC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Viskase Companies,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WSC Corp.</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Viskase Films, Inc.</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2"/>
              </w:rPr>
              <w:t>Delaware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del Norte, S.A. de C.V.</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4"/>
              </w:rPr>
              <w:t>Mexico</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Servicos Viskase del Norte, S.A. de C.V.</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4"/>
              </w:rPr>
              <w:t>Mexico</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S.A.S.</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89"/>
              </w:rPr>
              <w:t>France</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SpA</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rPr>
              <w:t>Italy</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Gmbh</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89"/>
              </w:rPr>
              <w:t>Germany</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Polska SP.ZO.O</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89"/>
              </w:rPr>
              <w:t>Poland</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Spain SL</w:t>
            </w:r>
          </w:p>
        </w:tc>
        <w:tc>
          <w:tcPr>
            <w:tcW w:w="3380" w:type="dxa"/>
            <w:vAlign w:val="bottom"/>
          </w:tcPr>
          <w:p>
            <w:pPr>
              <w:jc w:val="center"/>
              <w:ind w:left="1350"/>
              <w:spacing w:after="0"/>
              <w:rPr>
                <w:sz w:val="20"/>
                <w:szCs w:val="20"/>
                <w:color w:val="auto"/>
              </w:rPr>
            </w:pPr>
            <w:r>
              <w:rPr>
                <w:rFonts w:ascii="Arial" w:cs="Arial" w:eastAsia="Arial" w:hAnsi="Arial"/>
                <w:sz w:val="18"/>
                <w:szCs w:val="18"/>
                <w:color w:val="auto"/>
                <w:w w:val="91"/>
              </w:rPr>
              <w:t>Spain</w:t>
            </w: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Viskase Brasil Embalagens Ltda</w:t>
            </w:r>
          </w:p>
        </w:tc>
        <w:tc>
          <w:tcPr>
            <w:tcW w:w="3380" w:type="dxa"/>
            <w:vAlign w:val="bottom"/>
          </w:tcPr>
          <w:p>
            <w:pPr>
              <w:jc w:val="center"/>
              <w:ind w:left="1330"/>
              <w:spacing w:after="0"/>
              <w:rPr>
                <w:sz w:val="20"/>
                <w:szCs w:val="20"/>
                <w:color w:val="auto"/>
              </w:rPr>
            </w:pPr>
            <w:r>
              <w:rPr>
                <w:rFonts w:ascii="Arial" w:cs="Arial" w:eastAsia="Arial" w:hAnsi="Arial"/>
                <w:sz w:val="18"/>
                <w:szCs w:val="18"/>
                <w:color w:val="auto"/>
                <w:w w:val="97"/>
              </w:rPr>
              <w:t>Brazil</w:t>
            </w:r>
          </w:p>
        </w:tc>
      </w:tr>
      <w:tr>
        <w:trPr>
          <w:trHeight w:val="763"/>
        </w:trPr>
        <w:tc>
          <w:tcPr>
            <w:tcW w:w="4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949" w:right="12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Viskase Asia Pacific Corp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Viskase Sales Philippines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Viskase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Walsroder Casings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CT Casings Beteiligungs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LLC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WestPoint Home Netherlands Holding, LLC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WestPoint Home (Netherlands) Coopertief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Asia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Pakistan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IP,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Trademarks,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Property Holdings I,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Property Holdings II,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Stores,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Sales,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WPH - Nostalgia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Lanier/Carter,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Lumberton,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Wagram,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Clemson,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Wagram Facility,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(Netherlands)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(Bahrain) W.L.L.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(Shanghai)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WestPoint Home Luxury Linens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Greenville,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LMP,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Opelika Lots,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WP Properties Lakeview, LLC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WP Properties Transportation Center, LLC</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WestPoint VSS Holding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Linens Global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Linens Group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Services Asia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Services Limited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Vision Support Services Pakistan (Private) Ltd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VSS Sourcing (India) Private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Services (Ningbo)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Gulf FZE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Services Europe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Linens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Lissadell Liddell Ireland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Linens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 Whitaker Services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HLL Linens Private Limited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Vision Support Trading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VSS Support Global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494665</wp:posOffset>
            </wp:positionV>
            <wp:extent cx="596646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Philippines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Philippines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Germany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Germany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Netherlands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British Virgin Islands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Nevada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British Virgin Islands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Bahrain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China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Hong Kong</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Mauritius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Pakistan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China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United Arab Emirates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of Ireland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of Ireland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Netherlands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United Arab Emirates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India</w:t>
      </w:r>
    </w:p>
    <w:p>
      <w:pPr>
        <w:sectPr>
          <w:pgSz w:w="11900" w:h="16838" w:orient="portrait"/>
          <w:cols w:equalWidth="0" w:num="2">
            <w:col w:w="6960" w:space="720"/>
            <w:col w:w="1580"/>
          </w:cols>
          <w:pgMar w:left="1200" w:top="949" w:right="14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44"/>
        </w:trPr>
        <w:tc>
          <w:tcPr>
            <w:tcW w:w="5600" w:type="dxa"/>
            <w:vAlign w:val="bottom"/>
            <w:gridSpan w:val="2"/>
          </w:tcPr>
          <w:p>
            <w:pPr>
              <w:spacing w:after="0"/>
              <w:rPr>
                <w:sz w:val="20"/>
                <w:szCs w:val="20"/>
                <w:color w:val="auto"/>
              </w:rPr>
            </w:pPr>
            <w:r>
              <w:rPr>
                <w:rFonts w:ascii="Arial" w:cs="Arial" w:eastAsia="Arial" w:hAnsi="Arial"/>
                <w:sz w:val="18"/>
                <w:szCs w:val="18"/>
                <w:color w:val="auto"/>
              </w:rPr>
              <w:t>Vision Support Services (Shanghai) Limited</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w w:val="89"/>
              </w:rPr>
              <w:t>China</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VIVUS LLC</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w w:val="92"/>
              </w:rPr>
              <w:t>Delaware</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Vivus Pharmaceuticals Limited</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w w:val="85"/>
              </w:rPr>
              <w:t>Canada</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VIVUS BV</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w w:val="88"/>
              </w:rPr>
              <w:t>Netherlands</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Vivus Digital Health</w:t>
            </w:r>
          </w:p>
        </w:tc>
        <w:tc>
          <w:tcPr>
            <w:tcW w:w="3840" w:type="dxa"/>
            <w:vAlign w:val="bottom"/>
          </w:tcPr>
          <w:p>
            <w:pPr>
              <w:jc w:val="center"/>
              <w:ind w:left="1810"/>
              <w:spacing w:after="0"/>
              <w:rPr>
                <w:sz w:val="20"/>
                <w:szCs w:val="20"/>
                <w:color w:val="auto"/>
              </w:rPr>
            </w:pPr>
            <w:r>
              <w:rPr>
                <w:rFonts w:ascii="Arial" w:cs="Arial" w:eastAsia="Arial" w:hAnsi="Arial"/>
                <w:sz w:val="18"/>
                <w:szCs w:val="18"/>
                <w:color w:val="auto"/>
                <w:w w:val="92"/>
              </w:rPr>
              <w:t>Delaware</w:t>
            </w:r>
          </w:p>
        </w:tc>
      </w:tr>
      <w:tr>
        <w:trPr>
          <w:trHeight w:val="1006"/>
        </w:trPr>
        <w:tc>
          <w:tcPr>
            <w:tcW w:w="4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00" w:top="949" w:right="125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GUARANTOR</w:t>
      </w:r>
    </w:p>
    <w:p>
      <w:pPr>
        <w:spacing w:after="0" w:line="200" w:lineRule="exact"/>
        <w:rPr>
          <w:sz w:val="20"/>
          <w:szCs w:val="20"/>
          <w:color w:val="auto"/>
        </w:rPr>
      </w:pPr>
    </w:p>
    <w:p>
      <w:pPr>
        <w:spacing w:after="0" w:line="286"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Each of the senior unsecured notes listed below have been issued by Icahn Enterprises L.P. (“Icahn Enterprises”) and Icahn Enterprises Finance Corp. (“Icahn Enterprises Finance”), as co-issuers, and are guaranteed by Icahn Enterprises Holdings L.P. (“Icahn Enterprises Holdings”).</w:t>
      </w:r>
    </w:p>
    <w:p>
      <w:pPr>
        <w:spacing w:after="0" w:line="115"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auto"/>
        </w:rPr>
        <w:t>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6.250% senior unsecured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6.750% senior unsecured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96646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line="234" w:lineRule="auto"/>
        <w:rPr>
          <w:sz w:val="20"/>
          <w:szCs w:val="20"/>
          <w:color w:val="auto"/>
        </w:rPr>
      </w:pPr>
      <w:r>
        <w:rPr>
          <w:rFonts w:ascii="Arial" w:cs="Arial" w:eastAsia="Arial" w:hAnsi="Arial"/>
          <w:sz w:val="18"/>
          <w:szCs w:val="18"/>
          <w:color w:val="auto"/>
        </w:rPr>
        <w:t>4.750% senior unsecured notes due 2024</w:t>
      </w:r>
    </w:p>
    <w:p>
      <w:pPr>
        <w:ind w:left="100"/>
        <w:spacing w:after="0" w:line="235" w:lineRule="auto"/>
        <w:rPr>
          <w:sz w:val="20"/>
          <w:szCs w:val="20"/>
          <w:color w:val="auto"/>
        </w:rPr>
      </w:pPr>
      <w:r>
        <w:rPr>
          <w:rFonts w:ascii="Arial" w:cs="Arial" w:eastAsia="Arial" w:hAnsi="Arial"/>
          <w:sz w:val="18"/>
          <w:szCs w:val="18"/>
          <w:color w:val="auto"/>
        </w:rPr>
        <w:t>6.375% senior unsecured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line="235" w:lineRule="auto"/>
        <w:rPr>
          <w:sz w:val="20"/>
          <w:szCs w:val="20"/>
          <w:color w:val="auto"/>
        </w:rPr>
      </w:pPr>
      <w:r>
        <w:rPr>
          <w:rFonts w:ascii="Arial" w:cs="Arial" w:eastAsia="Arial" w:hAnsi="Arial"/>
          <w:sz w:val="18"/>
          <w:szCs w:val="18"/>
          <w:color w:val="auto"/>
        </w:rPr>
        <w:t>6.250% senior unsecured notes due 2026</w:t>
      </w:r>
    </w:p>
    <w:p>
      <w:pPr>
        <w:ind w:left="100"/>
        <w:spacing w:after="0" w:line="235" w:lineRule="auto"/>
        <w:rPr>
          <w:sz w:val="20"/>
          <w:szCs w:val="20"/>
          <w:color w:val="auto"/>
        </w:rPr>
      </w:pPr>
      <w:r>
        <w:rPr>
          <w:rFonts w:ascii="Arial" w:cs="Arial" w:eastAsia="Arial" w:hAnsi="Arial"/>
          <w:sz w:val="18"/>
          <w:szCs w:val="18"/>
          <w:color w:val="auto"/>
        </w:rPr>
        <w:t>5.250% senior unsecured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4.375% senior unsecured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493395</wp:posOffset>
            </wp:positionV>
            <wp:extent cx="596646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121" w:right="12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issued our reports dated February 25, 2022, with respect to the consolidated financial statements and internal control over financial reporting of Icahn Enterprises L.P. and subsidiaries included in the Annual Report of Icahn Enterprises L.P. on Form 10-K for the year ended December 31, 2021. We consent to the incorporation by reference of said reports in the Registration Statements of Icahn Enterprises L.P. and subsidiaries on Form S-3 (File No. 333-257902) and on Form S-8 (File No. 333-216934).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485775</wp:posOffset>
            </wp:positionV>
            <wp:extent cx="598360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337" w:right="1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Icahn Enterprises L.P. for the year ended December 31, 2021;</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104" w:lineRule="exact"/>
        <w:rPr>
          <w:sz w:val="20"/>
          <w:szCs w:val="20"/>
          <w:color w:val="auto"/>
        </w:rPr>
      </w:pPr>
    </w:p>
    <w:p>
      <w:pPr>
        <w:ind w:left="4120" w:right="80"/>
        <w:spacing w:after="0" w:line="219"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Icahn Enterprises L.P. for the year ended December 31, 2021;</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3386455" cy="25400"/>
                    </a:xfrm>
                    <a:prstGeom prst="rect">
                      <a:avLst/>
                    </a:prstGeom>
                    <a:noFill/>
                  </pic:spPr>
                </pic:pic>
              </a:graphicData>
            </a:graphic>
          </wp:anchor>
        </w:drawing>
      </w:r>
    </w:p>
    <w:p>
      <w:pPr>
        <w:spacing w:after="0" w:line="4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63"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182" w:name="page183"/>
    <w:bookmarkEnd w:id="182"/>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connection with the annual report on Form 10-K of Icahn Enterprises L.P., for the year ended December 31, 2021, the undersigned certify that, to the best of his knowledge, based upon a review of the Icahn Enterprises L.P. annual report on Form 10-K for the year ended December 31, 2021:</w:t>
      </w:r>
    </w:p>
    <w:p>
      <w:pPr>
        <w:spacing w:after="0" w:line="184" w:lineRule="exact"/>
        <w:rPr>
          <w:sz w:val="20"/>
          <w:szCs w:val="20"/>
          <w:color w:val="auto"/>
        </w:rPr>
      </w:pPr>
    </w:p>
    <w:p>
      <w:pPr>
        <w:ind w:right="460" w:firstLine="321"/>
        <w:spacing w:after="0" w:line="277" w:lineRule="auto"/>
        <w:tabs>
          <w:tab w:leader="none" w:pos="5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50" w:lineRule="exact"/>
        <w:rPr>
          <w:sz w:val="20"/>
          <w:szCs w:val="20"/>
          <w:color w:val="auto"/>
        </w:rPr>
      </w:pPr>
    </w:p>
    <w:p>
      <w:pPr>
        <w:ind w:left="4080" w:right="120"/>
        <w:spacing w:after="0" w:line="219"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77" w:lineRule="exact"/>
        <w:rPr>
          <w:sz w:val="20"/>
          <w:szCs w:val="20"/>
          <w:color w:val="auto"/>
        </w:rPr>
      </w:pPr>
    </w:p>
    <w:p>
      <w:pPr>
        <w:ind w:left="4120" w:right="580"/>
        <w:spacing w:after="0" w:line="219"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9"/>
    </w:lvl>
  </w:abstractNum>
  <w:abstractNum w:abstractNumId="21">
    <w:nsid w:val="4B588F54"/>
    <w:multiLevelType w:val="hybridMultilevel"/>
    <w:lvl w:ilvl="0">
      <w:lvlJc w:val="left"/>
      <w:lvlText w:val="%1."/>
      <w:numFmt w:val="decimal"/>
      <w:start w:val="15"/>
    </w:lvl>
  </w:abstractNum>
  <w:abstractNum w:abstractNumId="22">
    <w:nsid w:val="542289EC"/>
    <w:multiLevelType w:val="hybridMultilevel"/>
    <w:lvl w:ilvl="0">
      <w:lvlJc w:val="left"/>
      <w:lvlText w:val="●"/>
      <w:numFmt w:val="bullet"/>
      <w:start w:val="1"/>
    </w:lvl>
    <w:lvl w:ilvl="1">
      <w:lvlJc w:val="left"/>
      <w:lvlText w:val="(%2)"/>
      <w:numFmt w:val="decimal"/>
      <w:start w:val="1"/>
    </w:lvl>
  </w:abstractNum>
  <w:abstractNum w:abstractNumId="23">
    <w:nsid w:val="6DE91B18"/>
    <w:multiLevelType w:val="hybridMultilevel"/>
    <w:lvl w:ilvl="0">
      <w:lvlJc w:val="left"/>
      <w:lvlText w:val="(%1)"/>
      <w:numFmt w:val="decimal"/>
      <w:start w:val="3"/>
    </w:lvl>
  </w:abstractNum>
  <w:abstractNum w:abstractNumId="24">
    <w:nsid w:val="38437FDB"/>
    <w:multiLevelType w:val="hybridMultilevel"/>
    <w:lvl w:ilvl="0">
      <w:lvlJc w:val="left"/>
      <w:lvlText w:val="(%1)"/>
      <w:numFmt w:val="lowerRoman"/>
      <w:start w:val="3"/>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5"/>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3"/>
    </w:lvl>
  </w:abstractNum>
  <w:abstractNum w:abstractNumId="31">
    <w:nsid w:val="1BA026FA"/>
    <w:multiLevelType w:val="hybridMultilevel"/>
    <w:lvl w:ilvl="0">
      <w:lvlJc w:val="left"/>
      <w:lvlText w:val="%1"/>
      <w:numFmt w:val="decimal"/>
      <w:start w:val="104"/>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4"/>
    </w:lvl>
    <w:lvl w:ilvl="1">
      <w:lvlJc w:val="left"/>
      <w:lvlText w:val="(%2)"/>
      <w:numFmt w:val="lowerLetter"/>
      <w:start w:val="2"/>
    </w:lvl>
  </w:abstractNum>
  <w:abstractNum w:abstractNumId="34">
    <w:nsid w:val="12E685FB"/>
    <w:multiLevelType w:val="hybridMultilevel"/>
    <w:lvl w:ilvl="0">
      <w:lvlJc w:val="left"/>
      <w:lvlText w:val="%1"/>
      <w:numFmt w:val="decimal"/>
      <w:start w:val="1"/>
    </w:lvl>
    <w:lvl w:ilvl="1">
      <w:lvlJc w:val="left"/>
      <w:lvlText w:val="(%2)"/>
      <w:numFmt w:val="lowerLetter"/>
      <w:start w:val="61"/>
    </w:lvl>
  </w:abstractNum>
  <w:abstractNum w:abstractNumId="35">
    <w:nsid w:val="70C6A529"/>
    <w:multiLevelType w:val="hybridMultilevel"/>
    <w:lvl w:ilvl="0">
      <w:lvlJc w:val="left"/>
      <w:lvlText w:val="%1"/>
      <w:numFmt w:val="decimal"/>
      <w:start w:val="1"/>
    </w:lvl>
    <w:lvl w:ilvl="1">
      <w:lvlJc w:val="left"/>
      <w:lvlText w:val="(%2)"/>
      <w:numFmt w:val="lowerLetter"/>
      <w:start w:val="1"/>
    </w:lvl>
  </w:abstractNum>
  <w:abstractNum w:abstractNumId="36">
    <w:nsid w:val="520EEDD1"/>
    <w:multiLevelType w:val="hybridMultilevel"/>
    <w:lvl w:ilvl="0">
      <w:lvlJc w:val="left"/>
      <w:lvlText w:val="%1."/>
      <w:numFmt w:val="decimal"/>
      <w:start w:val="6"/>
    </w:lvl>
    <w:lvl w:ilvl="1">
      <w:lvlJc w:val="left"/>
      <w:lvlText w:val="%2"/>
      <w:numFmt w:val="lowerLetter"/>
      <w:start w:val="1"/>
    </w:lvl>
  </w:abstractNum>
  <w:abstractNum w:abstractNumId="37">
    <w:nsid w:val="374A3FE6"/>
    <w:multiLevelType w:val="hybridMultilevel"/>
    <w:lvl w:ilvl="0">
      <w:lvlJc w:val="left"/>
      <w:lvlText w:val="%1."/>
      <w:numFmt w:val="decimal"/>
      <w:start w:val="7"/>
    </w:lvl>
  </w:abstractNum>
  <w:abstractNum w:abstractNumId="38">
    <w:nsid w:val="4F4EF005"/>
    <w:multiLevelType w:val="hybridMultilevel"/>
    <w:lvl w:ilvl="0">
      <w:lvlJc w:val="left"/>
      <w:lvlText w:val="%1"/>
      <w:numFmt w:val="decimal"/>
      <w:start w:val="1"/>
    </w:lvl>
    <w:lvl w:ilvl="1">
      <w:lvlJc w:val="left"/>
      <w:lvlText w:val="(%2)"/>
      <w:numFmt w:val="lowerLetter"/>
      <w:start w:val="2"/>
    </w:lvl>
  </w:abstractNum>
  <w:abstractNum w:abstractNumId="39">
    <w:nsid w:val="23F9C13C"/>
    <w:multiLevelType w:val="hybridMultilevel"/>
    <w:lvl w:ilvl="0">
      <w:lvlJc w:val="left"/>
      <w:lvlText w:val="%1."/>
      <w:numFmt w:val="decimal"/>
      <w:start w:val="8"/>
    </w:lvl>
    <w:lvl w:ilvl="1">
      <w:lvlJc w:val="left"/>
      <w:lvlText w:val="%2"/>
      <w:numFmt w:val="lowerLetter"/>
      <w:start w:val="1"/>
    </w:lvl>
  </w:abstractNum>
  <w:abstractNum w:abstractNumId="40">
    <w:nsid w:val="649BB77C"/>
    <w:multiLevelType w:val="hybridMultilevel"/>
    <w:lvl w:ilvl="0">
      <w:lvlJc w:val="left"/>
      <w:lvlText w:val="%1."/>
      <w:numFmt w:val="decimal"/>
      <w:start w:val="14"/>
    </w:lvl>
  </w:abstractNum>
  <w:abstractNum w:abstractNumId="41">
    <w:nsid w:val="275AC794"/>
    <w:multiLevelType w:val="hybridMultilevel"/>
    <w:lvl w:ilvl="0">
      <w:lvlJc w:val="left"/>
      <w:lvlText w:val="%1."/>
      <w:numFmt w:val="decimal"/>
      <w:start w:val="1"/>
    </w:lvl>
    <w:lvl w:ilvl="1">
      <w:lvlJc w:val="left"/>
      <w:lvlText w:val="(%2)"/>
      <w:numFmt w:val="lowerLetter"/>
      <w:start w:val="1"/>
    </w:lvl>
  </w:abstractNum>
  <w:abstractNum w:abstractNumId="42">
    <w:nsid w:val="3938657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3">
    <w:nsid w:val="1CF10FD8"/>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44">
    <w:nsid w:val="180115BE"/>
    <w:multiLevelType w:val="hybridMultilevel"/>
    <w:lvl w:ilvl="0">
      <w:lvlJc w:val="left"/>
      <w:lvlText w:val="%1"/>
      <w:numFmt w:val="decimal"/>
      <w:start w:val="1"/>
    </w:lvl>
    <w:lvl w:ilvl="1">
      <w:lvlJc w:val="left"/>
      <w:lvlText w:val="(%2)"/>
      <w:numFmt w:val="lowerLetter"/>
      <w:start w:val="4"/>
    </w:lvl>
  </w:abstractNum>
  <w:abstractNum w:abstractNumId="45">
    <w:nsid w:val="235BA861"/>
    <w:multiLevelType w:val="hybridMultilevel"/>
    <w:lvl w:ilvl="0">
      <w:lvlJc w:val="left"/>
      <w:lvlText w:val="%1."/>
      <w:numFmt w:val="decimal"/>
      <w:start w:val="3"/>
    </w:lvl>
    <w:lvl w:ilvl="1">
      <w:lvlJc w:val="left"/>
      <w:lvlText w:val="(%2)"/>
      <w:numFmt w:val="lowerLetter"/>
      <w:start w:val="1"/>
    </w:lvl>
  </w:abstractNum>
  <w:abstractNum w:abstractNumId="46">
    <w:nsid w:val="47398C89"/>
    <w:multiLevelType w:val="hybridMultilevel"/>
    <w:lvl w:ilvl="0">
      <w:lvlJc w:val="left"/>
      <w:lvlText w:val="%1"/>
      <w:numFmt w:val="decimal"/>
      <w:start w:val="1"/>
    </w:lvl>
    <w:lvl w:ilvl="1">
      <w:lvlJc w:val="left"/>
      <w:lvlText w:val="(%2)"/>
      <w:numFmt w:val="lowerLetter"/>
      <w:start w:val="2"/>
    </w:lvl>
  </w:abstractNum>
  <w:abstractNum w:abstractNumId="47">
    <w:nsid w:val="354FE9F9"/>
    <w:multiLevelType w:val="hybridMultilevel"/>
    <w:lvl w:ilvl="0">
      <w:lvlJc w:val="left"/>
      <w:lvlText w:val="%1."/>
      <w:numFmt w:val="decimal"/>
      <w:start w:val="6"/>
    </w:lvl>
    <w:lvl w:ilvl="1">
      <w:lvlJc w:val="left"/>
      <w:lvlText w:val="%2"/>
      <w:numFmt w:val="lowerLetter"/>
      <w:start w:val="1"/>
    </w:lvl>
  </w:abstractNum>
  <w:abstractNum w:abstractNumId="48">
    <w:nsid w:val="15B5AF5C"/>
    <w:multiLevelType w:val="hybridMultilevel"/>
    <w:lvl w:ilvl="0">
      <w:lvlJc w:val="left"/>
      <w:lvlText w:val="%1."/>
      <w:numFmt w:val="decimal"/>
      <w:start w:val="9"/>
    </w:lvl>
  </w:abstractNum>
  <w:abstractNum w:abstractNumId="49">
    <w:nsid w:val="741226BB"/>
    <w:multiLevelType w:val="hybridMultilevel"/>
    <w:lvl w:ilvl="0">
      <w:lvlJc w:val="left"/>
      <w:lvlText w:val="%1."/>
      <w:numFmt w:val="decimal"/>
      <w:start w:val="14"/>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2"/>
    </w:lvl>
    <w:lvl w:ilvl="1">
      <w:lvlJc w:val="left"/>
      <w:lvlText w:val="(%2)"/>
      <w:numFmt w:val="lowerLetter"/>
      <w:start w:val="1"/>
    </w:lvl>
  </w:abstractNum>
  <w:abstractNum w:abstractNumId="52">
    <w:nsid w:val="3F6AB60F"/>
    <w:multiLevelType w:val="hybridMultilevel"/>
    <w:lvl w:ilvl="0">
      <w:lvlJc w:val="left"/>
      <w:lvlText w:val="%1"/>
      <w:numFmt w:val="decimal"/>
      <w:start w:val="1"/>
    </w:lvl>
    <w:lvl w:ilvl="1">
      <w:lvlJc w:val="left"/>
      <w:lvlText w:val="(%2)"/>
      <w:numFmt w:val="lowerLetter"/>
      <w:start w:val="4"/>
    </w:lvl>
  </w:abstractNum>
  <w:abstractNum w:abstractNumId="53">
    <w:nsid w:val="61574095"/>
    <w:multiLevelType w:val="hybridMultilevel"/>
    <w:lvl w:ilvl="0">
      <w:lvlJc w:val="left"/>
      <w:lvlText w:val="%1."/>
      <w:numFmt w:val="decimal"/>
      <w:start w:val="5"/>
    </w:lvl>
    <w:lvl w:ilvl="1">
      <w:lvlJc w:val="left"/>
      <w:lvlText w:val="%2"/>
      <w:numFmt w:val="lowerLetter"/>
      <w:start w:val="1"/>
    </w:lvl>
  </w:abstractNum>
  <w:abstractNum w:abstractNumId="54">
    <w:nsid w:val="7E0C57B1"/>
    <w:multiLevelType w:val="hybridMultilevel"/>
    <w:lvl w:ilvl="0">
      <w:lvlJc w:val="left"/>
      <w:lvlText w:val="%1."/>
      <w:numFmt w:val="decimal"/>
      <w:start w:val="1"/>
    </w:lvl>
    <w:lvl w:ilvl="1">
      <w:lvlJc w:val="left"/>
      <w:lvlText w:val="(%2)"/>
      <w:numFmt w:val="lowerLetter"/>
      <w:start w:val="1"/>
    </w:lvl>
  </w:abstractNum>
  <w:abstractNum w:abstractNumId="55">
    <w:nsid w:val="77AE35E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6">
    <w:nsid w:val="579BE4F1"/>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57">
    <w:nsid w:val="310C50B3"/>
    <w:multiLevelType w:val="hybridMultilevel"/>
    <w:lvl w:ilvl="0">
      <w:lvlJc w:val="left"/>
      <w:lvlText w:val="%1"/>
      <w:numFmt w:val="decimal"/>
      <w:start w:val="1"/>
    </w:lvl>
    <w:lvl w:ilvl="1">
      <w:lvlJc w:val="left"/>
      <w:lvlText w:val="(%2)"/>
      <w:numFmt w:val="lowerLetter"/>
      <w:start w:val="4"/>
    </w:lvl>
  </w:abstractNum>
  <w:abstractNum w:abstractNumId="58">
    <w:nsid w:val="5FF87E05"/>
    <w:multiLevelType w:val="hybridMultilevel"/>
    <w:lvl w:ilvl="0">
      <w:lvlJc w:val="left"/>
      <w:lvlText w:val="%1."/>
      <w:numFmt w:val="decimal"/>
      <w:start w:val="3"/>
    </w:lvl>
    <w:lvl w:ilvl="1">
      <w:lvlJc w:val="left"/>
      <w:lvlText w:val="(%2)"/>
      <w:numFmt w:val="lowerLetter"/>
      <w:start w:val="1"/>
    </w:lvl>
  </w:abstractNum>
  <w:abstractNum w:abstractNumId="59">
    <w:nsid w:val="2F305DEF"/>
    <w:multiLevelType w:val="hybridMultilevel"/>
    <w:lvl w:ilvl="0">
      <w:lvlJc w:val="left"/>
      <w:lvlText w:val="%1"/>
      <w:numFmt w:val="decimal"/>
      <w:start w:val="1"/>
    </w:lvl>
    <w:lvl w:ilvl="1">
      <w:lvlJc w:val="left"/>
      <w:lvlText w:val="(%2)"/>
      <w:numFmt w:val="lowerLetter"/>
      <w:start w:val="2"/>
    </w:lvl>
  </w:abstractNum>
  <w:abstractNum w:abstractNumId="60">
    <w:nsid w:val="25A70BF7"/>
    <w:multiLevelType w:val="hybridMultilevel"/>
    <w:lvl w:ilvl="0">
      <w:lvlJc w:val="left"/>
      <w:lvlText w:val="%1."/>
      <w:numFmt w:val="decimal"/>
      <w:start w:val="6"/>
    </w:lvl>
    <w:lvl w:ilvl="1">
      <w:lvlJc w:val="left"/>
      <w:lvlText w:val="%2"/>
      <w:numFmt w:val="lowerLetter"/>
      <w:start w:val="1"/>
    </w:lvl>
  </w:abstractNum>
  <w:abstractNum w:abstractNumId="61">
    <w:nsid w:val="1DBABF00"/>
    <w:multiLevelType w:val="hybridMultilevel"/>
    <w:lvl w:ilvl="0">
      <w:lvlJc w:val="left"/>
      <w:lvlText w:val="%1."/>
      <w:numFmt w:val="decimal"/>
      <w:start w:val="9"/>
    </w:lvl>
  </w:abstractNum>
  <w:abstractNum w:abstractNumId="62">
    <w:nsid w:val="4AD084E9"/>
    <w:multiLevelType w:val="hybridMultilevel"/>
    <w:lvl w:ilvl="0">
      <w:lvlJc w:val="left"/>
      <w:lvlText w:val="%1."/>
      <w:numFmt w:val="decimal"/>
      <w:start w:val="14"/>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2"/>
    </w:lvl>
    <w:lvl w:ilvl="1">
      <w:lvlJc w:val="left"/>
      <w:lvlText w:val="(%2)"/>
      <w:numFmt w:val="lowerLetter"/>
      <w:start w:val="1"/>
    </w:lvl>
  </w:abstractNum>
  <w:abstractNum w:abstractNumId="65">
    <w:nsid w:val="5DB70AE5"/>
    <w:multiLevelType w:val="hybridMultilevel"/>
    <w:lvl w:ilvl="0">
      <w:lvlJc w:val="left"/>
      <w:lvlText w:val="%1"/>
      <w:numFmt w:val="decimal"/>
      <w:start w:val="1"/>
    </w:lvl>
    <w:lvl w:ilvl="1">
      <w:lvlJc w:val="left"/>
      <w:lvlText w:val="(%2)"/>
      <w:numFmt w:val="lowerLetter"/>
      <w:start w:val="4"/>
    </w:lvl>
  </w:abstractNum>
  <w:abstractNum w:abstractNumId="66">
    <w:nsid w:val="100F8FCA"/>
    <w:multiLevelType w:val="hybridMultilevel"/>
    <w:lvl w:ilvl="0">
      <w:lvlJc w:val="left"/>
      <w:lvlText w:val="%1."/>
      <w:numFmt w:val="decimal"/>
      <w:start w:val="5"/>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4" Type="http://schemas.openxmlformats.org/officeDocument/2006/relationships/image" Target="media/image154.png"/><Relationship Id="rId177" Type="http://schemas.openxmlformats.org/officeDocument/2006/relationships/image" Target="media/image155.png"/><Relationship Id="rId192" Type="http://schemas.openxmlformats.org/officeDocument/2006/relationships/image" Target="media/image156.png"/><Relationship Id="rId207"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15" Type="http://schemas.openxmlformats.org/officeDocument/2006/relationships/hyperlink" Target="https://www.sec.gov/ix?doc=/Archives/edgar/data/813762/000081376220000008/iep-20191231.htm" TargetMode="External"/><Relationship Id="rId46" Type="http://schemas.openxmlformats.org/officeDocument/2006/relationships/hyperlink" Target="https://www.sec.gov/ix?doc=/Archives/edgar/data/813762/000155837021002010/tmb-20201231x10k.htm" TargetMode="External"/><Relationship Id="rId163" Type="http://schemas.openxmlformats.org/officeDocument/2006/relationships/hyperlink" Target="https://www.sec.gov/Archives/edgar/data/813762/000110465916143329/a16-17984_1ex2d1.htm" TargetMode="External"/><Relationship Id="rId165" Type="http://schemas.openxmlformats.org/officeDocument/2006/relationships/hyperlink" Target="https://www.sec.gov/Archives/edgar/data/813762/000114420416140174/v449727_ex2-1.htm" TargetMode="External"/><Relationship Id="rId166" Type="http://schemas.openxmlformats.org/officeDocument/2006/relationships/hyperlink" Target="https://www.sec.gov/Archives/edgar/data/813762/000119312518112277/d554615dex21.htm" TargetMode="External"/><Relationship Id="rId167" Type="http://schemas.openxmlformats.org/officeDocument/2006/relationships/hyperlink" Target="https://www.sec.gov/Archives/edgar/data/813762/000110465918024062/a18-11003_1ex2d1.htm" TargetMode="External"/><Relationship Id="rId168" Type="http://schemas.openxmlformats.org/officeDocument/2006/relationships/hyperlink" Target="https://www.sec.gov/Archives/edgar/data/813762/000114036118040981/s002486x3_ex2-1.htm" TargetMode="External"/><Relationship Id="rId169" Type="http://schemas.openxmlformats.org/officeDocument/2006/relationships/hyperlink" Target="https://www.sec.gov/Archives/edgar/data/813762/000114420407050385/v088216_ex3-1.htm" TargetMode="External"/><Relationship Id="rId170" Type="http://schemas.openxmlformats.org/officeDocument/2006/relationships/hyperlink" Target="https://www.sec.gov/Archives/edgar/data/813762/000114420408015862/v106776_ex3-9.htm" TargetMode="External"/><Relationship Id="rId171" Type="http://schemas.openxmlformats.org/officeDocument/2006/relationships/hyperlink" Target="https://www.sec.gov/Archives/edgar/data/813762/000081376216000089/iep-ex31_amendedandrestate.htm" TargetMode="External"/><Relationship Id="rId172" Type="http://schemas.openxmlformats.org/officeDocument/2006/relationships/hyperlink" Target="https://www.sec.gov/Archives/edgar/data/813762/000095012304006078/y97041exv3w5.txt" TargetMode="External"/><Relationship Id="rId173" Type="http://schemas.openxmlformats.org/officeDocument/2006/relationships/hyperlink" Target="https://www.sec.gov/Archives/edgar/data/813762/0000897204-96-000093.txt" TargetMode="External"/><Relationship Id="rId174" Type="http://schemas.openxmlformats.org/officeDocument/2006/relationships/hyperlink" Target="https://www.sec.gov/Archives/edgar/data/813762/000095011703001233/ex3-9.txt" TargetMode="External"/><Relationship Id="rId175" Type="http://schemas.openxmlformats.org/officeDocument/2006/relationships/hyperlink" Target="https://www.sec.gov/Archives/edgar/data/813762/000095012305009643/y11364exv3w2.htm" TargetMode="External"/><Relationship Id="rId176" Type="http://schemas.openxmlformats.org/officeDocument/2006/relationships/hyperlink" Target="https://www.sec.gov/Archives/edgar/data/813762/000114420408015862/v106776_ex3-11.htm" TargetMode="External"/><Relationship Id="rId178" Type="http://schemas.openxmlformats.org/officeDocument/2006/relationships/hyperlink" Target="https://www.sec.gov/Archives/edgar/data/813762/000081376220000008/ex41123119.htm" TargetMode="External"/><Relationship Id="rId179" Type="http://schemas.openxmlformats.org/officeDocument/2006/relationships/hyperlink" Target="https://www.sec.gov/Archives/edgar/data/813762/000095012305003242/y06341exv4w4.htm" TargetMode="External"/><Relationship Id="rId180" Type="http://schemas.openxmlformats.org/officeDocument/2006/relationships/hyperlink" Target="https://www.sec.gov/Archives/edgar/data/813762/000095012305003242/y06341exv4w3.htm" TargetMode="External"/><Relationship Id="rId181" Type="http://schemas.openxmlformats.org/officeDocument/2006/relationships/hyperlink" Target="https://www.sec.gov/Archives/edgar/data/813762/000081376216000089/iep-ex41_certificatex8416.htm" TargetMode="External"/><Relationship Id="rId182" Type="http://schemas.openxmlformats.org/officeDocument/2006/relationships/hyperlink" Target="https://www.sec.gov/Archives/edgar/data/813762/0000897204-95-000016.txt" TargetMode="External"/><Relationship Id="rId183" Type="http://schemas.openxmlformats.org/officeDocument/2006/relationships/hyperlink" Target="https://www.sec.gov/Archives/edgar/data/813762/000095012305003242/y06341exv10w2.htm" TargetMode="External"/><Relationship Id="rId184" Type="http://schemas.openxmlformats.org/officeDocument/2006/relationships/hyperlink" Target="https://www.sec.gov/Archives/edgar/data/813762/000114420407041620/v083035_ex10-5.htm" TargetMode="External"/><Relationship Id="rId185" Type="http://schemas.openxmlformats.org/officeDocument/2006/relationships/hyperlink" Target="https://www.sec.gov/Archives/edgar/data/813762/000114420413047710/v353661_ex10-1.htm" TargetMode="External"/><Relationship Id="rId186" Type="http://schemas.openxmlformats.org/officeDocument/2006/relationships/hyperlink" Target="https://www.sec.gov/Archives/edgar/data/813762/000114420417002748/v457095_ex4-1.htm" TargetMode="External"/><Relationship Id="rId187" Type="http://schemas.openxmlformats.org/officeDocument/2006/relationships/hyperlink" Target="https://www.sec.gov/Archives/edgar/data/813762/000114420417062610/tv480904_ex4-1.htm" TargetMode="External"/><Relationship Id="rId188" Type="http://schemas.openxmlformats.org/officeDocument/2006/relationships/hyperlink" Target="https://www.sec.gov/Archives/edgar/data/813762/000114420419025269/tv521264_ex4-1.htm" TargetMode="External"/><Relationship Id="rId189" Type="http://schemas.openxmlformats.org/officeDocument/2006/relationships/hyperlink" Target="https://www.sec.gov/Archives/edgar/data/813762/000114420419043783/tv528967_ex4-1.htm" TargetMode="External"/><Relationship Id="rId190" Type="http://schemas.openxmlformats.org/officeDocument/2006/relationships/hyperlink" Target="https://www.sec.gov/Archives/edgar/data/813762/000110465919072211/tm1925028d1_ex4-1.htm" TargetMode="External"/><Relationship Id="rId191" Type="http://schemas.openxmlformats.org/officeDocument/2006/relationships/hyperlink" Target="https://www.sec.gov/Archives/edgar/data/813762/000110465921005325/tm213465d1_ex4-1.htm" TargetMode="External"/><Relationship Id="rId193" Type="http://schemas.openxmlformats.org/officeDocument/2006/relationships/hyperlink" Target="https://www.sec.gov/Archives/edgar/data/813762/000119312518290879/d629636dex41.htm" TargetMode="External"/><Relationship Id="rId194" Type="http://schemas.openxmlformats.org/officeDocument/2006/relationships/hyperlink" Target="https://www.sec.gov/Archives/edgar/data/813762/0000897204-95-000029.txt" TargetMode="External"/><Relationship Id="rId195" Type="http://schemas.openxmlformats.org/officeDocument/2006/relationships/hyperlink" Target="https://www.sec.gov/Archives/edgar/data/813762/000095012306003289/y18546exv10w42.htm" TargetMode="External"/><Relationship Id="rId196" Type="http://schemas.openxmlformats.org/officeDocument/2006/relationships/hyperlink" Target="https://www.sec.gov/Archives/edgar/data/813762/000114420407041620/v083035_ex10-4.htm" TargetMode="External"/><Relationship Id="rId197" Type="http://schemas.openxmlformats.org/officeDocument/2006/relationships/hyperlink" Target="https://www.sec.gov/Archives/edgar/data/813762/000114420417002748/v457095_ex10-1.htm" TargetMode="External"/><Relationship Id="rId198" Type="http://schemas.openxmlformats.org/officeDocument/2006/relationships/hyperlink" Target="https://www.sec.gov/Archives/edgar/data/813762/000114420417062610/tv480904_ex10-1.htm" TargetMode="External"/><Relationship Id="rId199" Type="http://schemas.openxmlformats.org/officeDocument/2006/relationships/hyperlink" Target="https://www.sec.gov/Archives/edgar/data/813762/000114420419025269/tv521264_ex10-1.htm" TargetMode="External"/><Relationship Id="rId200" Type="http://schemas.openxmlformats.org/officeDocument/2006/relationships/hyperlink" Target="https://www.sec.gov/Archives/edgar/data/813762/000114420419032722/tv524288_ex10-1.htm" TargetMode="External"/><Relationship Id="rId201" Type="http://schemas.openxmlformats.org/officeDocument/2006/relationships/hyperlink" Target="https://www.sec.gov/Archives/edgar/data/813762/000114420419043783/tv528967_ex10-1.htm" TargetMode="External"/><Relationship Id="rId202" Type="http://schemas.openxmlformats.org/officeDocument/2006/relationships/hyperlink" Target="https://www.sec.gov/Archives/edgar/data/813762/000110465919072211/tm1925028d1_ex10-1.htm" TargetMode="External"/><Relationship Id="rId203" Type="http://schemas.openxmlformats.org/officeDocument/2006/relationships/hyperlink" Target="https://www.sec.gov/Archives/edgar/data/813762/000110465920002683/tm201494d1_ex10-1.htm" TargetMode="External"/><Relationship Id="rId204" Type="http://schemas.openxmlformats.org/officeDocument/2006/relationships/hyperlink" Target="https://www.sec.gov/Archives/edgar/data/813762/000110465920007677/tm205861d2_ex10-1.htm" TargetMode="External"/><Relationship Id="rId205" Type="http://schemas.openxmlformats.org/officeDocument/2006/relationships/hyperlink" Target="https://www.sec.gov/Archives/edgar/data/813762/000110465921005325/tm213465d1_ex10-1.htm" TargetMode="External"/><Relationship Id="rId206" Type="http://schemas.openxmlformats.org/officeDocument/2006/relationships/hyperlink" Target="https://www.sec.gov/Archives/edgar/data/813762/000110465919075671/tm1927295d1_ex10-1.htm" TargetMode="External"/><Relationship Id="rId208" Type="http://schemas.openxmlformats.org/officeDocument/2006/relationships/hyperlink" Target="https://www.sec.gov/Archives/edgar/data/813762/000110465920111049/tm2032213d1_ex10-1.htm" TargetMode="External"/><Relationship Id="rId209" Type="http://schemas.openxmlformats.org/officeDocument/2006/relationships/hyperlink" Target="https://www.sec.gov/Archives/edgar/data/813762/000110465920111049/tm2032213d1_ex10-2.htm" TargetMode="External"/><Relationship Id="rId210" Type="http://schemas.openxmlformats.org/officeDocument/2006/relationships/hyperlink" Target="https://www.sec.gov/Archives/edgar/data/813762/000110465920111049/tm2032213d1_ex10-3.htm" TargetMode="External"/><Relationship Id="rId211" Type="http://schemas.openxmlformats.org/officeDocument/2006/relationships/hyperlink" Target="https://www.sec.gov/Archives/edgar/data/813762/000155837021010820/tmb-20210630xex10d1.htm" TargetMode="External"/><Relationship Id="rId212" Type="http://schemas.openxmlformats.org/officeDocument/2006/relationships/hyperlink" Target="https://www.sec.gov/Archives/edgar/data/0000813762/000110465921149164/tm2135236d1_ex10-1.htm" TargetMode="External"/><Relationship Id="rId213" Type="http://schemas.openxmlformats.org/officeDocument/2006/relationships/hyperlink" Target="https://www.sec.gov/Archives/edgar/data/813762/000110465921149164/tm2135236d1_ex10-2.htm" TargetMode="External"/><Relationship Id="rId214" Type="http://schemas.openxmlformats.org/officeDocument/2006/relationships/hyperlink" Target="https://www.sec.gov/Archives/edgar/data/0000813762/000110465921049335/tm2112709d1_ex10-1.htm" TargetMode="External"/><Relationship Id="rId215" Type="http://schemas.openxmlformats.org/officeDocument/2006/relationships/hyperlink" Target="https://www.sec.gov/Archives/edgar/data/813762/000081376212000064/iep-ex141_93012xcodeofeth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2022-02-25T15:56:58Z</dcterms:created>
  <dcterms:modified xsi:type="dcterms:W3CDTF">2022-02-25T15:56:58Z</dcterms:modified>
</cp:coreProperties>
</file>