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(Mark one)</w:t>
      </w:r>
    </w:p>
    <w:p>
      <w:pPr>
        <w:spacing w:after="0" w:line="96" w:lineRule="exact"/>
        <w:rPr>
          <w:sz w:val="24"/>
          <w:szCs w:val="24"/>
          <w:color w:val="auto"/>
        </w:rPr>
      </w:pPr>
    </w:p>
    <w:p>
      <w:pPr>
        <w:ind w:left="3370" w:right="1100" w:hanging="3370"/>
        <w:spacing w:after="0" w:line="333" w:lineRule="auto"/>
        <w:tabs>
          <w:tab w:leader="none" w:pos="342"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6" w:lineRule="exact"/>
        <w:rPr>
          <w:sz w:val="24"/>
          <w:szCs w:val="24"/>
          <w:color w:val="auto"/>
        </w:rPr>
      </w:pPr>
    </w:p>
    <w:p>
      <w:pPr>
        <w:ind w:left="250" w:hanging="250"/>
        <w:spacing w:after="0"/>
        <w:tabs>
          <w:tab w:leader="none" w:pos="25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6" w:lineRule="exact"/>
        <w:rPr>
          <w:sz w:val="24"/>
          <w:szCs w:val="24"/>
          <w:color w:val="auto"/>
        </w:rPr>
      </w:pPr>
    </w:p>
    <w:p>
      <w:pPr>
        <w:ind w:left="3330"/>
        <w:spacing w:after="0"/>
        <w:tabs>
          <w:tab w:leader="none" w:pos="673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0230"/>
          </w:cols>
          <w:pgMar w:left="830" w:top="661" w:right="839" w:bottom="1440" w:gutter="0" w:footer="0" w:header="0"/>
        </w:sectPr>
      </w:pPr>
    </w:p>
    <w:p>
      <w:pPr>
        <w:spacing w:after="0" w:line="200" w:lineRule="exact"/>
        <w:rPr>
          <w:sz w:val="24"/>
          <w:szCs w:val="24"/>
          <w:color w:val="auto"/>
        </w:rPr>
      </w:pPr>
    </w:p>
    <w:p>
      <w:pPr>
        <w:spacing w:after="0" w:line="296" w:lineRule="exact"/>
        <w:rPr>
          <w:sz w:val="24"/>
          <w:szCs w:val="24"/>
          <w:color w:val="auto"/>
        </w:rPr>
      </w:pPr>
    </w:p>
    <w:tbl>
      <w:tblPr>
        <w:tblLayout w:type="fixed"/>
        <w:tblInd w:w="51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62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148"/>
        </w:trPr>
        <w:tc>
          <w:tcPr>
            <w:tcW w:w="2060" w:type="dxa"/>
            <w:vAlign w:val="bottom"/>
            <w:vMerge w:val="restart"/>
          </w:tcPr>
          <w:p>
            <w:pPr>
              <w:jc w:val="center"/>
              <w:ind w:right="399"/>
              <w:spacing w:after="0"/>
              <w:rPr>
                <w:sz w:val="20"/>
                <w:szCs w:val="20"/>
                <w:color w:val="auto"/>
              </w:rPr>
            </w:pPr>
            <w:r>
              <w:rPr>
                <w:rFonts w:ascii="Times New Roman" w:cs="Times New Roman" w:eastAsia="Times New Roman" w:hAnsi="Times New Roman"/>
                <w:sz w:val="14"/>
                <w:szCs w:val="14"/>
                <w:color w:val="auto"/>
              </w:rPr>
              <w:t>(Commission File Number)</w:t>
            </w:r>
          </w:p>
        </w:tc>
        <w:tc>
          <w:tcPr>
            <w:tcW w:w="4620" w:type="dxa"/>
            <w:vAlign w:val="bottom"/>
          </w:tcPr>
          <w:p>
            <w:pPr>
              <w:jc w:val="center"/>
              <w:ind w:left="392"/>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0" w:type="dxa"/>
            <w:vAlign w:val="bottom"/>
          </w:tcPr>
          <w:p>
            <w:pPr>
              <w:spacing w:after="0"/>
              <w:rPr>
                <w:sz w:val="1"/>
                <w:szCs w:val="1"/>
                <w:color w:val="auto"/>
              </w:rPr>
            </w:pPr>
          </w:p>
        </w:tc>
      </w:tr>
      <w:tr>
        <w:trPr>
          <w:trHeight w:val="144"/>
        </w:trPr>
        <w:tc>
          <w:tcPr>
            <w:tcW w:w="2060" w:type="dxa"/>
            <w:vAlign w:val="bottom"/>
            <w:vMerge w:val="continue"/>
          </w:tcPr>
          <w:p>
            <w:pPr>
              <w:spacing w:after="0"/>
              <w:rPr>
                <w:sz w:val="12"/>
                <w:szCs w:val="12"/>
                <w:color w:val="auto"/>
              </w:rPr>
            </w:pPr>
          </w:p>
        </w:tc>
        <w:tc>
          <w:tcPr>
            <w:tcW w:w="4620" w:type="dxa"/>
            <w:vAlign w:val="bottom"/>
          </w:tcPr>
          <w:p>
            <w:pPr>
              <w:jc w:val="center"/>
              <w:ind w:left="412"/>
              <w:spacing w:after="0" w:line="145" w:lineRule="exact"/>
              <w:rPr>
                <w:sz w:val="20"/>
                <w:szCs w:val="20"/>
                <w:color w:val="auto"/>
              </w:rPr>
            </w:pPr>
            <w:r>
              <w:rPr>
                <w:rFonts w:ascii="Times New Roman" w:cs="Times New Roman" w:eastAsia="Times New Roman" w:hAnsi="Times New Roman"/>
                <w:sz w:val="14"/>
                <w:szCs w:val="14"/>
                <w:color w:val="auto"/>
              </w:rPr>
              <w:t>(Telephone Number)</w:t>
            </w:r>
          </w:p>
        </w:tc>
        <w:tc>
          <w:tcPr>
            <w:tcW w:w="0" w:type="dxa"/>
            <w:vAlign w:val="bottom"/>
          </w:tcPr>
          <w:p>
            <w:pPr>
              <w:spacing w:after="0"/>
              <w:rPr>
                <w:sz w:val="1"/>
                <w:szCs w:val="1"/>
                <w:color w:val="auto"/>
              </w:rPr>
            </w:pPr>
          </w:p>
        </w:tc>
      </w:tr>
      <w:tr>
        <w:trPr>
          <w:trHeight w:val="332"/>
        </w:trPr>
        <w:tc>
          <w:tcPr>
            <w:tcW w:w="2060" w:type="dxa"/>
            <w:vAlign w:val="bottom"/>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rPr>
              <w:t>1-9516</w:t>
            </w:r>
          </w:p>
        </w:tc>
        <w:tc>
          <w:tcPr>
            <w:tcW w:w="4620" w:type="dxa"/>
            <w:vAlign w:val="bottom"/>
          </w:tcPr>
          <w:p>
            <w:pPr>
              <w:jc w:val="center"/>
              <w:ind w:left="392"/>
              <w:spacing w:after="0"/>
              <w:rPr>
                <w:sz w:val="20"/>
                <w:szCs w:val="20"/>
                <w:color w:val="auto"/>
              </w:rPr>
            </w:pPr>
            <w:r>
              <w:rPr>
                <w:rFonts w:ascii="Times New Roman" w:cs="Times New Roman" w:eastAsia="Times New Roman" w:hAnsi="Times New Roman"/>
                <w:sz w:val="25"/>
                <w:szCs w:val="25"/>
                <w:b w:val="1"/>
                <w:bCs w:val="1"/>
                <w:color w:val="auto"/>
              </w:rPr>
              <w:t>ICAHN ENTERPRISES L.P.</w:t>
            </w: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462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9"/>
              </w:rPr>
              <w:t>16690 Collins Avenue, PH-1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62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Sunny Isles Beach, FL 33160</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462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(305) 422-4100</w:t>
            </w: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46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(State or Other</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200" w:type="dxa"/>
            <w:vAlign w:val="bottom"/>
            <w:vMerge w:val="restart"/>
          </w:tcPr>
          <w:p>
            <w:pPr>
              <w:jc w:val="center"/>
              <w:ind w:left="62"/>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10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Organization)</w:t>
            </w:r>
          </w:p>
        </w:tc>
        <w:tc>
          <w:tcPr>
            <w:tcW w:w="1200" w:type="dxa"/>
            <w:vAlign w:val="bottom"/>
          </w:tcPr>
          <w:p>
            <w:pPr>
              <w:jc w:val="center"/>
              <w:ind w:left="62"/>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94"/>
        </w:trPr>
        <w:tc>
          <w:tcPr>
            <w:tcW w:w="108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13-3398766</w:t>
            </w:r>
          </w:p>
        </w:tc>
        <w:tc>
          <w:tcPr>
            <w:tcW w:w="0" w:type="dxa"/>
            <w:vAlign w:val="bottom"/>
          </w:tcPr>
          <w:p>
            <w:pPr>
              <w:spacing w:after="0"/>
              <w:rPr>
                <w:sz w:val="1"/>
                <w:szCs w:val="1"/>
                <w:color w:val="auto"/>
              </w:rPr>
            </w:pPr>
          </w:p>
        </w:tc>
      </w:tr>
    </w:tbl>
    <w:p>
      <w:pPr>
        <w:spacing w:after="0" w:line="1212" w:lineRule="exact"/>
        <w:rPr>
          <w:sz w:val="24"/>
          <w:szCs w:val="24"/>
          <w:color w:val="auto"/>
        </w:rPr>
      </w:pPr>
    </w:p>
    <w:p>
      <w:pPr>
        <w:sectPr>
          <w:pgSz w:w="11900" w:h="16838" w:orient="portrait"/>
          <w:cols w:equalWidth="0" w:num="2">
            <w:col w:w="7190" w:space="640"/>
            <w:col w:w="2400"/>
          </w:cols>
          <w:pgMar w:left="830" w:top="661" w:right="839" w:bottom="1440" w:gutter="0" w:footer="0" w:header="0"/>
          <w:type w:val="continuous"/>
        </w:sectPr>
      </w:pP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41"/>
        </w:trPr>
        <w:tc>
          <w:tcPr>
            <w:tcW w:w="388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Depositary Units of Icahn Enterprises L.P.</w:t>
            </w:r>
          </w:p>
        </w:tc>
        <w:tc>
          <w:tcPr>
            <w:tcW w:w="180" w:type="dxa"/>
            <w:vAlign w:val="bottom"/>
            <w:vMerge w:val="continue"/>
          </w:tcPr>
          <w:p>
            <w:pPr>
              <w:spacing w:after="0"/>
              <w:rPr>
                <w:sz w:val="16"/>
                <w:szCs w:val="16"/>
                <w:color w:val="auto"/>
              </w:rPr>
            </w:pP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IEP</w:t>
            </w:r>
          </w:p>
        </w:tc>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126"/>
        </w:trPr>
        <w:tc>
          <w:tcPr>
            <w:tcW w:w="4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Representing Limited Partner Interests</w:t>
            </w:r>
          </w:p>
        </w:tc>
        <w:tc>
          <w:tcPr>
            <w:tcW w:w="2260" w:type="dxa"/>
            <w:vAlign w:val="bottom"/>
            <w:gridSpan w:val="2"/>
            <w:vMerge w:val="continue"/>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gridSpan w:val="2"/>
            <w:vMerge w:val="continue"/>
          </w:tcPr>
          <w:p>
            <w:pPr>
              <w:spacing w:after="0"/>
              <w:rPr>
                <w:sz w:val="9"/>
                <w:szCs w:val="9"/>
                <w:color w:val="auto"/>
              </w:rPr>
            </w:pPr>
          </w:p>
        </w:tc>
        <w:tc>
          <w:tcPr>
            <w:tcW w:w="2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ind w:left="3170"/>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pacing w:after="0" w:line="89" w:lineRule="exact"/>
        <w:rPr>
          <w:sz w:val="24"/>
          <w:szCs w:val="24"/>
          <w:color w:val="auto"/>
        </w:rPr>
      </w:pPr>
    </w:p>
    <w:p>
      <w:pPr>
        <w:ind w:left="1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by Rule 405 of the Securities Act.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96" w:lineRule="exact"/>
        <w:rPr>
          <w:sz w:val="24"/>
          <w:szCs w:val="24"/>
          <w:color w:val="auto"/>
        </w:rPr>
      </w:pPr>
    </w:p>
    <w:p>
      <w:pPr>
        <w:ind w:left="1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Exchange Act.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108" w:lineRule="exact"/>
        <w:rPr>
          <w:sz w:val="24"/>
          <w:szCs w:val="24"/>
          <w:color w:val="auto"/>
        </w:rPr>
      </w:pPr>
    </w:p>
    <w:p>
      <w:pPr>
        <w:jc w:val="both"/>
        <w:ind w:left="10" w:right="180"/>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10"/>
        <w:spacing w:after="0" w:line="201" w:lineRule="exact"/>
        <w:rPr>
          <w:sz w:val="20"/>
          <w:szCs w:val="20"/>
          <w:color w:val="auto"/>
        </w:rPr>
      </w:pPr>
      <w:r>
        <w:rPr>
          <w:rFonts w:ascii="Times New Roman" w:cs="Times New Roman" w:eastAsia="Times New Roman" w:hAnsi="Times New Roman"/>
          <w:sz w:val="15"/>
          <w:szCs w:val="15"/>
          <w:color w:val="auto"/>
        </w:rPr>
        <w:t xml:space="preserve">90 days.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72" w:lineRule="exact"/>
        <w:rPr>
          <w:sz w:val="24"/>
          <w:szCs w:val="24"/>
          <w:color w:val="auto"/>
        </w:rPr>
      </w:pPr>
    </w:p>
    <w:p>
      <w:pPr>
        <w:ind w:left="10"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70" w:lineRule="exact"/>
        <w:rPr>
          <w:sz w:val="24"/>
          <w:szCs w:val="24"/>
          <w:color w:val="auto"/>
        </w:rPr>
      </w:pPr>
    </w:p>
    <w:p>
      <w:pPr>
        <w:ind w:left="10" w:right="160"/>
        <w:spacing w:after="0" w:line="24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74" w:lineRule="exact"/>
        <w:rPr>
          <w:sz w:val="24"/>
          <w:szCs w:val="24"/>
          <w:color w:val="auto"/>
        </w:rPr>
      </w:pPr>
    </w:p>
    <w:p>
      <w:pPr>
        <w:ind w:left="1190"/>
        <w:spacing w:after="0" w:line="201" w:lineRule="exact"/>
        <w:tabs>
          <w:tab w:leader="none" w:pos="2810" w:val="left"/>
          <w:tab w:leader="none" w:pos="4750" w:val="left"/>
          <w:tab w:leader="none" w:pos="6010" w:val="left"/>
          <w:tab w:leader="none" w:pos="6590" w:val="left"/>
          <w:tab w:leader="none" w:pos="899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Arial Unicode MS" w:cs="Arial Unicode MS" w:eastAsia="Arial Unicode MS" w:hAnsi="Arial Unicode MS"/>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r>
        <w:rPr>
          <w:sz w:val="20"/>
          <w:szCs w:val="20"/>
          <w:color w:val="auto"/>
        </w:rPr>
        <w:tab/>
      </w:r>
      <w:r>
        <w:rPr>
          <w:rFonts w:ascii="Arial Unicode MS" w:cs="Arial Unicode MS" w:eastAsia="Arial Unicode MS" w:hAnsi="Arial Unicode MS"/>
          <w:sz w:val="15"/>
          <w:szCs w:val="15"/>
          <w:color w:val="auto"/>
        </w:rPr>
        <w:t>☐</w:t>
      </w:r>
      <w:r>
        <w:rPr>
          <w:sz w:val="20"/>
          <w:szCs w:val="20"/>
          <w:color w:val="auto"/>
        </w:rPr>
        <w:tab/>
      </w:r>
      <w:r>
        <w:rPr>
          <w:rFonts w:ascii="Times New Roman" w:cs="Times New Roman" w:eastAsia="Times New Roman" w:hAnsi="Times New Roman"/>
          <w:sz w:val="15"/>
          <w:szCs w:val="15"/>
          <w:color w:val="auto"/>
        </w:rPr>
        <w:t>Emerging Growth Company</w:t>
      </w:r>
      <w:r>
        <w:rPr>
          <w:sz w:val="20"/>
          <w:szCs w:val="20"/>
          <w:color w:val="auto"/>
        </w:rPr>
        <w:tab/>
      </w:r>
      <w:r>
        <w:rPr>
          <w:rFonts w:ascii="Arial Unicode MS" w:cs="Arial Unicode MS" w:eastAsia="Arial Unicode MS" w:hAnsi="Arial Unicode MS"/>
          <w:sz w:val="15"/>
          <w:szCs w:val="15"/>
          <w:color w:val="auto"/>
        </w:rPr>
        <w:t>☐</w:t>
      </w:r>
    </w:p>
    <w:p>
      <w:pPr>
        <w:spacing w:after="0" w:line="24" w:lineRule="exact"/>
        <w:rPr>
          <w:sz w:val="24"/>
          <w:szCs w:val="24"/>
          <w:color w:val="auto"/>
        </w:rPr>
      </w:pPr>
    </w:p>
    <w:p>
      <w:pPr>
        <w:ind w:left="1310"/>
        <w:spacing w:after="0" w:line="201" w:lineRule="exact"/>
        <w:tabs>
          <w:tab w:leader="none" w:pos="2810" w:val="left"/>
          <w:tab w:leader="none" w:pos="4050" w:val="left"/>
          <w:tab w:leader="none" w:pos="601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Arial Unicode MS" w:cs="Arial Unicode MS" w:eastAsia="Arial Unicode MS" w:hAnsi="Arial Unicode MS"/>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r>
        <w:rPr>
          <w:sz w:val="20"/>
          <w:szCs w:val="20"/>
          <w:color w:val="auto"/>
        </w:rPr>
        <w:tab/>
      </w:r>
      <w:r>
        <w:rPr>
          <w:rFonts w:ascii="Arial Unicode MS" w:cs="Arial Unicode MS" w:eastAsia="Arial Unicode MS" w:hAnsi="Arial Unicode MS"/>
          <w:sz w:val="15"/>
          <w:szCs w:val="15"/>
          <w:color w:val="auto"/>
          <w:highlight w:val="black"/>
        </w:rPr>
        <w:t>☐</w:t>
      </w:r>
    </w:p>
    <w:p>
      <w:pPr>
        <w:spacing w:after="0" w:line="72" w:lineRule="exact"/>
        <w:rPr>
          <w:sz w:val="24"/>
          <w:szCs w:val="24"/>
          <w:color w:val="auto"/>
        </w:rPr>
      </w:pPr>
    </w:p>
    <w:p>
      <w:pPr>
        <w:ind w:left="10" w:right="18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70" w:lineRule="exact"/>
        <w:rPr>
          <w:sz w:val="24"/>
          <w:szCs w:val="24"/>
          <w:color w:val="auto"/>
        </w:rPr>
      </w:pPr>
    </w:p>
    <w:p>
      <w:pPr>
        <w:ind w:left="10" w:right="400"/>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ind w:left="10"/>
        <w:spacing w:after="0" w:line="201" w:lineRule="exact"/>
        <w:rPr>
          <w:sz w:val="20"/>
          <w:szCs w:val="20"/>
          <w:color w:val="auto"/>
        </w:rPr>
      </w:pPr>
      <w:r>
        <w:rPr>
          <w:rFonts w:ascii="Times New Roman" w:cs="Times New Roman" w:eastAsia="Times New Roman" w:hAnsi="Times New Roman"/>
          <w:sz w:val="15"/>
          <w:szCs w:val="15"/>
          <w:color w:val="auto"/>
        </w:rPr>
        <w:t xml:space="preserve">report. </w:t>
      </w:r>
      <w:r>
        <w:rPr>
          <w:rFonts w:ascii="Arial Unicode MS" w:cs="Arial Unicode MS" w:eastAsia="Arial Unicode MS" w:hAnsi="Arial Unicode MS"/>
          <w:sz w:val="15"/>
          <w:szCs w:val="15"/>
          <w:color w:val="auto"/>
        </w:rPr>
        <w:t>⌧</w:t>
      </w:r>
    </w:p>
    <w:p>
      <w:pPr>
        <w:spacing w:after="0" w:line="72" w:lineRule="exact"/>
        <w:rPr>
          <w:sz w:val="24"/>
          <w:szCs w:val="24"/>
          <w:color w:val="auto"/>
        </w:rPr>
      </w:pPr>
    </w:p>
    <w:p>
      <w:pPr>
        <w:ind w:left="10" w:right="140"/>
        <w:spacing w:after="0" w:line="19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70" w:lineRule="exact"/>
        <w:rPr>
          <w:sz w:val="24"/>
          <w:szCs w:val="24"/>
          <w:color w:val="auto"/>
        </w:rPr>
      </w:pPr>
    </w:p>
    <w:p>
      <w:pPr>
        <w:ind w:left="10" w:right="16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5"/>
          <w:szCs w:val="15"/>
          <w:color w:val="auto"/>
        </w:rPr>
        <w:t>☐</w:t>
      </w:r>
    </w:p>
    <w:p>
      <w:pPr>
        <w:spacing w:after="0" w:line="58" w:lineRule="exact"/>
        <w:rPr>
          <w:sz w:val="24"/>
          <w:szCs w:val="24"/>
          <w:color w:val="auto"/>
        </w:rPr>
      </w:pPr>
    </w:p>
    <w:p>
      <w:pPr>
        <w:ind w:left="1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highlight w:val="black"/>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108" w:lineRule="exact"/>
        <w:rPr>
          <w:sz w:val="24"/>
          <w:szCs w:val="24"/>
          <w:color w:val="auto"/>
        </w:rPr>
      </w:pPr>
    </w:p>
    <w:p>
      <w:pPr>
        <w:ind w:left="10" w:right="220" w:firstLine="324"/>
        <w:spacing w:after="0" w:line="238" w:lineRule="auto"/>
        <w:rPr>
          <w:sz w:val="20"/>
          <w:szCs w:val="20"/>
          <w:color w:val="auto"/>
        </w:rPr>
      </w:pPr>
      <w:r>
        <w:rPr>
          <w:rFonts w:ascii="Times New Roman" w:cs="Times New Roman" w:eastAsia="Times New Roman" w:hAnsi="Times New Roman"/>
          <w:sz w:val="15"/>
          <w:szCs w:val="15"/>
          <w:color w:val="auto"/>
        </w:rPr>
        <w:t>The aggregate market value of Icahn Enterprises’ depositary units held by non-affiliates of the registrant as of June 30, 2022, the last business day of the registrant’s most recently completed second fiscal quarter, based upon the closing price of depositary units on the Nasdaq Global Select Market (“Nasdaq”) on such</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5"/>
          <w:szCs w:val="15"/>
          <w:color w:val="auto"/>
        </w:rPr>
        <w:t>date was $2,170 million. As of February 23, 2023, there were 353,572,182 depositary units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500380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80645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123190</wp:posOffset>
            </wp:positionV>
            <wp:extent cx="64979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90"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the impacts from the Russia/Ukraine conflict, including economic volatility and the impacts of export controls and other economic sanctions;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other feed stocks and refined products, declines in global demand for crude oil, refined products and liquid transportation fuels as result of the COVID-19 pandemic,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may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certain risks. Before investing in any of our securities, you should carefully consider the following summary of the principal factors that make an investment in our securities speculative or risky as well as the risks described under the caption “Risk Factors,” under Item 1A of this Report. If any of these risks actually occurs, it could have a material adverse effect on our businesses. The risks described below and under the caption “Risk Factors,” under Item 1A of this Report are not the only risks that affect our businesses. Additional risks that are unknown or not presently deemed significant may also have a material adverse effect on our businesses. The following is a summary of our risk factors that appear in Item 1A of this Report.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Structure</w:t>
      </w:r>
    </w:p>
    <w:p>
      <w:pPr>
        <w:spacing w:after="0" w:line="229" w:lineRule="exact"/>
        <w:rPr>
          <w:sz w:val="20"/>
          <w:szCs w:val="20"/>
          <w:color w:val="auto"/>
        </w:rPr>
      </w:pPr>
    </w:p>
    <w:p>
      <w:pPr>
        <w:ind w:left="800" w:right="659" w:hanging="318"/>
        <w:spacing w:after="0" w:line="261"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its control person, has significant influence over us, and sales by our controlling unitholder could cause our unit price to decline;</w:t>
      </w: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and in the future may engage, in transactions with our affiliates;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becoming an investment company;</w:t>
      </w:r>
    </w:p>
    <w:p>
      <w:pPr>
        <w:spacing w:after="0" w:line="9" w:lineRule="exact"/>
        <w:rPr>
          <w:rFonts w:ascii="Times New Roman" w:cs="Times New Roman" w:eastAsia="Times New Roman" w:hAnsi="Times New Roman"/>
          <w:sz w:val="18"/>
          <w:szCs w:val="18"/>
          <w:color w:val="auto"/>
        </w:rPr>
      </w:pPr>
    </w:p>
    <w:p>
      <w:pPr>
        <w:ind w:left="800" w:right="57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structure transactions in a less advantageous manner to avoid becoming subject to the Investment Company Act;</w:t>
      </w:r>
    </w:p>
    <w:p>
      <w:pPr>
        <w:ind w:left="800" w:right="13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taxable as a corporation if we are no longer treated as a partnership for U.S. federal income tax purposes;</w:t>
      </w: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negatively impacted by the potential for changes in tax laws;</w:t>
      </w:r>
    </w:p>
    <w:p>
      <w:pPr>
        <w:spacing w:after="0" w:line="9" w:lineRule="exact"/>
        <w:rPr>
          <w:rFonts w:ascii="Times New Roman" w:cs="Times New Roman" w:eastAsia="Times New Roman" w:hAnsi="Times New Roman"/>
          <w:sz w:val="18"/>
          <w:szCs w:val="18"/>
          <w:color w:val="auto"/>
        </w:rPr>
      </w:pPr>
    </w:p>
    <w:p>
      <w:pPr>
        <w:ind w:left="800" w:right="19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depositary units may be required to pay tax on their share of our income even if they did not receive cash distributions from us;</w:t>
      </w: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gain or loss on the disposition of our depositary units could be more or less than expected;</w:t>
      </w:r>
    </w:p>
    <w:p>
      <w:pPr>
        <w:spacing w:after="0" w:line="9" w:lineRule="exact"/>
        <w:rPr>
          <w:rFonts w:ascii="Times New Roman" w:cs="Times New Roman" w:eastAsia="Times New Roman" w:hAnsi="Times New Roman"/>
          <w:sz w:val="18"/>
          <w:szCs w:val="18"/>
          <w:color w:val="auto"/>
        </w:rPr>
      </w:pPr>
    </w:p>
    <w:p>
      <w:pPr>
        <w:ind w:left="800" w:right="23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may recognize unrelated business taxable income they receive from holding our units, and may face other unique issues specific to their U.S. federal income tax classification;</w:t>
      </w:r>
    </w:p>
    <w:p>
      <w:pPr>
        <w:ind w:left="800" w:right="33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persons may be subject to withholding regimes and U.S. federal income tax on certain income they may earn from holding or disposing of our units;</w:t>
      </w:r>
    </w:p>
    <w:p>
      <w:pPr>
        <w:ind w:left="800" w:right="33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for any underwithholding by nominees on our distributions or on transfer of our units made after January 1, 2023;</w:t>
      </w:r>
    </w:p>
    <w:p>
      <w:pPr>
        <w:ind w:left="800" w:right="35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likely will be subject to state and local taxes and return filing or withholding requirements in states in which they do not live as a result of investing in our units;</w:t>
      </w:r>
    </w:p>
    <w:p>
      <w:pPr>
        <w:jc w:val="both"/>
        <w:ind w:left="800" w:right="11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1" w:lineRule="exact"/>
        <w:rPr>
          <w:rFonts w:ascii="Times New Roman" w:cs="Times New Roman" w:eastAsia="Times New Roman" w:hAnsi="Times New Roman"/>
          <w:sz w:val="18"/>
          <w:szCs w:val="18"/>
          <w:color w:val="auto"/>
        </w:rPr>
      </w:pPr>
    </w:p>
    <w:p>
      <w:pPr>
        <w:ind w:left="800" w:right="9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 w:lineRule="exact"/>
        <w:rPr>
          <w:rFonts w:ascii="Times New Roman" w:cs="Times New Roman" w:eastAsia="Times New Roman" w:hAnsi="Times New Roman"/>
          <w:sz w:val="18"/>
          <w:szCs w:val="18"/>
          <w:color w:val="auto"/>
        </w:rPr>
      </w:pPr>
    </w:p>
    <w:p>
      <w:pPr>
        <w:ind w:left="800" w:right="7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pension liabilities of our affiliates;</w:t>
      </w:r>
    </w:p>
    <w:p>
      <w:pPr>
        <w:spacing w:after="0" w:line="9" w:lineRule="exact"/>
        <w:rPr>
          <w:rFonts w:ascii="Times New Roman" w:cs="Times New Roman" w:eastAsia="Times New Roman" w:hAnsi="Times New Roman"/>
          <w:sz w:val="18"/>
          <w:szCs w:val="18"/>
          <w:color w:val="auto"/>
        </w:rPr>
      </w:pPr>
    </w:p>
    <w:p>
      <w:pPr>
        <w:ind w:left="800" w:right="31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limited partnership and a ‘‘controlled company’’ within the meaning of the Nasdaq rules and as such are exempt from certain corporate governance requirements;</w:t>
      </w:r>
    </w:p>
    <w:p>
      <w:pPr>
        <w:ind w:left="800" w:right="69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our management team may be involved in other business activities that may involve conflicts of interest;</w:t>
      </w:r>
    </w:p>
    <w:p>
      <w:pPr>
        <w:ind w:left="800" w:right="31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Icahn Enterprises’ depositary units have limited voting rights, including rights to participate in our management;</w:t>
      </w:r>
    </w:p>
    <w:p>
      <w:pPr>
        <w:ind w:left="800" w:right="279" w:hanging="318"/>
        <w:spacing w:after="0" w:line="250"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Icahn Enterprises’ depositary units may not have limited liability in certain circumstances and may be personally liable for the return of distributions that cause our liabilities to exceed our assets; and</w:t>
      </w:r>
    </w:p>
    <w:p>
      <w:pPr>
        <w:ind w:left="4460" w:right="199" w:hanging="3978"/>
        <w:spacing w:after="0" w:line="260" w:lineRule="auto"/>
        <w:tabs>
          <w:tab w:leader="none" w:pos="8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are a limited partnership, you may not be able to pursue legal claims against us in U.S. federal courts.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Liquidity and Capital Requirements</w:t>
      </w:r>
    </w:p>
    <w:p>
      <w:pPr>
        <w:spacing w:after="0" w:line="229" w:lineRule="exact"/>
        <w:rPr>
          <w:sz w:val="20"/>
          <w:szCs w:val="20"/>
          <w:color w:val="auto"/>
        </w:rPr>
      </w:pPr>
    </w:p>
    <w:p>
      <w:pPr>
        <w:ind w:left="800" w:hanging="318"/>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the businesses of our subsidiaries to satisfy our obligations;</w:t>
      </w:r>
    </w:p>
    <w:p>
      <w:pPr>
        <w:spacing w:after="0" w:line="27" w:lineRule="exact"/>
        <w:rPr>
          <w:rFonts w:ascii="Times New Roman" w:cs="Times New Roman" w:eastAsia="Times New Roman" w:hAnsi="Times New Roman"/>
          <w:sz w:val="18"/>
          <w:szCs w:val="18"/>
          <w:color w:val="auto"/>
        </w:rPr>
      </w:pPr>
    </w:p>
    <w:p>
      <w:pPr>
        <w:ind w:left="800" w:right="379" w:hanging="318"/>
        <w:spacing w:after="0" w:line="250"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our indebtedness, we will require a significant amount of cash. Our ability to maintain our current cash position or generate cash depends on many factors beyond our control;</w:t>
      </w:r>
    </w:p>
    <w:p>
      <w:pPr>
        <w:jc w:val="both"/>
        <w:ind w:left="800" w:right="179" w:hanging="318"/>
        <w:spacing w:after="0" w:line="250"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1" w:lineRule="exact"/>
        <w:rPr>
          <w:rFonts w:ascii="Times New Roman" w:cs="Times New Roman" w:eastAsia="Times New Roman" w:hAnsi="Times New Roman"/>
          <w:sz w:val="18"/>
          <w:szCs w:val="18"/>
          <w:color w:val="auto"/>
        </w:rPr>
      </w:pPr>
    </w:p>
    <w:p>
      <w:pPr>
        <w:ind w:left="800" w:right="459" w:hanging="318"/>
        <w:spacing w:after="0" w:line="250"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necessary to finance a change of control offer that may be required by the indentures governing our senior notes;</w:t>
      </w:r>
    </w:p>
    <w:p>
      <w:pPr>
        <w:ind w:left="800" w:right="459" w:hanging="318"/>
        <w:spacing w:after="0" w:line="250"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the Investment Funds and negative performance of the Investment Funds may result in a significant decline in the value of our investments; and</w:t>
      </w:r>
    </w:p>
    <w:p>
      <w:pPr>
        <w:ind w:left="800" w:hanging="318"/>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distributions to Icahn Enterprises’ unitholders, if any, can be affected by numerous factors.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Investment Segment</w:t>
      </w:r>
    </w:p>
    <w:p>
      <w:pPr>
        <w:spacing w:after="0" w:line="229" w:lineRule="exact"/>
        <w:rPr>
          <w:sz w:val="20"/>
          <w:szCs w:val="20"/>
          <w:color w:val="auto"/>
        </w:rPr>
      </w:pP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may be subject to significant uncertainties;</w:t>
      </w:r>
    </w:p>
    <w:p>
      <w:pPr>
        <w:spacing w:after="0" w:line="27" w:lineRule="exact"/>
        <w:rPr>
          <w:rFonts w:ascii="Times New Roman" w:cs="Times New Roman" w:eastAsia="Times New Roman" w:hAnsi="Times New Roman"/>
          <w:sz w:val="18"/>
          <w:szCs w:val="18"/>
          <w:color w:val="auto"/>
        </w:rPr>
      </w:pPr>
    </w:p>
    <w:p>
      <w:pPr>
        <w:ind w:left="800" w:right="87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information for the Investment Funds is not necessarily indicative of its future performance;</w:t>
      </w:r>
    </w:p>
    <w:p>
      <w:pPr>
        <w:ind w:left="800" w:right="27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 w:lineRule="exact"/>
        <w:rPr>
          <w:rFonts w:ascii="Times New Roman" w:cs="Times New Roman" w:eastAsia="Times New Roman" w:hAnsi="Times New Roman"/>
          <w:sz w:val="18"/>
          <w:szCs w:val="18"/>
          <w:color w:val="auto"/>
        </w:rPr>
      </w:pPr>
    </w:p>
    <w:p>
      <w:pPr>
        <w:ind w:left="800" w:right="21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investments, and our investments may not result in favorable returns or may result in losses;</w:t>
      </w:r>
    </w:p>
    <w:p>
      <w:pPr>
        <w:ind w:left="800" w:right="7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execution of our activist investment activities involves many risks, certain of which are outside of our control;</w:t>
      </w: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make investments in companies we do not control;</w:t>
      </w:r>
    </w:p>
    <w:p>
      <w:pPr>
        <w:spacing w:after="0" w:line="9" w:lineRule="exact"/>
        <w:rPr>
          <w:rFonts w:ascii="Times New Roman" w:cs="Times New Roman" w:eastAsia="Times New Roman" w:hAnsi="Times New Roman"/>
          <w:sz w:val="18"/>
          <w:szCs w:val="18"/>
          <w:color w:val="auto"/>
        </w:rPr>
      </w:pPr>
    </w:p>
    <w:p>
      <w:pPr>
        <w:ind w:left="800" w:right="53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leverage in investments by the Investment Funds may pose a significant degree of risk and may enhance the possibility of significant loss in the value of the investments in the Investment Funds;</w:t>
      </w: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increased regulation could result in additional burdens on our Investment segment;</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hedge investments successfully is subject to numerous risks;</w:t>
      </w:r>
    </w:p>
    <w:p>
      <w:pPr>
        <w:spacing w:after="0" w:line="9" w:lineRule="exact"/>
        <w:rPr>
          <w:rFonts w:ascii="Times New Roman" w:cs="Times New Roman" w:eastAsia="Times New Roman" w:hAnsi="Times New Roman"/>
          <w:sz w:val="18"/>
          <w:szCs w:val="18"/>
          <w:color w:val="auto"/>
        </w:rPr>
      </w:pPr>
    </w:p>
    <w:p>
      <w:pPr>
        <w:ind w:left="800" w:right="83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invest in distressed securities, as well as bank loans, asset backed securities and mortgage-backed securities; and</w:t>
      </w:r>
    </w:p>
    <w:p>
      <w:pPr>
        <w:jc w:val="both"/>
        <w:ind w:left="800" w:right="279" w:hanging="318"/>
        <w:spacing w:after="0" w:line="255"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Consolidated Operating Subsidiaries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operating subsidiaries are subject to various risks, including but not limited to:</w:t>
      </w:r>
    </w:p>
    <w:p>
      <w:pPr>
        <w:spacing w:after="0" w:line="27" w:lineRule="exact"/>
        <w:rPr>
          <w:sz w:val="20"/>
          <w:szCs w:val="20"/>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regulatory actions;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 damage to property, injury to persons or environmental and legal liability;</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potential spin-off of CVR Energy Inc.’s interest in the nitrogen fertilizer business;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investor and market interest in environmental, social and governance (“ESG”) matters;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commodity prices;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Environmental Protection Agency Renewable Fuel Standard;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laws and regulations;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foreign countries;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involving any of our businesses or one or more of their customers or suppliers.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1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ICAHN ENTERPRISES L.P.</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gridSpan w:val="1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332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6320" w:type="dxa"/>
            <w:vAlign w:val="bottom"/>
            <w:tcBorders>
              <w:bottom w:val="single" w:sz="8" w:color="CCEEFF"/>
            </w:tcBorders>
            <w:gridSpan w:val="24"/>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940" w:type="dxa"/>
            <w:vAlign w:val="bottom"/>
            <w:gridSpan w:val="14"/>
            <w:shd w:val="clear" w:color="auto" w:fill="CCEEFF"/>
          </w:tcPr>
          <w:p>
            <w:pPr>
              <w:jc w:val="center"/>
              <w:ind w:right="3300"/>
              <w:spacing w:after="0" w:line="17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Security Holder Matters and Issuer Purchases of</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920" w:type="dxa"/>
            <w:vAlign w:val="bottom"/>
            <w:tcBorders>
              <w:top w:val="single" w:sz="8" w:color="CCEEFF"/>
            </w:tcBorders>
            <w:gridSpan w:val="7"/>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700" w:type="dxa"/>
            <w:vAlign w:val="bottom"/>
            <w:tcBorders>
              <w:bottom w:val="single" w:sz="8" w:color="CCEEFF"/>
            </w:tcBorders>
            <w:gridSpan w:val="3"/>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5"/>
          </w:tcPr>
          <w:p>
            <w:pPr>
              <w:jc w:val="center"/>
              <w:ind w:right="326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3140" w:type="dxa"/>
            <w:vAlign w:val="bottom"/>
            <w:tcBorders>
              <w:top w:val="single" w:sz="8" w:color="CCEEFF"/>
            </w:tcBorders>
            <w:gridSpan w:val="8"/>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117</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Security Holder</w:t>
            </w: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3260" w:type="dxa"/>
            <w:vAlign w:val="bottom"/>
            <w:tcBorders>
              <w:bottom w:val="single" w:sz="8" w:color="CCEEFF"/>
            </w:tcBorders>
            <w:gridSpan w:val="9"/>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722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722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and headquartered in Sunny Isles Beach, Florida. We are a diversified holding company owning subsidiaries engaged in the following operating businesses: Investment, Energy, Automotive, Food Packaging, Real Estate, Home Fashion and Pharma. In addition, we operated a Metals segment until it was sold in December 2021. References to “we,” “our” or “us” herein include Icahn Enterprises and its subsidiaries, unless the context otherwise requires.</w:t>
      </w:r>
    </w:p>
    <w:p>
      <w:pPr>
        <w:spacing w:after="0" w:line="18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2022, representing an aggregate 1.99% general partner interest in Icahn Enterprises Holdings and us. Mr. Icahn and his affiliates owned approximately 85% of our outstanding depositary units as of December 31, 2022.</w:t>
      </w:r>
    </w:p>
    <w:p>
      <w:pPr>
        <w:spacing w:after="0" w:line="18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Strategy and Core Strengths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Icahn Strategy</w:t>
      </w:r>
    </w:p>
    <w:p>
      <w:pPr>
        <w:spacing w:after="0" w:line="229" w:lineRule="exact"/>
        <w:rPr>
          <w:sz w:val="20"/>
          <w:szCs w:val="20"/>
          <w:color w:val="auto"/>
        </w:rPr>
      </w:pPr>
    </w:p>
    <w:p>
      <w:pPr>
        <w:ind w:left="60" w:right="99" w:firstLine="365"/>
        <w:spacing w:after="0" w:line="255" w:lineRule="auto"/>
        <w:rPr>
          <w:sz w:val="20"/>
          <w:szCs w:val="20"/>
          <w:color w:val="auto"/>
        </w:rPr>
      </w:pPr>
      <w:r>
        <w:rPr>
          <w:rFonts w:ascii="Times New Roman" w:cs="Times New Roman" w:eastAsia="Times New Roman" w:hAnsi="Times New Roman"/>
          <w:sz w:val="18"/>
          <w:szCs w:val="18"/>
          <w:color w:val="auto"/>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spacing w:after="0" w:line="189" w:lineRule="exact"/>
        <w:rPr>
          <w:sz w:val="20"/>
          <w:szCs w:val="20"/>
          <w:color w:val="auto"/>
        </w:rPr>
      </w:pPr>
    </w:p>
    <w:p>
      <w:pPr>
        <w:ind w:left="60" w:right="79" w:firstLine="365"/>
        <w:spacing w:after="0" w:line="261" w:lineRule="auto"/>
        <w:rPr>
          <w:sz w:val="20"/>
          <w:szCs w:val="20"/>
          <w:color w:val="auto"/>
        </w:rPr>
      </w:pPr>
      <w:r>
        <w:rPr>
          <w:rFonts w:ascii="Times New Roman" w:cs="Times New Roman" w:eastAsia="Times New Roman" w:hAnsi="Times New Roman"/>
          <w:sz w:val="18"/>
          <w:szCs w:val="18"/>
          <w:color w:val="auto"/>
        </w:rPr>
        <w:t>Today, we are a diversified holding company owning subsidiaries engaged in seven diversified reporting segments. As of December 31, 2022, through our Investment segment, we have significant positions in various investments, which include FirstEnergy Corporation (FE), Xerox Corporation (XRX), Herc Holdings, Inc. (HRI), Newell Brands, Inc. (NWL) and Southwest Gas Holdings, Inc. (SWX).</w:t>
      </w:r>
    </w:p>
    <w:p>
      <w:pPr>
        <w:spacing w:after="0" w:line="180" w:lineRule="exact"/>
        <w:rPr>
          <w:sz w:val="20"/>
          <w:szCs w:val="20"/>
          <w:color w:val="auto"/>
        </w:rPr>
      </w:pPr>
    </w:p>
    <w:p>
      <w:pPr>
        <w:ind w:left="60" w:right="119" w:firstLine="365"/>
        <w:spacing w:after="0" w:line="254" w:lineRule="auto"/>
        <w:rPr>
          <w:sz w:val="20"/>
          <w:szCs w:val="20"/>
          <w:color w:val="auto"/>
        </w:rPr>
      </w:pPr>
      <w:r>
        <w:rPr>
          <w:rFonts w:ascii="Times New Roman" w:cs="Times New Roman" w:eastAsia="Times New Roman" w:hAnsi="Times New Roman"/>
          <w:sz w:val="18"/>
          <w:szCs w:val="18"/>
          <w:color w:val="auto"/>
        </w:rPr>
        <w:t>Several of our operating businesses started out as investment positions in debt or equity securities, held either directly by us or Mr. Icahn. Those 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365"/>
        <w:spacing w:after="0" w:line="255" w:lineRule="auto"/>
        <w:rPr>
          <w:sz w:val="20"/>
          <w:szCs w:val="20"/>
          <w:color w:val="auto"/>
        </w:rPr>
      </w:pPr>
      <w:r>
        <w:rPr>
          <w:rFonts w:ascii="Times New Roman" w:cs="Times New Roman" w:eastAsia="Times New Roman" w:hAnsi="Times New Roman"/>
          <w:sz w:val="18"/>
          <w:szCs w:val="18"/>
          <w:color w:val="auto"/>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189" w:lineRule="exact"/>
        <w:rPr>
          <w:sz w:val="20"/>
          <w:szCs w:val="20"/>
          <w:color w:val="auto"/>
        </w:rPr>
      </w:pPr>
    </w:p>
    <w:p>
      <w:pPr>
        <w:ind w:left="60" w:right="219" w:firstLine="365"/>
        <w:spacing w:after="0" w:line="255" w:lineRule="auto"/>
        <w:rPr>
          <w:sz w:val="20"/>
          <w:szCs w:val="20"/>
          <w:color w:val="auto"/>
        </w:rPr>
      </w:pPr>
      <w:r>
        <w:rPr>
          <w:rFonts w:ascii="Times New Roman" w:cs="Times New Roman" w:eastAsia="Times New Roman" w:hAnsi="Times New Roman"/>
          <w:sz w:val="18"/>
          <w:szCs w:val="18"/>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(“CEOs”) to proxy fights, tender offers and acquiring control. We work diligently to enhance value for all shareholders and we believe that the best way to do this is to make underperforming management teams and Boards of Directors accountable or to replace them.</w:t>
      </w:r>
    </w:p>
    <w:p>
      <w:pPr>
        <w:spacing w:after="0" w:line="189" w:lineRule="exact"/>
        <w:rPr>
          <w:sz w:val="20"/>
          <w:szCs w:val="20"/>
          <w:color w:val="auto"/>
        </w:rPr>
      </w:pPr>
    </w:p>
    <w:p>
      <w:pPr>
        <w:ind w:left="60" w:right="79" w:firstLine="365"/>
        <w:spacing w:after="0" w:line="261" w:lineRule="auto"/>
        <w:rPr>
          <w:sz w:val="20"/>
          <w:szCs w:val="20"/>
          <w:color w:val="auto"/>
        </w:rPr>
      </w:pPr>
      <w:r>
        <w:rPr>
          <w:rFonts w:ascii="Times New Roman" w:cs="Times New Roman" w:eastAsia="Times New Roman" w:hAnsi="Times New Roman"/>
          <w:sz w:val="18"/>
          <w:szCs w:val="18"/>
          <w:color w:val="auto"/>
        </w:rPr>
        <w:t>The Chairman of the Board of Directors of our general partner, Carl C. Icahn, has been an activist investor since 1980. Mr. Icahn believes that the current environment continues to be conducive to activism. Many major companies have substantial amounts of cash. We believe that they are hoarding cash, rather than spending it, because they do not believe investments in their business will translate to earnings.</w:t>
      </w:r>
    </w:p>
    <w:p>
      <w:pPr>
        <w:spacing w:after="0" w:line="180" w:lineRule="exact"/>
        <w:rPr>
          <w:sz w:val="20"/>
          <w:szCs w:val="20"/>
          <w:color w:val="auto"/>
        </w:rPr>
      </w:pPr>
    </w:p>
    <w:p>
      <w:pPr>
        <w:ind w:left="60" w:right="139" w:firstLine="365"/>
        <w:spacing w:after="0" w:line="254" w:lineRule="auto"/>
        <w:rPr>
          <w:sz w:val="20"/>
          <w:szCs w:val="20"/>
          <w:color w:val="auto"/>
        </w:rPr>
      </w:pPr>
      <w:r>
        <w:rPr>
          <w:rFonts w:ascii="Times New Roman" w:cs="Times New Roman" w:eastAsia="Times New Roman" w:hAnsi="Times New Roman"/>
          <w:sz w:val="18"/>
          <w:szCs w:val="18"/>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of Directors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we believe a strong activist catalyst is necessary.</w:t>
      </w:r>
    </w:p>
    <w:p>
      <w:pPr>
        <w:spacing w:after="0" w:line="192" w:lineRule="exact"/>
        <w:rPr>
          <w:sz w:val="20"/>
          <w:szCs w:val="20"/>
          <w:color w:val="auto"/>
        </w:rPr>
      </w:pPr>
    </w:p>
    <w:p>
      <w:pPr>
        <w:ind w:left="60" w:right="79" w:firstLine="365"/>
        <w:spacing w:after="0" w:line="254" w:lineRule="auto"/>
        <w:rPr>
          <w:sz w:val="20"/>
          <w:szCs w:val="20"/>
          <w:color w:val="auto"/>
        </w:rPr>
      </w:pPr>
      <w:r>
        <w:rPr>
          <w:rFonts w:ascii="Times New Roman" w:cs="Times New Roman" w:eastAsia="Times New Roman" w:hAnsi="Times New Roman"/>
          <w:sz w:val="18"/>
          <w:szCs w:val="18"/>
          <w:color w:val="auto"/>
        </w:rPr>
        <w:t>We believe that the activist catalyst adds value because, for companies with strong balance sheets, acquisitions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generally may seek to use to prevent an acquisition.</w:t>
      </w:r>
    </w:p>
    <w:p>
      <w:pPr>
        <w:spacing w:after="0" w:line="192" w:lineRule="exact"/>
        <w:rPr>
          <w:sz w:val="20"/>
          <w:szCs w:val="20"/>
          <w:color w:val="auto"/>
        </w:rPr>
      </w:pPr>
    </w:p>
    <w:p>
      <w:pPr>
        <w:ind w:left="60" w:right="179" w:firstLine="365"/>
        <w:spacing w:after="0" w:line="266" w:lineRule="auto"/>
        <w:rPr>
          <w:sz w:val="20"/>
          <w:szCs w:val="20"/>
          <w:color w:val="auto"/>
        </w:rPr>
      </w:pPr>
      <w:r>
        <w:rPr>
          <w:rFonts w:ascii="Times New Roman" w:cs="Times New Roman" w:eastAsia="Times New Roman" w:hAnsi="Times New Roman"/>
          <w:sz w:val="18"/>
          <w:szCs w:val="18"/>
          <w:color w:val="auto"/>
        </w:rPr>
        <w:t>It is our belief that our strategy will continue to produce strong results into the future. We believe that the strong cash flow and asset coverage from our operating subsidiaries will allow us to maintain a strong balance sheet and ample liquidity.</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Core Strengths</w:t>
      </w:r>
    </w:p>
    <w:p>
      <w:pPr>
        <w:spacing w:after="0" w:line="229" w:lineRule="exact"/>
        <w:rPr>
          <w:sz w:val="20"/>
          <w:szCs w:val="20"/>
          <w:color w:val="auto"/>
        </w:rPr>
      </w:pPr>
    </w:p>
    <w:p>
      <w:pPr>
        <w:ind w:left="60" w:right="99" w:firstLine="365"/>
        <w:spacing w:after="0" w:line="261" w:lineRule="auto"/>
        <w:rPr>
          <w:sz w:val="20"/>
          <w:szCs w:val="20"/>
          <w:color w:val="auto"/>
        </w:rPr>
      </w:pPr>
      <w:r>
        <w:rPr>
          <w:rFonts w:ascii="Times New Roman" w:cs="Times New Roman" w:eastAsia="Times New Roman" w:hAnsi="Times New Roman"/>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key elements of our business strategy include the following:</w:t>
      </w:r>
    </w:p>
    <w:p>
      <w:pPr>
        <w:spacing w:after="0" w:line="223" w:lineRule="exact"/>
        <w:rPr>
          <w:sz w:val="20"/>
          <w:szCs w:val="20"/>
          <w:color w:val="auto"/>
        </w:rPr>
      </w:pPr>
    </w:p>
    <w:p>
      <w:pPr>
        <w:jc w:val="both"/>
        <w:ind w:left="60" w:right="79" w:firstLine="36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Capitalize on Growth Opportunities in our Existing Businesses. </w:t>
      </w:r>
      <w:r>
        <w:rPr>
          <w:rFonts w:ascii="Times New Roman" w:cs="Times New Roman" w:eastAsia="Times New Roman" w:hAnsi="Times New Roman"/>
          <w:sz w:val="17"/>
          <w:szCs w:val="17"/>
          <w:color w:val="auto"/>
        </w:rPr>
        <w:t>We believe that we have developed a strong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businesses with experienced management teams. We may expand our existing businesses if appropriate opportunities are identified, as well as use our established businesses as a platform for additional acquisitions in the same or related areas.</w:t>
      </w:r>
    </w:p>
    <w:p>
      <w:pPr>
        <w:spacing w:after="0" w:line="155" w:lineRule="exact"/>
        <w:rPr>
          <w:sz w:val="20"/>
          <w:szCs w:val="20"/>
          <w:color w:val="auto"/>
        </w:rPr>
      </w:pPr>
    </w:p>
    <w:p>
      <w:pPr>
        <w:ind w:left="60" w:right="159" w:firstLine="365"/>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Drive Accountability and Financial Discipline in the Management of our Business. </w:t>
      </w:r>
      <w:r>
        <w:rPr>
          <w:rFonts w:ascii="Times New Roman" w:cs="Times New Roman" w:eastAsia="Times New Roman" w:hAnsi="Times New Roman"/>
          <w:sz w:val="17"/>
          <w:szCs w:val="17"/>
          <w:color w:val="auto"/>
        </w:rPr>
        <w:t>Our CEO is accountable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our Board of Directors of our 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spacing w:after="0" w:line="171" w:lineRule="exact"/>
        <w:rPr>
          <w:sz w:val="20"/>
          <w:szCs w:val="20"/>
          <w:color w:val="auto"/>
        </w:rPr>
      </w:pPr>
    </w:p>
    <w:p>
      <w:pPr>
        <w:ind w:left="60" w:right="79" w:firstLine="36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Seek to Acquire Undervalued Assets. </w:t>
      </w:r>
      <w:r>
        <w:rPr>
          <w:rFonts w:ascii="Times New Roman" w:cs="Times New Roman" w:eastAsia="Times New Roman" w:hAnsi="Times New Roman"/>
          <w:sz w:val="18"/>
          <w:szCs w:val="18"/>
          <w:color w:val="auto"/>
        </w:rPr>
        <w:t>We intend to continue to make investments in businesses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undervalued and have potential for 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spacing w:after="0" w:line="183" w:lineRule="exact"/>
        <w:rPr>
          <w:sz w:val="20"/>
          <w:szCs w:val="20"/>
          <w:color w:val="auto"/>
        </w:rPr>
      </w:pPr>
    </w:p>
    <w:p>
      <w:pPr>
        <w:ind w:left="60" w:right="379" w:firstLine="36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Activism to Unlock Value. </w:t>
      </w:r>
      <w:r>
        <w:rPr>
          <w:rFonts w:ascii="Times New Roman" w:cs="Times New Roman" w:eastAsia="Times New Roman" w:hAnsi="Times New Roman"/>
          <w:sz w:val="18"/>
          <w:szCs w:val="18"/>
          <w:color w:val="auto"/>
        </w:rPr>
        <w:t>As described above, we become actively involved in companies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Such activism may involve a broad 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Icahn Enterprises began as American Real Estate Partners L.P. in 1987 and currently operates a portfolio of seven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2022.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segment accounted for the majority of our consolidated revenues derived from customers outside the United States.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seek to invest our available cash and cash equivalents in liquid investments with a view to enhancing returns as we continue to assess further acquisitions of, or investments in, operating businesses. As of December 31, 2022, we had investments with a fair market value of approximately $4.2 billion in the Investment Funds, as defined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We, certain of Mr. Icahn’s wholly-owned affiliates and Brett Icahn, son of Mr. Icahn, are the sole investors in the Investment Funds. As general partner, we provide investment advisory and certain administrative and back-office services to the Investment Funds but do not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provide such services to any other entities, individuals or accounts. Interests in the Investment Funds are not offered to outside investors.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Strategy</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7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w:t>
      </w:r>
    </w:p>
    <w:p>
      <w:pPr>
        <w:spacing w:after="0" w:line="227"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by Mr. Icahn and his affiliates and by Brett Icahn.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Affiliate Investments</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and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CVR Energy is headquartered in Sugar Land, Texas. CVR Energy is a reporting company under the Exchange Act and files annual, quarterly and current reports, proxy statements and other information with the SEC that are publicly available.</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CVR Energy is a diversified holding company primarily engaged in the petroleum refining and marketing industry through its petroleum business and in the nitrogen fertilizer manufacturing industry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(“UAN”)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ammonia. CVR Energy has a general partner interest in CVR Partners. In addition, CVR Energy owns 37% of the outstanding common units of CVR Partners as of December 31, 2022. As of December 31, 2022, we owned approximately 71% of the total outstanding common stock of CVR Energy.</w:t>
      </w:r>
    </w:p>
    <w:p>
      <w:pPr>
        <w:spacing w:after="0" w:line="176"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Our Energy segment’s net sales for the years ended December 31, 2022, 2021 and 2020 represented approximately 81%, 70% and 58%, respectively, of our consolidated net sales, primarily from the sale of its petroleum products.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Raw Materials and Supply</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CVR Energy’s refining business has the capability to process a variety of crude oil blends. It’s oil refineries in Coffeyville, Kansas and Wynnewood, Oklahoma have a combined capacity of approximately 206,500 barrels per day (“bpd”). In April 2022, CVR Energy converted its Wynnewood refinery’s hydrocracker to a renewable diesel unit (“RDU”) with a nameplate capacity of 7,500 bpd, which RDU is also capable of being returned to hydrocarbon service. In addition to the use of third-party pipelines for the supply of crude oil, CVR Energy has an extensive gathering system consisting of logistics assets that are owned, leased or part of a joint venture operation. Petroleum refining product yield includes gasoline, diesel fuel, pet coke and other refined products such as natural gas liquids, asphalt and jet fuel among other products.</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by its adjacent crude oil refinery pursuant to a renewable long-term agreement with CVR Energy, as well as by third parties.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Northern Natural Gas interstate pipeline system, which is within one mile of the facility, and a third-party owned and operated pipeline.</w:t>
      </w:r>
    </w:p>
    <w:p>
      <w:pPr>
        <w:spacing w:after="0" w:line="19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On November 21, 2022, CVR Energy’s board of directors authorized its management to explore a potential spin-off of CVR Energy’s interest in the nitrogen fertilizer business into a newly created and separately traded public company. If completed, upon effectiveness of the potential spin-off transaction, current CVR Energy stockholders would own shares of both CVR Energy, holding the refinery and renewables businesses, and a holding company, holding CVR Energy’s current ownership of the general partner interest in, and approximately 37 percent of the common units (representing limited partner interests) of, CVR Partners. If CVR Energy proceeds with the spin-off, it would be intended to be structured as a tax-free, pro-rata distribution to all of CVR Energy’s stockholders, including Icahn Enterprises, as of a record date to be determined by CVR Energy’s board of directors. Completion of any potential spin-off would be subject to various conditions, including final approval of CVR Energy’s board of directors, and there can be no assurance that the potential spin-off will be completed in the manner described above, or at all.</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CVR Energy’s petroleum and nitrogen fertilizer businesses are subject to extensive and frequently changing federal, state and local, environmental, health and safety laws and regulations governing the emission, transportation, storage, disposal and release of regulated substances or wastes, the treatment and discharge of waste-water and storm water, and the storage, handling, use and transportation of petroleum and nitrogen products, and the characteristics and composition of gasoline, diesel fuels, UAN and ammonia. These laws and regulations, their underlying regulatory requirements, and the enforcement thereof, impact the petroleum and nitrogen fertilizer businesses and their operations by imposing:</w:t>
      </w:r>
    </w:p>
    <w:p>
      <w:pPr>
        <w:spacing w:after="0" w:line="187" w:lineRule="exact"/>
        <w:rPr>
          <w:sz w:val="20"/>
          <w:szCs w:val="20"/>
          <w:color w:val="auto"/>
        </w:rPr>
      </w:pPr>
    </w:p>
    <w:p>
      <w:pPr>
        <w:ind w:left="800" w:hanging="31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or the need to install enhanced or additional monitoring of controls;</w:t>
      </w:r>
    </w:p>
    <w:p>
      <w:pPr>
        <w:spacing w:after="0" w:line="225" w:lineRule="exact"/>
        <w:rPr>
          <w:rFonts w:ascii="Times New Roman" w:cs="Times New Roman" w:eastAsia="Times New Roman" w:hAnsi="Times New Roman"/>
          <w:sz w:val="18"/>
          <w:szCs w:val="18"/>
          <w:color w:val="auto"/>
        </w:rPr>
      </w:pPr>
    </w:p>
    <w:p>
      <w:pPr>
        <w:ind w:left="800" w:right="599" w:hanging="318"/>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the investigation and remediation of contaminated soil and groundwater at current and former facilities (if any) and for off-site waste disposal locations;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119" w:hanging="318"/>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specifications for the products marketed by the petroleum business and the nitrogen fertilizer business, primarily gasoline, diesel fuel, UAN and ammonia.</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CVR Energy’s operations require numerous permits, licenses and authorizations. Failure to comply with these permits, licenses and authorizations or environmental laws and regulations could result in fines, penalties or other sanctions or a revocation of CVR Energy’s permits, licenses or authorizations. In addition, the laws and regulations to which CVR Energy is subject to are often evolving and many of them have or could become more stringent or have or could become subject to more stringent interpretation or enforcement by federal or state agencies. These laws and regulations could result in increased capital, operating and compliance costs.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CVR Energy’s businesses are also subject to, or impacted by, various other environmental laws and regulations such as the federal Clean Air Act, the federal Clean Water Act, the federal comprehensive Environmental Response, Compensation and Liability Act, the federal Resource Conversation and Recovery Act, federal release reporting requirements relating to the release of hazardous substances into the environment, certain fuel regulations, renewable fuel standards, as discussed below, and various other laws and regulations.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Renewable Fuel Standard</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CVR Energy’s subsidiaries, Coffeyville Resource Refining &amp; Marketing, LLC (“CRRM”) and Wynnewood Refining Company, LLC (“WRC” and together with CRRM the “obligated-party subsidiaries”) are subject to the Clean Air Act’s renewable fuel standard (“RFS”) which requires refiners to either blend “renewable fuels” with their transportation fuels or purchase renewable fuel credits, known as renewable identification numbers, in lieu of blending. See Item 1A, “Risk Factors” and Note 17, “Commitments and Contingencies,” to the consolidated financial statements for further discussion.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subsidiary, Icahn Automotive Group LLC (“Icahn Automotive”). Icahn Automotive is headquartered in Kennesaw, Georgia.</w:t>
      </w:r>
    </w:p>
    <w:p>
      <w:pPr>
        <w:spacing w:after="0" w:line="16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Icahn Automotive was formed by us to invest in and operate businesses involved in automotive repair and maintenance services (“automotive services”) as well as the distribution and sale of automotive aftermarket parts and accessories to end-user do-it-yourself customers, wholesale distributors, and professional auto mechanics (“aftermarket parts”). Icahn Automotive’s automotive services and aftermarket parts businesses serve different customer channels and have distinct strategies, opportunities and requirements. As a result, the board of directors of Icahn Automotive has approved the separation of certain of its aftermarket parts and automotive services businesses into two independent operating companies, each with its own management team. In January of 2023, a subsidiary of Icahn Automotive, IEH Auto Parts Holding LLC and its subsidiaries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In the course of the Chapter 11 cases, Auto Plus will seek to sell substantially all of its assets pursuant to Section 363 of the Bankruptcy Code, with the proceeds of such sale used to satisfy obligations to its creditors, and to settle or discharge all of its obligations, in each case subject to approval by the Bankruptcy Court.</w:t>
      </w:r>
    </w:p>
    <w:p>
      <w:pPr>
        <w:spacing w:after="0" w:line="187" w:lineRule="exact"/>
        <w:rPr>
          <w:sz w:val="20"/>
          <w:szCs w:val="20"/>
          <w:color w:val="auto"/>
        </w:rPr>
      </w:pPr>
    </w:p>
    <w:p>
      <w:pPr>
        <w:ind w:left="60" w:right="111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segment’s net sales for the years ended December 31, 2022, 2021 and 2020 represented approximately 13%, 17% and 28%, respectively, of our consolidated net sales.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Services and Customers</w:t>
      </w:r>
    </w:p>
    <w:p>
      <w:pPr>
        <w:spacing w:after="0" w:line="22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Icahn Automotive provides its customers with access to over two million replacement parts for domestic and imported vehicles through an extensive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network of suppliers. Icahn Automotive seeks to provide (i) an extensive selection of product offerings, (ii) competitive pricing, (iii) exceptional in-store service experience and (iv) superior delivery to its customers.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Icahn Automotive purchases parts from manufacturers and other distributors for sale in the aftermarket. Purchases are made based on current inventory or operational needs and are fulfilled by suppliers within short periods of time. During 2022, Icahn Automotive’s ten largest suppliers accounted for approximately 60% of the merchandise purchased and its two largest suppliers accounted for more than 29% of the merchandise purchased. Icahn Automotive believes that the relationships that it has established with its suppliers are generally positive. In the past, Icahn Automotive has not experienced difficulty in obtaining satisfactory sources of supply and it believes that adequate alternative sources of supply exist, at similar cost, for the types of merchandise sold in its stores.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We conduct our Food Packaging segment through our majority owned subsidiary, Viskase Companies, Inc. (“Viskase”). Viskase is a producer of cellulosic, fibrous and plastic casings used to prepare and package processed meat products. Approximately 69% of Viskase’s net sales during 2022 were derived from customers outside the United States.</w:t>
      </w:r>
    </w:p>
    <w:p>
      <w:pPr>
        <w:spacing w:after="0" w:line="15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October 2020, Viskase completed an equity private placement whereby we acquired an additional 50,000,000 shares of Viskase common stock for $100 million. In December 2022, we purchased an additional 1,123,363 shares of Viskase common stock for $1 million. As of December 31, 2022, we owned approximately 90% of the total outstanding common stock of Viskase.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 WPH’s business consists of manufacturing, sourcing, marketing, distributing and selling home fashion consumer products. WPH’s operations include a manufacturing and distribution facility in Chipley, Florida and a manufacturing facility in Bahrain, both of which are owned facilities.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formerly Vivus, Inc. (“Vivus”). We acquired all of the outstanding common stock of Vivus in December 2020 upon its emergence from bankruptcy. Prior to Vivus’ emergence from bankruptcy, we held an investment in all of Vivus’ convertible corporate debt securities as well as all of its other outstanding debt. Vivus is a specialty pharmaceutical company with two approved therapies and one product candidate in active clinical development.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We conducted our Metals segment through our wholly owned subsidiary, PSC Metals, LLC (“PSC Metals”). On December 7, 2021, we closed on the sale of PSC Metals. As a result, we no longer operate a Metals segment.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have an aggregate of 41 employees at our Holding Company and Investment segment. Our other reporting segments employ an aggregate of approximately 20,000 employees, of which approximately 67% are employed within our Automotive segment, 12% are employed with our Food Packaging segment and 10% or less at each of our other segments. Approximately 17% of our employees are employed internationally, primarily within our Food Packaging and Home Fashion segments.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Icahn Enterprises maintains a website at </w:t>
      </w:r>
      <w:r>
        <w:rPr>
          <w:rFonts w:ascii="Times New Roman" w:cs="Times New Roman" w:eastAsia="Times New Roman" w:hAnsi="Times New Roman"/>
          <w:sz w:val="18"/>
          <w:szCs w:val="18"/>
          <w:i w:val="1"/>
          <w:iCs w:val="1"/>
          <w:color w:val="auto"/>
        </w:rPr>
        <w:t>www.ielp.com</w:t>
      </w:r>
      <w:r>
        <w:rPr>
          <w:rFonts w:ascii="Times New Roman" w:cs="Times New Roman" w:eastAsia="Times New Roman" w:hAnsi="Times New Roman"/>
          <w:sz w:val="18"/>
          <w:szCs w:val="18"/>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Contact Us on our website. In addition, our corporate governance guidelines, including Code of Ethics and Business Conduct and audit committee Charter, are available on our website (under Corporate Governance) and are available in print without charge to any stockholder requesting them. Any amendment or waiver of the provisions of our Code of Ethics will be posted on our website. The SEC maintains a website that contains reports, information statements, and other information regarding issuers like us who file electronically with the SEC. The SEC’s website is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Structure</w:t>
      </w:r>
    </w:p>
    <w:p>
      <w:pPr>
        <w:spacing w:after="0" w:line="22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and its control person, has significant influence over us, and sales by our controlling unitholder could cause our unit price to decline.</w:t>
      </w:r>
    </w:p>
    <w:p>
      <w:pPr>
        <w:spacing w:after="0" w:line="15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Mr. Icahn, through affiliates, owns 100% of Icahn Enterprises GP, the general partner of Icahn Enterprises, and approximately 85% of Icahn Enterprises’ outstanding depositary units as of December 31, 2022, and, as a result, has the ability to influence many aspects of our operations and affairs.</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 Furthermore, if upon Mr. Icahn’s death, the charitable and other trusts do not give control of Icahn Enterprises GP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88"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engaged, and in the future may engage, in transactions with our affiliates.</w:t>
      </w:r>
    </w:p>
    <w:p>
      <w:pPr>
        <w:spacing w:after="0" w:line="229"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becoming an investment company.</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U.S. federal income tax purposes.”</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structure transactions in a less advantageous manner to avoid becoming subject to the Investment Company Act.</w:t>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176"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taxable as a corporation if we are no longer treated as a partnership for U.S. federal income tax purposes.</w:t>
      </w:r>
    </w:p>
    <w:p>
      <w:pPr>
        <w:spacing w:after="0" w:line="15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color w:val="auto"/>
        </w:rPr>
        <w:t>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the potential for changes in tax laws.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If certain proposals were enacted, Mr. Icahn or his estate could become subject to additional U.S. federal income tax. The imposition of such additional tax, or the potential for such additional tax to be implemented, may result in Mr. Icahn or his estate selling our depositary units. Further, the market may anticipate sales by Mr. Icahn or his estate even if Mr. Icahn or his estate is not selling, or has no plans to sell, our depositary units. We currently cannot predict the outcome of legislative proposals, including, if enacted, their impact on our operations and financial position.</w:t>
      </w:r>
    </w:p>
    <w:p>
      <w:pPr>
        <w:spacing w:after="0" w:line="190"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depositary units may be required to pay tax on their share of our income even if they did not receive cash distributions from us.</w:t>
      </w:r>
    </w:p>
    <w:p>
      <w:pPr>
        <w:spacing w:after="0" w:line="15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the disposition of our depositary units could be more or less than expected.</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will decrease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Tax-exempt entities may recognize unrelated business taxable income they receive from holding our units, and may face other unique issues specific to their U.S. federal income tax classification.</w:t>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spacing w:after="0" w:line="17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Non-U.S. persons may be subject to withholding regimes and U.S. federal income tax on certain income they may earn from holding or disposing of our units.</w:t>
      </w:r>
    </w:p>
    <w:p>
      <w:pPr>
        <w:spacing w:after="0" w:line="15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Distributions to non-U.S. persons will be reduced by withholding taxes at the highest applicable effective tax rate, and non-U.S. persons will be required to file U.S. federal income tax returns and pay tax on their share of our taxable income. Withholding taxes may also apply to proceeds received from a sale, exchange or other disposition of our units.</w:t>
      </w:r>
    </w:p>
    <w:p>
      <w:pPr>
        <w:spacing w:after="0" w:line="1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liable for any underwithholding by nominees on our distributions or on transfers of our units made after January 1, 2023.</w:t>
      </w:r>
    </w:p>
    <w:p>
      <w:pPr>
        <w:spacing w:after="0" w:line="15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For distributions made after January 1, 2023,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1446 Final Regulations. If the qualified notice is incorrect such that it causes a broker to underwithhold with respect to an amount in excess of cumulative net income, the publicly traded partnership is liable for any underwithholding on such amount.</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For transfers, including a sale, exchange or other disposition of units, that occur on or after January 1, 2023,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spacing w:after="0" w:line="18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likely will be subject to state and local taxes and return filing or withholding requirements in states in which they do not live as a result of investing in our units.</w:t>
      </w:r>
    </w:p>
    <w:p>
      <w:pPr>
        <w:spacing w:after="0" w:line="15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Florida, Massachusetts, Nevada and New York. It is each unitholder’s responsibility to file all federal, state and local tax returns. Our counsel has not rendered an opinion on the state and local tax consequences of an investment in our units.</w:t>
      </w:r>
    </w:p>
    <w:p>
      <w:pPr>
        <w:spacing w:after="0" w:line="18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180"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adopted. If the IRS were to challenge this method, we may be required to change the allocation of items of income, gain, loss and deduction among our unitholders.</w:t>
      </w:r>
    </w:p>
    <w:p>
      <w:pPr>
        <w:spacing w:after="0" w:line="158" w:lineRule="exact"/>
        <w:rPr>
          <w:sz w:val="20"/>
          <w:szCs w:val="20"/>
          <w:color w:val="auto"/>
        </w:rPr>
      </w:pPr>
    </w:p>
    <w:p>
      <w:pPr>
        <w:ind w:left="60" w:right="3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5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spacing w:after="0" w:line="184" w:lineRule="exact"/>
        <w:rPr>
          <w:sz w:val="20"/>
          <w:szCs w:val="20"/>
          <w:color w:val="auto"/>
        </w:rPr>
      </w:pPr>
    </w:p>
    <w:p>
      <w:pPr>
        <w:ind w:left="6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5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spacing w:after="0" w:line="19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the pension liabilities of our affiliates.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85% of Icahn Enterprises’ outstanding depositary units as of December 31, 2022.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All the minimum funding requirements of the Internal Revenue Code, as amended, and the Employee Retirement Income Security Act of 1974, as amended, for the Viskase and ACF plans have been met as of December 31, 2022. If the plans were voluntarily terminated, they would be underfunded by an aggregate of approximately $32 million as of December 31, 2022.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3"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limited partnership and a ‘‘controlled company’’ within the meaning of the Nasdaq rules and as such are exempt from certain corporate governance requirements.</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members of our management team may be involved in other business activities that may involve conflicts of interest.</w:t>
      </w:r>
    </w:p>
    <w:p>
      <w:pPr>
        <w:spacing w:after="0" w:line="15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176"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Icahn Enterprises’ depositary units have limited voting rights, including rights to participate in our management.</w:t>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172"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15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18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8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Since we are a limited partnership, you may not be able to pursue legal claims against us in U.S. federal courts.</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Liquidity and Capital Requirements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the businesses of our subsidiaries to satisfy our obligations.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180"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1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15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18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17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failure to comply with the covenants under any of our debt instruments, including our indentures governing our senior unsecured notes (including our failure to comply as a result of events beyond our control, including the change in the fair value of our investment in the Investment Funds) may trigger a default or event of default under such instruments. 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184"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necessary to finance a change of control offer that may be required by the indentures governing our senior notes.</w:t>
      </w:r>
    </w:p>
    <w:p>
      <w:pPr>
        <w:spacing w:after="0" w:line="15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Mr. Icahn were to sell, or otherwise transfer, some or all of his interests in us to an unrelated party or group, a change of control could be deemed to have occurred under the terms of the indentures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17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15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investments in the Investment Funds with a fair market value of approximately $4.2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cash distributions to Icahn Enterprises’ unitholders, if any, can be affected by numerous factors.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While we made cash distributions to Icahn Enterprises’ unitholders in each of the four quarters of 2022,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18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Risks Relating to Our Investment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may be subject to significant uncertainties.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investments may not be successful for many reasons, including, but not limited to:</w:t>
      </w:r>
    </w:p>
    <w:p>
      <w:pPr>
        <w:spacing w:after="0" w:line="225" w:lineRule="exact"/>
        <w:rPr>
          <w:sz w:val="20"/>
          <w:szCs w:val="20"/>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or sustained increases in interest rates;</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control in minority investments;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worsening of general economic and market conditions;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diversification;</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success of the Investment Funds’ activist strategies;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conditions;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U.S. dollar exchange rates;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and regulatory developments that may affect particular businesses.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historical financial information for the Investment Funds is not necessarily indicative of its future performance.</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190"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75"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8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our top five holdings in the Investment Funds had a market value of approximately $2.6 billion, which represented approximately 29%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8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suitable investments, and our investments may not result in favorable returns or may result in losses.</w:t>
      </w:r>
    </w:p>
    <w:p>
      <w:pPr>
        <w:spacing w:after="0" w:line="15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spacing w:after="0" w:line="183"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execution of our activist investment activities involves many risks, certain of which are outside of our control.</w:t>
      </w:r>
    </w:p>
    <w:p>
      <w:pPr>
        <w:spacing w:after="0" w:line="15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pacing w:after="0" w:line="18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make investments in companies we do not control.</w:t>
      </w:r>
    </w:p>
    <w:p>
      <w:pPr>
        <w:spacing w:after="0" w:line="229"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169"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159"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19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possibility of increased regulation could result in additional burdens on our Investment segment.</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“Reform Act”), enacted into law in July 2010, resulted in regulations affecting almost every part of the financial services industry.</w:t>
      </w:r>
    </w:p>
    <w:p>
      <w:pPr>
        <w:spacing w:after="0" w:line="162"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ability to hedge investments successfully is subject to numerous risks.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19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193"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invest in distressed securities, as well as bank loans, asset backed securities and mortgage-backed securities.</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188"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investments are subject to numerous additional risks including those described below.</w:t>
      </w:r>
    </w:p>
    <w:p>
      <w:pPr>
        <w:spacing w:after="0" w:line="229" w:lineRule="exact"/>
        <w:rPr>
          <w:sz w:val="20"/>
          <w:szCs w:val="20"/>
          <w:color w:val="auto"/>
        </w:rPr>
      </w:pPr>
    </w:p>
    <w:p>
      <w:pPr>
        <w:ind w:left="800" w:right="519" w:hanging="318"/>
        <w:spacing w:after="0" w:line="276" w:lineRule="auto"/>
        <w:tabs>
          <w:tab w:leader="none" w:pos="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there are few limitations set forth in the governing documents of the Investment Funds on the execution of their investment activities, which are subject to the sole discretion of our Investment segment.</w:t>
      </w:r>
    </w:p>
    <w:p>
      <w:pPr>
        <w:ind w:left="800" w:right="119" w:hanging="318"/>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3" w:lineRule="exact"/>
        <w:rPr>
          <w:rFonts w:ascii="Times New Roman" w:cs="Times New Roman" w:eastAsia="Times New Roman" w:hAnsi="Times New Roman"/>
          <w:sz w:val="18"/>
          <w:szCs w:val="18"/>
          <w:color w:val="auto"/>
        </w:rPr>
      </w:pPr>
    </w:p>
    <w:p>
      <w:pPr>
        <w:ind w:left="800" w:right="179" w:hanging="318"/>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3" w:lineRule="exact"/>
        <w:rPr>
          <w:rFonts w:ascii="Times New Roman" w:cs="Times New Roman" w:eastAsia="Times New Roman" w:hAnsi="Times New Roman"/>
          <w:sz w:val="18"/>
          <w:szCs w:val="18"/>
          <w:color w:val="auto"/>
        </w:rPr>
      </w:pPr>
    </w:p>
    <w:p>
      <w:pPr>
        <w:ind w:left="800" w:right="99" w:hanging="318"/>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2" w:lineRule="exact"/>
        <w:rPr>
          <w:rFonts w:ascii="Times New Roman" w:cs="Times New Roman" w:eastAsia="Times New Roman" w:hAnsi="Times New Roman"/>
          <w:sz w:val="18"/>
          <w:szCs w:val="18"/>
          <w:color w:val="auto"/>
        </w:rPr>
      </w:pPr>
    </w:p>
    <w:p>
      <w:pPr>
        <w:ind w:left="800" w:right="99" w:hanging="318"/>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3" w:lineRule="exact"/>
        <w:rPr>
          <w:rFonts w:ascii="Times New Roman" w:cs="Times New Roman" w:eastAsia="Times New Roman" w:hAnsi="Times New Roman"/>
          <w:sz w:val="18"/>
          <w:szCs w:val="18"/>
          <w:color w:val="auto"/>
        </w:rPr>
      </w:pPr>
    </w:p>
    <w:p>
      <w:pPr>
        <w:ind w:left="800" w:right="239" w:hanging="318"/>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1" w:lineRule="exact"/>
        <w:rPr>
          <w:rFonts w:ascii="Times New Roman" w:cs="Times New Roman" w:eastAsia="Times New Roman" w:hAnsi="Times New Roman"/>
          <w:sz w:val="18"/>
          <w:szCs w:val="18"/>
          <w:color w:val="auto"/>
        </w:rPr>
      </w:pPr>
    </w:p>
    <w:p>
      <w:pPr>
        <w:ind w:left="800" w:right="99" w:hanging="318"/>
        <w:spacing w:after="0" w:line="255"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179"/>
        <w:spacing w:after="0" w:line="255" w:lineRule="auto"/>
        <w:rPr>
          <w:sz w:val="20"/>
          <w:szCs w:val="20"/>
          <w:color w:val="auto"/>
        </w:rPr>
      </w:pPr>
      <w:r>
        <w:rPr>
          <w:rFonts w:ascii="Times New Roman" w:cs="Times New Roman" w:eastAsia="Times New Roman" w:hAnsi="Times New Roman"/>
          <w:sz w:val="18"/>
          <w:szCs w:val="18"/>
          <w:color w:val="auto"/>
        </w:rPr>
        <w:t>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3" w:lineRule="exact"/>
        <w:rPr>
          <w:sz w:val="20"/>
          <w:szCs w:val="20"/>
          <w:color w:val="auto"/>
        </w:rPr>
      </w:pPr>
    </w:p>
    <w:p>
      <w:pPr>
        <w:ind w:left="800" w:right="179" w:hanging="318"/>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3" w:lineRule="exact"/>
        <w:rPr>
          <w:rFonts w:ascii="Times New Roman" w:cs="Times New Roman" w:eastAsia="Times New Roman" w:hAnsi="Times New Roman"/>
          <w:sz w:val="18"/>
          <w:szCs w:val="18"/>
          <w:color w:val="auto"/>
        </w:rPr>
      </w:pPr>
    </w:p>
    <w:p>
      <w:pPr>
        <w:ind w:left="800" w:right="99" w:hanging="318"/>
        <w:spacing w:after="0" w:line="252"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Consolidated Operating Subsidiaries</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regulations and regulatory actions can adversely affect our operating results and our ability to allocate capital.</w:t>
      </w:r>
    </w:p>
    <w:p>
      <w:pPr>
        <w:spacing w:after="0" w:line="15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may increase our compliance costs and may require changes to how our operating subsidiaries conduct their businesses. Any regulatory changes could have a significant negative impact on our financial condition, results of operations or cash flows.</w:t>
      </w:r>
    </w:p>
    <w:p>
      <w:pPr>
        <w:spacing w:after="0" w:line="179" w:lineRule="exact"/>
        <w:rPr>
          <w:sz w:val="20"/>
          <w:szCs w:val="20"/>
          <w:color w:val="auto"/>
        </w:rPr>
      </w:pPr>
    </w:p>
    <w:p>
      <w:pPr>
        <w:jc w:val="both"/>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spacing w:after="0" w:line="17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severe weather conditions, among others. These events may damage or destroy properties, production facilities, transport facilities and equipment, as well as lead to personal injury or death, environmental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13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Several of our subsidiaries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187"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It is unclear what impact the federal administration will have on the environmental laws and regulations applicable to us; however, measures to address climate change and reduce greenhouse gas (“GHG”) emissions (including carbon dioxide, methane, and nitrous oxides) are in various phases of discussion or implementation and could affect our operations by requiring increased operating and capital costs and/or increasing taxes on GHG emissions. There is also increased agency interest in per- and polyfluoroalkyl substances (“PFAS”). On August 26, 2022, the EPA issued a proposal to designate two PFAS compounds as hazardous substances by 2023. If PFAS compounds are designated as hazardous substances, the EPA could have the ability to order the investigation and remediation of those compounds at EPA clean-up sites. The EPA could also have the authority to reopen closed sites which are shown to be impacted by these PFAS compounds. This could lead to increased monitoring obligations and potential liability related thereto. If we are unable to maintain sales of our products at a price that reflects such increased costs, or if there is a reduced demand for our products, there could be a material adverse effect on our business, financial condition and results of operations.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permits, licenses and approvals with terms and conditions containing a significant number of prescriptive limits and performance standards in order to operate. These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17, “Commitments and Contingencies,” to the consolidated financial statements for additional discussion of environmental matters affecting our businesses.</w:t>
      </w:r>
    </w:p>
    <w:p>
      <w:pPr>
        <w:spacing w:after="0" w:line="199"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Energy segment’s businesses are, and commodity prices are, cyclical and highly volatile, which could have a material adverse effect on our results of operations, financial condition and cash flows.</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segment’s petroleum business’ financial results are primarily affected by the margin between refined product prices and the prices for crude oil and other feedstocks. Historically, refining margins have been volatile,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Some of these factors can vary by region and may change quickly, adding to market volatility, while others may have longer-term effects on refining and marketing margins, which are uncertain. CVR Energy does not produce crude oil and must purchase all of the crude oil it refines long before it refines them and sell the refined products. Price level changes during the period between purchasing feedstocks and selling the refined petroleum products from these feedstocks could have a significant effect on our Energy segment’s financial results and a decline in market prices may negatively impact the carrying value of its inventories.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Profitability is also impacted by the ability to purchase crude oil at a discount to benchmark crude oils, such as West Texas Intermediate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188"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spacing w:after="0" w:line="17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U.S. Environmental Protection Agency Renewable Fuel Standard, with respect to our Energy segment, could adversely affect our financial condition and results of operations.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U.S. Environmental Protection Agency (the “EPA”) has promulgated the Renewable Fuel Standards (“RFS”), which requires refiners to either blend “renewable fuels,” such as ethanol and biofuel,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or receive exemptions in order to comply with the RFS. The price of RINs became extremely volatile when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19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petroleum business cannot predict the future prices of RINs. The price of RINs has been extremely volatile in the past.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fluctuates and could be material, if the price for RINs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our Energy segment’s business could be material. If sufficient RINs are unavailable for purchase, if the petroleum business has to pay a significantly higher price for RINs or if the petroleum business is otherwise unable to meet the EPA’s RFS mandates, our Energy segment’s business, financial condition and results of operations could be materially adversely affected.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Commodity derivative contracts, particularly with respect to our Energy segment, may limit our potential gains, exacerbate potential losses and involve other risks.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segment’s petroleum business may enter into commodity derivatives contracts to mitigate crack spread or inventory risk with respect to a portion of its expected refined products production or crude oil products inventory.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92" w:lineRule="exact"/>
        <w:rPr>
          <w:sz w:val="20"/>
          <w:szCs w:val="20"/>
          <w:color w:val="auto"/>
        </w:rPr>
      </w:pPr>
    </w:p>
    <w:p>
      <w:pPr>
        <w:ind w:left="800" w:right="719" w:hanging="318"/>
        <w:spacing w:after="0" w:line="261"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volumes of its actual use of crude oil or production of the applicable refined products is less than the volumes subject to the hedging arrangement;</w:t>
      </w:r>
    </w:p>
    <w:p>
      <w:pPr>
        <w:ind w:left="800" w:right="379" w:hanging="318"/>
        <w:spacing w:after="0" w:line="250"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interruptions in transportation, inclement weather or other events cause unscheduled shutdowns or otherwise adversely affect its refinery or suppliers or customers;</w:t>
      </w:r>
    </w:p>
    <w:p>
      <w:pPr>
        <w:ind w:left="800" w:hanging="318"/>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counterparties to its futures contracts fail to perform under the contracts; or</w:t>
      </w:r>
    </w:p>
    <w:p>
      <w:pPr>
        <w:spacing w:after="0" w:line="9" w:lineRule="exact"/>
        <w:rPr>
          <w:rFonts w:ascii="Times New Roman" w:cs="Times New Roman" w:eastAsia="Times New Roman" w:hAnsi="Times New Roman"/>
          <w:sz w:val="18"/>
          <w:szCs w:val="18"/>
          <w:color w:val="auto"/>
        </w:rPr>
      </w:pPr>
    </w:p>
    <w:p>
      <w:pPr>
        <w:ind w:left="800" w:right="959" w:hanging="318"/>
        <w:spacing w:after="0" w:line="260"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sudden, unexpected event materially impacts the commodity or crack spread subject to the hedging arrangement.</w:t>
      </w:r>
    </w:p>
    <w:p>
      <w:pPr>
        <w:spacing w:after="0" w:line="181"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As a result, the effectiveness of CVR Energy’s risk mitigation strategy could have a material adverse impact on our Energy segment’s financial results and cash flows.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potential spin-off of CVR Energy’s interest in the nitrogen fertilizer business could involve significant time and expense and management attention, could disrupt or adversely affect the consolidated or separate businesses, results of operations and financial condition and may not be completed in accordance with the expected terms or anticipated timelines, or at all and may not achieve the intended results.</w:t>
      </w:r>
    </w:p>
    <w:p>
      <w:pPr>
        <w:spacing w:after="0" w:line="18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On November 21, 2022, our majority owned subsidiary CVR Energy announced that its board of directors authorized its management to explore a potential spin-off of its interest in CVR Energy’s nitrogen fertilizer business, which is owned by CVR Energy through the general and limited partner interests it holds in CVR Partners. If completed, upon effectiveness of the potential spin-off transaction, current CVR Energy stockholders, including Icahn Enterprises, would own shares of both CVR Energy, holding the refinery and renewables businesses, and a holding company, holding CVR Energy’s current ownership of the general partner interest in, and approximately 37 percent of the common units (representing limited partner interests) of, CVR Partners. Unanticipated developments could delay, prevent or otherwise adversely affect the potential spin-off, including but not limited to disruptions in general market conditions or potential problems or delays in obtaining various regulatory and tax approvals or clearances. There can be no assurance that the potential spin-off transaction will be completed in the manner anticipated by CVR Energy, or at all, and it has not set a timetable for completion of any such transaction. CVR Energy’s business relationships may be subject to disruption as a result if its customers, vendors and others attempt to negotiate changes in existing business relationships or consider entering into business relationships with parties other than CVR Energy. These disruptions could adversely affect our business, including adversely affecting our ability to realize the anticipated benefits of the potential spin-off. If the potential spin-off is completed, the anticipated benefits and synergies of the transaction, strategic and competitive advantages of each company, and future growth and other opportunities for each company may not be realized within the expected time periods or at all. Failure to implement the potential spin-off effectively could also result in a lower value to our company and our stockholders.</w:t>
      </w:r>
    </w:p>
    <w:p>
      <w:pPr>
        <w:spacing w:after="0" w:line="18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potential spin-off of CVR Partners by CVR Energy does not qualify as a transaction that is generally tax-free for U.S. federal income tax purposes, the potential spin-off could result in substantial tax liability.</w:t>
      </w:r>
    </w:p>
    <w:p>
      <w:pPr>
        <w:spacing w:after="0" w:line="51"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If CVR Energy pursues the potential spin-off, it intends to obtain an opinion as to the tax-free nature of the spin-off under the Internal Revenue Code, as amended. The opinion would be based, among other things, on various factual assumptions and representations CVR Energy would make. If any of these assumptions or representations are, or become, inaccurate or incomplete, reliance on the opinion and ruling may be jeopardized. If the potential spin-off would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not qualify for tax-free treatment for U.S. federal income tax purposes, the resulting tax liability to CVR Energy and stockholders of the newly formed company could be substantial.</w:t>
      </w:r>
    </w:p>
    <w:p>
      <w:pPr>
        <w:spacing w:after="0" w:line="266"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w:t>
      </w:r>
    </w:p>
    <w:p>
      <w:pPr>
        <w:spacing w:after="0" w:line="17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With respect to our Automotive segment, we have invested significant resources in various initiatives to remain competitive and stimulate growth. Despite these efforts, in January 2023, Auto Plus filed the Chapter 11 Cases in Bankruptcy Court. In the course of the Chapter 11 cases, Auto Plus will seek to sell substantially all of its assets pursuant to Section 363 of the Bankruptcy Code, with the proceeds of such sale used to satisfy obligations to its creditors, and to settle or discharge all of its obligations, in each case subject to approval by the Bankruptcy Court, which will have a negative impact on the results of operations and balance sheet of our Automotive segment.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19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subsidiaries have operations in foreign countries which expose them to risks related to economic and political conditions, currency fluctuations, import/export restrictions, regulatory and other risks.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of our subsidiaries are global businesses and have manufacturing and distribution facilities in many countries.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International operations are subject to certain risks including:</w:t>
      </w:r>
    </w:p>
    <w:p>
      <w:pPr>
        <w:spacing w:after="0" w:line="207" w:lineRule="exact"/>
        <w:rPr>
          <w:sz w:val="20"/>
          <w:szCs w:val="20"/>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political conditions (including the risk of seizure of assets by foreign governments);</w:t>
      </w:r>
    </w:p>
    <w:p>
      <w:pPr>
        <w:spacing w:after="0" w:line="9" w:lineRule="exact"/>
        <w:rPr>
          <w:rFonts w:ascii="Times New Roman" w:cs="Times New Roman" w:eastAsia="Times New Roman" w:hAnsi="Times New Roman"/>
          <w:sz w:val="18"/>
          <w:szCs w:val="18"/>
          <w:color w:val="auto"/>
        </w:rPr>
      </w:pPr>
    </w:p>
    <w:p>
      <w:pPr>
        <w:ind w:left="800" w:right="299" w:hanging="318"/>
        <w:spacing w:after="0" w:line="25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(including, but not limited to, material exchange rate fluctuations, such as devaluations) and currency controls;</w:t>
      </w: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ability to repatriate foreign earnings;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 and</w:t>
      </w:r>
    </w:p>
    <w:p>
      <w:pPr>
        <w:spacing w:after="0" w:line="9" w:lineRule="exact"/>
        <w:rPr>
          <w:rFonts w:ascii="Times New Roman" w:cs="Times New Roman" w:eastAsia="Times New Roman" w:hAnsi="Times New Roman"/>
          <w:sz w:val="18"/>
          <w:szCs w:val="18"/>
          <w:color w:val="auto"/>
        </w:rPr>
      </w:pPr>
    </w:p>
    <w:p>
      <w:pPr>
        <w:ind w:left="800" w:right="259" w:hanging="318"/>
        <w:spacing w:after="0" w:line="26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such as the Foreign Corrupt Practices Act, and local laws prohibiting inappropriate payments.</w:t>
      </w:r>
    </w:p>
    <w:p>
      <w:pPr>
        <w:spacing w:after="0" w:line="18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our businesses are unpredictable and vary from country-to-country.</w:t>
      </w:r>
    </w:p>
    <w:p>
      <w:pPr>
        <w:spacing w:after="0" w:line="16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businesses have substantial indebtedness, which could restrict their business activities and/or could subject them to significant interest rate risk.</w:t>
      </w:r>
    </w:p>
    <w:p>
      <w:pPr>
        <w:spacing w:after="0" w:line="15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subsidiaries’ indebtedness could:</w:t>
      </w:r>
    </w:p>
    <w:p>
      <w:pPr>
        <w:spacing w:after="0" w:line="225" w:lineRule="exact"/>
        <w:rPr>
          <w:sz w:val="20"/>
          <w:szCs w:val="20"/>
          <w:color w:val="auto"/>
        </w:rPr>
      </w:pPr>
    </w:p>
    <w:p>
      <w:pPr>
        <w:ind w:left="800" w:right="199" w:hanging="318"/>
        <w:spacing w:after="0" w:line="261"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their ability to borrow money for working capital, capital expenditures, debt service requirements or other corporate purposes, guarantee additional debt or issue redeemable, convertible of preferred equity;</w:t>
      </w:r>
    </w:p>
    <w:p>
      <w:pPr>
        <w:ind w:left="800" w:right="279" w:hanging="318"/>
        <w:spacing w:after="0" w:line="265" w:lineRule="auto"/>
        <w:tabs>
          <w:tab w:leader="none" w:pos="8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their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ind w:left="800" w:right="339" w:hanging="318"/>
        <w:spacing w:after="0" w:line="25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them to dedicate a substantial portion of their cash flow to payments on indebtedness, which would reduce the amount of cash flow available to fund working capital, capital expenditures, product development, and other corporate requirements;</w:t>
      </w:r>
    </w:p>
    <w:p>
      <w:pPr>
        <w:spacing w:after="0" w:line="1"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their vulnerability to general adverse economic and industry conditions;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their ability to respond to business opportunities.</w:t>
      </w:r>
    </w:p>
    <w:p>
      <w:pPr>
        <w:spacing w:after="0" w:line="20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January of 2023, Auto Plus filed a voluntary Chapter 11 petition in Bankruptcy Court, pursuant to which it will seek to sell substantially all of its assets and use the proceeds to satisfy its obligations to creditors. Certain of our subsidiaries’ indebtedness accrue interest at variable rates. To the extent market interest rates rise, the cost of their debt would increase, adversely affecting their financial condition, results of operations and cash flows.</w:t>
      </w:r>
    </w:p>
    <w:p>
      <w:pPr>
        <w:spacing w:after="0" w:line="17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of our businesses are subject to the effects of the following:</w:t>
      </w:r>
    </w:p>
    <w:p>
      <w:pPr>
        <w:spacing w:after="0" w:line="225" w:lineRule="exact"/>
        <w:rPr>
          <w:sz w:val="20"/>
          <w:szCs w:val="20"/>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terrorism or war;</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pandemics (or expectations about them)</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or our subsidiaries’ key personnel;</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as needed, of additional financing;</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inflationary conditions;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or volatile interest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hanging="318"/>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varying by industry and geographic markets;</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insurance at acceptable rates;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not in the ordinary course of business (see Item 3, “Legal Proceedings,” of this 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need qualified personnel to manage and operate our various businesses.</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spacing w:after="0" w:line="18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has, and may continue to have, a material adverse impact on our and our subsidiaries’ operations and financial performance, as well as on the operations and financial performance of many of the customers and suppliers in our operating segments. We are unable to predict the extent to which the pandemic and related impacts will adversely impact our business operations, financial performance, results of operations, and financial position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and our subsidiaries’ operations and financial performance have been negatively impacted by the COVID-19 pandemic that has caused, and may continue to cause, a global slowdown of economic activity, disruptions in global supply chains and significant volatility and disruption of financial markets. Because the severity, magnitude and duration of the COVID-19 pandemic and its economic consequences are uncertain, rapidly changing and difficult to predict, the pandemic’s impact on our and our subsidiaries’ operations and financial performance, remains uncertain.</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consolidated results of operations and financial condition have recently been impacted primarily by the net declines in fair value of investments held by our Investment segment and the Holding Company as well as disruptions or delays in supply chains, increased interest rates, and reduced economic activity with respect to our Energy segment. The impact on our businesses has also included the acceleration of planned store closures in our Automotive segment, which has contributed to the Chapter 11 filing of Auto Plus lowering forecasts across various segments and recording write-downs to inventories and other assets. In addition, the COVID-19 pandemic may subject our and our subsidiaries’ operations, financial performance and financial condition to a number of additional operational-related, market-related and liquidity and funding-related risks.</w:t>
      </w:r>
    </w:p>
    <w:p>
      <w:pPr>
        <w:spacing w:after="0" w:line="19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may also have the effect of heightening many of the other risks described in the risk factors set forth herein. In particular, see the risk factors: “We are a holding company and dependent upon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88"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may negatively impact our business and operations will depend on the severity, location, and duration of the effects and spread of COVID-19 and the emergence of new variants, the actions undertaken by national, regional, and local governments and health officials to contain such virus or remedy its effects, and if, how quickly and to what extent economic conditions recover and normal business and operating conditions resume. Further, the COVID-19 pandemic may affect our operating and financial results in a manner that is not presently known to us or that we currently do not expect to present significant risks to our operations or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have adverse impacts on our businesses and financial condition.</w:t>
      </w:r>
    </w:p>
    <w:p>
      <w:pPr>
        <w:spacing w:after="0" w:line="22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ongoing conflict in Ukraine has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inflation could have adverse effects on our results of operations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Inflation in the United States increased beginning in the second half of 2021 and has continued into 2023, due to a substantial increase in money supply, a simulative fiscal policy, a significant rebound in consumer demand as COVID-19 restrictions were relaxed, the Russia-Ukraine conflict, and worldwide supply chain disruptions resulting from the economic contraction caused by COVID-19 and lock downs followed by a rapid recovery. An increase in inflation could have a negative impact on our consolidated financial condition, results of operations or cash flows.</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5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Further,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19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Software implementation and upgrades at certain of our subsidiaries may result in complications that adversely impact the timeliness, accuracy and reliability of internal and external reporting.</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report timely and accurate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Investor and market sentiment towards climate change, fossil fuels, GHG emissions, environmental justice, and other Environmental, Social and Governance (“ESG”) matters could adversely affect our business and cost of capital.</w:t>
      </w:r>
    </w:p>
    <w:p>
      <w:pPr>
        <w:spacing w:after="0" w:line="13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There have been efforts in recent years aimed at the investment community, including investment advisors, sovereign wealth funds, public pension funds, universities, and other groups, to promote the divestment of securities of companies in the energy industry, as well as to pressure lenders and other financial services companies to limit or curtail activities with companies in the energy industry. As a result, some financial intermediaries, investors, and other capital markets participants have reduced or ceased lending to, or investing in, companies that operate in industries with higher perceived environmental exposure, such as the energy industry. If we and our Energy segment are unable to meet the ESG standards or investment, lending, ratings, or other policies set by these parties, we may lose investors, investors may allocate a portion of their capital away from us, our cost of capital may increase, the price of our securities may be negatively impacted and our reputation may also be negatively affected.</w:t>
      </w:r>
    </w:p>
    <w:p>
      <w:pPr>
        <w:spacing w:after="0" w:line="184"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its operations.</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188"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spacing w:after="0" w:line="180"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Our Holding Company and Investment segment lease office space in Sunny Isles Beach, Florida. The principal physical properties at our other operating segments are as follows: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CVR Energy owns and operates two oil refineries as well as office buildings located in Coffeyville, Kansas and Wynnewood, Oklahoma. CVR Energy also owns and operates two fertilizer plants in Coffeyville, Kansas and East Dubuque, Illinois. CVR Energy owns crude oil storage facilities in Kansas and Oklahoma, refined oil storage facilities at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its Wynnewood, Oklahoma refinery location, and fertilizer storage facilities at its East Dubuque, Illinois fertilizer plant location. CVR Energy also leases additional crude oil storage facilities.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Icahn Automotive’s operations include approximately 1,320 company operated store locations, 748 franchise locations and 56 tire hub and distributions centers throughout the United States. Approximately 80% of Icahn Automotive’s facilities are leased and the remainder are owned.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Viskase’s operations include ten manufacturing facilities throughout North America, Europe, South America and Asia.</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our business. We also incorporate by reference into this Item 3 of this Report, the information regarding the lawsuits and proceedings described and referenced in Note 17, “Commitments and Contingencies,” to the consolidated financial statements as set forth in Item 8 of this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Security 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depositary units are traded on the Nasdaq Global Select Market under the symbol “IEP.”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approximately 1,700 record holders of Icahn Enterprises’ depositary units including multiple beneficial holders at depositories, banks and brokers listed as a single record holder in the street name of each respective depository, bank or broker.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w:t>
      </w:r>
      <w:r>
        <w:rPr>
          <w:rFonts w:ascii="Times New Roman" w:cs="Times New Roman" w:eastAsia="Times New Roman" w:hAnsi="Times New Roman"/>
          <w:sz w:val="18"/>
          <w:szCs w:val="18"/>
          <w:color w:val="231F20"/>
        </w:rPr>
        <w:t>Investment, Energy, Automotive, Food Packaging, Real Estate,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Home Fashion and Pharma. In addition, we operated our Metals segment until sold in December 2021. </w:t>
      </w:r>
      <w:r>
        <w:rPr>
          <w:rFonts w:ascii="Times New Roman" w:cs="Times New Roman" w:eastAsia="Times New Roman" w:hAnsi="Times New Roman"/>
          <w:sz w:val="18"/>
          <w:szCs w:val="18"/>
          <w:color w:val="000000"/>
        </w:rPr>
        <w:t>We also report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results of our Holding Company, which includes the results of certain subsidiaries of Icahn Enterprises (unless otherwise noted), and investment activity and expenses associated with our Holding Company. References to “we,” “our” or “us” herein include Icahn Enterprises and its subsidiaries, unless the context otherwise requires.</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2022, representing an aggregate 1.99% general partner interest in Icahn Enterprises Holdings and us. Mr. Icahn and his affiliates owned approximately 85% of Icahn Enterprises’ outstanding depositary units as of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Transactions and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Issuances and Repayments</w:t>
      </w:r>
    </w:p>
    <w:p>
      <w:pPr>
        <w:spacing w:after="0" w:line="227"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 February 2022, we redeemed all of our $500 million aggregate principal amount of 6.750% senior unsecured notes due 2024 at par.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13, “Segment and Geographic Reporting,” to the consolidated financial statements for a reconciliation of each of our reporting segment’s results of continuing operations to our consolidated results.</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Throughout 2020, 2021 and continuing in 2022, the COVID-19 pandemic, and actions taken by governments and others in response thereto, has negatively impacted the global economy, financial markets, and certain of the industries in which our subsidiaries operate. Our consolidated results of operations and financial condition have been impacted primarily by the volatility in the fair value of investments held by our Investment segment and the Holding Company as well as volatility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and 2022 as more governments reduce restrictions and more businesses resume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although supply chain issues have continued to persist. Recent interest rate increases have increased the costs of borrowing.</w:t>
      </w:r>
    </w:p>
    <w:p>
      <w:pPr>
        <w:spacing w:after="0" w:line="237" w:lineRule="exact"/>
        <w:rPr>
          <w:sz w:val="20"/>
          <w:szCs w:val="20"/>
          <w:color w:val="auto"/>
        </w:rPr>
      </w:pPr>
    </w:p>
    <w:p>
      <w:pPr>
        <w:ind w:left="60" w:right="79" w:firstLine="270"/>
        <w:spacing w:after="0" w:line="254" w:lineRule="auto"/>
        <w:rPr>
          <w:sz w:val="20"/>
          <w:szCs w:val="20"/>
          <w:color w:val="auto"/>
        </w:rPr>
      </w:pPr>
      <w:r>
        <w:rPr>
          <w:rFonts w:ascii="Times New Roman" w:cs="Times New Roman" w:eastAsia="Times New Roman" w:hAnsi="Times New Roman"/>
          <w:sz w:val="18"/>
          <w:szCs w:val="18"/>
          <w:color w:val="auto"/>
        </w:rPr>
        <w:t>In February 2022, Russia invaded Ukraine, disrupting the global oil, fertilizer, and agriculture markets, and leading to heightened uncertainty in the worldwide economy recovering from the COVID-19 pandemic. In response, many Western countries have formally or informally adopted sanctions on a number of Russian exports, including Russian oil and natural gas, and individuals affiliated with Russian government leadership. These sanctions, thus far, have resulted in oil prices and supply becoming volatile, continued elevation of natural gas prices, and are likely to continue to impact commodity prices in the near-term, which could have a material effect on our financial condition, cash flows, or results of operations. A global recession stemming from market volatility could result in a reduction in demand, thereby lowering commodity prices. The ultimate outcome of the Russia-Ukraine conflict and any associated market disruptions are difficult to predict and may materially affect our business, operations, and cash flows in unforeseen ways.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by, among other factors, (i) the performance of the Investment Funds, (ii) the results of our Energy segment’s operations, impacted by the demand and prices for its products and (iii) the sale of PSC Metals in 2021. Refer to our respective segment discussions and “Other Consolidated Results of Operations” below for further discussion.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Income (Loss)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Income (Loss) From</w:t>
            </w:r>
          </w:p>
        </w:tc>
        <w:tc>
          <w:tcPr>
            <w:tcW w:w="120" w:type="dxa"/>
            <w:vAlign w:val="bottom"/>
          </w:tcPr>
          <w:p>
            <w:pPr>
              <w:spacing w:after="0"/>
              <w:rPr>
                <w:sz w:val="18"/>
                <w:szCs w:val="18"/>
                <w:color w:val="auto"/>
              </w:rPr>
            </w:pPr>
          </w:p>
        </w:tc>
        <w:tc>
          <w:tcPr>
            <w:tcW w:w="202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Attributable to Icahn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Enterprises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8"/>
                <w:szCs w:val="18"/>
                <w:color w:val="auto"/>
              </w:rPr>
            </w:pPr>
          </w:p>
        </w:tc>
        <w:tc>
          <w:tcPr>
            <w:tcW w:w="2100" w:type="dxa"/>
            <w:vAlign w:val="bottom"/>
            <w:tcBorders>
              <w:top w:val="single" w:sz="8" w:color="auto"/>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80" w:type="dxa"/>
            <w:vAlign w:val="bottom"/>
          </w:tcPr>
          <w:p>
            <w:pPr>
              <w:spacing w:after="0"/>
              <w:rPr>
                <w:sz w:val="18"/>
                <w:szCs w:val="18"/>
                <w:color w:val="auto"/>
              </w:rPr>
            </w:pPr>
          </w:p>
        </w:tc>
        <w:tc>
          <w:tcPr>
            <w:tcW w:w="2120" w:type="dxa"/>
            <w:vAlign w:val="bottom"/>
            <w:tcBorders>
              <w:top w:val="single" w:sz="8" w:color="auto"/>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(in millions)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shd w:val="clear" w:color="auto" w:fill="CCEEFF"/>
          </w:tcPr>
          <w:p>
            <w:pPr>
              <w:spacing w:after="0"/>
              <w:rPr>
                <w:sz w:val="24"/>
                <w:szCs w:val="24"/>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 (1,447)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Holding Company</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(402)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(402)</w:t>
            </w: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(260)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(260)</w:t>
            </w: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Pharma</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(100)</w:t>
            </w: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shd w:val="clear" w:color="auto" w:fill="CCEEFF"/>
          </w:tcPr>
          <w:p>
            <w:pPr>
              <w:spacing w:after="0"/>
              <w:rPr>
                <w:sz w:val="24"/>
                <w:szCs w:val="24"/>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(500)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 (2,468)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(518)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Management’s Discussion and Analysis of Results of Operations discusses the comparisons between the years ended December 31, 2022 and 2021. Certain discussions of results of operations for the comparisons between the years ended December 31, 2021 and 2020 are not included in this Report. Refer to “Management’s Discussion and Analysis of </w:t>
      </w:r>
      <w:hyperlink r:id="rId49">
        <w:r>
          <w:rPr>
            <w:rFonts w:ascii="Times New Roman" w:cs="Times New Roman" w:eastAsia="Times New Roman" w:hAnsi="Times New Roman"/>
            <w:sz w:val="18"/>
            <w:szCs w:val="18"/>
            <w:color w:val="auto"/>
          </w:rPr>
          <w:t xml:space="preserve">Financial Condition and Results of Operations” in </w:t>
        </w:r>
        <w:r>
          <w:rPr>
            <w:rFonts w:ascii="Times New Roman" w:cs="Times New Roman" w:eastAsia="Times New Roman" w:hAnsi="Times New Roman"/>
            <w:sz w:val="18"/>
            <w:szCs w:val="18"/>
            <w:u w:val="single" w:color="auto"/>
            <w:color w:val="0000EE"/>
          </w:rPr>
          <w:t>Item 7 of our Annual Report on Form 10-K for the fiscal year ended</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31, 2021,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February 25, 2022, which is incorporated by reference herein, for such discussions.</w:t>
        </w:r>
      </w:hyperlink>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(the “Investment Funds”).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December 31, 2022 and 2021, we had investments with a fair market value of approximately $4.2 billion, in the Investment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Funds. As of December 31, 2022 and 2021, the total fair market value of investments in the Investment Funds made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Icahn and his affiliates (excluding us and Brett Icahn), was approximately $4.9 billion and $5.0 billion, respectively.</w:t>
      </w:r>
    </w:p>
    <w:p>
      <w:pPr>
        <w:spacing w:after="0" w:line="20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2022, 2021 and 2020, our Investment Funds’ returns were (2.4)%, (0.3)%, and</w:t>
      </w:r>
    </w:p>
    <w:p>
      <w:pPr>
        <w:spacing w:after="0" w:line="27"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(14.3)%, respectively. Our Investment Funds’ returns represent a weighted-average composite of the average returns, net of expenses. The following table sets forth the performance attribution for the Investment Funds’ returns: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net loss for our Investment segment:</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Investment Funds’ negative performance was driven by net losses in long positions and short positions. The negative performance of long positions was primarily driven by the negative performance of a healthcare investment of approximately $1.3 billion and the aggregate performance of investments with net losses across various sectors of $1.0 billion, offset in part by gains from two energy sector investments aggregating $2.0 billion. The negative performance of our Investment segment’s short positions was driven by the negative performance of certain credit default swap positions of $742 million and an energy sector hedge totaling $420 million offset in part by gains from a broad market hedge totaling $1.0 billion.</w:t>
      </w:r>
    </w:p>
    <w:p>
      <w:pPr>
        <w:spacing w:after="0" w:line="18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2021, the Investment Funds’ negative performance was driven by net losses in short positions, offset in part by net gains in long positions. The negative performance of our Investment segment’s short positions was primarily driven by the negative performance of broad market hedges of $1.2 billion, an energy sector investment of $752 million and a consumer, cyclical sector investment of $506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$204 million. The positive performance of our Investment segment’s long positions was primarily driven by gains from two energy sector investments aggregating approximately $1.7 billion, a consumer, non-cyclical sector investment of $420 million and a utilities sector investment of $220 million. The aggregate performance of investments with net gains across various sectors accounted for an additional positive performance of our Investment segment’s long positions.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businesses. The sale of petroleum products accounted for approximately 92%, 93% and 91% of our Energy segment’s net sales for the years ended December 31, 2022, 2021 and 2020, respectively.</w:t>
      </w:r>
    </w:p>
    <w:p>
      <w:pPr>
        <w:spacing w:after="0" w:line="17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to recent market conditions, including the impact of the Russia/Ukraine conflict,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consolidated financial statements for further discussion of RINs.</w:t>
      </w:r>
    </w:p>
    <w:p>
      <w:pPr>
        <w:spacing w:after="0" w:line="19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April 2022, our Energy segment completed a renewable diesel project at one of its refineries, which converted the refinery’s hydrocracker to a renewable diesel unit (“RDU”) capable of producing 100 million gallons of renewable diesel per year and approximately 170 to 180 million RINs annually at a total cost of $179 million. The renewable diesel facility produces renewable diesel and has a capacity of approximately 7,500 barrels per day. Further, the conversion enables our Energy segment to capture additional benefits associated with the existing blenders’ tax credit that is currently set to expire at the end of 2024 and low carbon fuel standard programs in states such as California. Our Energy segment has additional plans to add pretreating capabilities for the RDU and is exploring potential additional renewables projects at its other facilities. These collective renewable diesel efforts could reduce our Energy segment’s Renewable Fuels Standard (“RFS”) exposure. However, any actions taken by the courts, the EPA or the Biden administration, and/or market conditions could significantly impact the amount by which our Energy segment’s renewable diesel business mitigates our costs to comply with the RFS, if at all.</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Energy segment’s net sales, cost of goods sold and gross margin:</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09"/>
        </w:trPr>
        <w:tc>
          <w:tcPr>
            <w:tcW w:w="5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29"/>
        </w:trPr>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Net sales for our Energy segment increased by approximately $3.7 billion (50%) for the year ended December 31, 2022 as compared to the comparable prior year period due to an increase in our petroleum business’ net sales, which increased approximately $3.4 billion, as well as an increase in our nitrogen fertilizer business’ net sales, which increased $303 million over the comparable periods. The increase in the petroleum business’ net sales was primarily due to price increases resulting from tight inventory levels and increased demand in Europe, which is impacted by the ongoing Russia-Ukraine conflict. Further, net sales were lower in the comparable period due to the impact of Winter Storm Uri, resulting in reduced production rates at both refineries. Our nitrogen fertilizer business’ net sales increased primarily due to favorable pricing conditions for ammonia and urea ammonium nitrate (“UAN”).</w:t>
      </w:r>
    </w:p>
    <w:p>
      <w:pPr>
        <w:spacing w:after="0" w:line="19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Cost of goods sold for our Energy segment increased by approximately $2.7 billion (39%) for the year ended December 31, 2022 as compared to the comparable prior year period. The increase was primarily due to our petroleum business as a result of higher cost of consumed crude oil, which was primarily due to higher oil prices. Gross profit for our Energy segment improved by $912 million for the year ended December 31, 2022 as compared to the comparable</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period. Gross margin as a percentage of net sales was 10% and 2% for the year ended December 31, 2022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2021, respectively. The improvement in gross margin was primarily attributable to the petroleum business, which was primarily due to higher crack spreads.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demand for automotive service and maintenance and are affected by the relative strength of automotive replacement trends, among other factors.</w:t>
      </w:r>
    </w:p>
    <w:p>
      <w:pPr>
        <w:spacing w:after="0" w:line="162"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Our Automotive segment has been in the process of a multi-year transformational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we anticipate will reduce the assets and negatively impact the net sales of our Automotive segment in future periods. Our Automotive segment’s priorities include:</w:t>
      </w:r>
    </w:p>
    <w:p>
      <w:pPr>
        <w:spacing w:after="0" w:line="168"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service business to take advantage of opportunities in the do-it-for-me market and vehicle fleets;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inventory management across Icahn Automotive’s parts and tire distribution network;</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capital projects within Icahn Automotive’s owned and leased locations to increase leasing revenue and reduce occupancy costs;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customer experience initiatives and selective upgrades in facilities;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investments; and</w:t>
      </w:r>
    </w:p>
    <w:p>
      <w:pPr>
        <w:spacing w:after="0" w:line="9" w:lineRule="exact"/>
        <w:rPr>
          <w:rFonts w:ascii="Times New Roman" w:cs="Times New Roman" w:eastAsia="Times New Roman" w:hAnsi="Times New Roman"/>
          <w:sz w:val="18"/>
          <w:szCs w:val="18"/>
          <w:color w:val="auto"/>
        </w:rPr>
      </w:pPr>
    </w:p>
    <w:p>
      <w:pPr>
        <w:ind w:left="720" w:right="839" w:hanging="319"/>
        <w:spacing w:after="0" w:line="26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including investments in our supply chain and information technology capabilities.</w:t>
      </w:r>
    </w:p>
    <w:p>
      <w:pPr>
        <w:spacing w:after="0" w:line="181" w:lineRule="exact"/>
        <w:rPr>
          <w:sz w:val="20"/>
          <w:szCs w:val="20"/>
          <w:color w:val="auto"/>
        </w:rPr>
      </w:pPr>
    </w:p>
    <w:p>
      <w:pPr>
        <w:ind w:left="60" w:right="99" w:firstLine="324"/>
        <w:spacing w:after="0" w:line="273" w:lineRule="auto"/>
        <w:rPr>
          <w:sz w:val="20"/>
          <w:szCs w:val="20"/>
          <w:color w:val="auto"/>
        </w:rPr>
      </w:pPr>
      <w:r>
        <w:rPr>
          <w:rFonts w:ascii="Times New Roman" w:cs="Times New Roman" w:eastAsia="Times New Roman" w:hAnsi="Times New Roman"/>
          <w:sz w:val="17"/>
          <w:szCs w:val="17"/>
          <w:color w:val="auto"/>
        </w:rPr>
        <w:t>The following table presents our Automotive segment’s operating revenue, cost of goods sold and other expenses and gross margin. Our Automotive segment’s results of operations also include automotive services labor. Automotive services labor revenues are included in other revenues from operations in our consolidated statements of operations; however, the sale of any installed parts or materials related to automotive services are included in net sales. Our Automotive segment’s revenues from operating leases and expenses are included in other revenues from operations and other expenses from operations, respectively, in our consolidated statements of operations, but are excluded from the table below. Therefore, we discuss the combined results of our automotive net sales and automotive services labor revenues below.</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28"/>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year ended December 31, 2022 decreased by $35 million (1%) as compared to the comparable prior year period. The decrease was attributable to a decrease in aftermarket parts sales of $175 million (13%), offset in part by an increase in automotive services revenue of $210 million (21%). The decrease in aftermarket part sales was driven by lower volumes, offset in part by price increases. The increases in automotive services revenues was driven by price increases, offset in part by lower volumes.</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year ended December 31, 2022 decreased by $75 million as compared to the comparable prior year period. The decrease was primarily driven by lower costs attributable to lower volumes for the year ended December 31, 2022. Gross profit on net sales and other revenue from operations for the year ended December 31, 2022 increased by $40 million (7%) as compared to the comparable prior year period. Gross margin as a percentage of net sales and other revenue from operations was 26% and 24% for the years ended December 31, 2022 and 2021, respectively. The increase in gross margin was primarily driven by price increases. In addition, cost of goods sold and other expenses from operations for the year ended December 31, 2022 was impacted by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out-of-period adjustments substantially related to inventory write-downs totaling $51 million and current period inventory write-downs totaling $33 million. Cost of goods sold and other expenses from operations for the year ended December 31, 2021 was impacted by inventory write-downs of $56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Net sales for the year ended December 31, 2022 increased $15 million (4%) as compared to the comparable prior year period. The increase was due to an increase of $60 million in price and product mix, offset by a decrease of $16 million due to unfavorable effects of foreign exchange and a decrease of $29 million due to lower volume. Cost of goods sold for the year ended December 31, 2022 increased by $14 million (4%) as compared to the comparable prior year period due to inflation of raw material costs and lower absorption of manufacturing costs at Viskase plants due to labor and raw material supply shortages. Gross margin as a percentage of net sales was 17% and 18% for the year ended December 31, 2022 and 2021,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years ended December 31, 2022 and 2021 were primarily derived from the sale of single-family homes.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sales for the year ended December 31, 2022 increased by $20 million (10%) compared to the comparable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period primarily due to increased hospitality sales driven by leisure and business travel. Cost of goods sold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year ended December 31, 2022 increased $27 million (17%) compared to the comparable prior year period due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higher material and freight costs. Gross margin as a percentage of net sales was 14% and 19% for the year ended December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2022 and 2021, respectively. The decrease is due to higher material and freight costs and a decline in the sale of certain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higher margin products.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Pharma segment derives revenues primarily from the sale of its products directly to customers, wholesalers and pharmacies.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sales for the year ended December 31, 2022 decreased by $15 million (19%) compared to the comparable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period primarily due to a one-time sale of approximately $13 million in the first quarter of 2021. Cost of goods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sold for the year ended December 31, 2022 decreased $2 million (4%) compared to the comparable prior year period due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lower volumes. Gross margin as a percentage of net sales was 27% and 38% for the year ended December 31, 2022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 respectively. The decrease is mostly due to the absence of the one-time sale in the first quarter of 2021 mentioned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Our Holding Company’s results of operations primarily reflect the interest expense on its senior unsecured notes and investment gains and losses from equity investments for each of the years ended December 31, 2022 and 2021.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Net</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1, "Description of Business," to the consolidated financial statements included in this Form 10-K, we sold PSC Metals, resulting in a pretax gain on disposition of assets of $163 million for the year ended December 31,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consolidated selling, general and administrative during the year ended December 31, 2022 increased by $12 million (1%) as compared to the comparable prior year period primarily due to higher expenses of our Energy segment mainly related to increased personnel costs driven by higher share-based compensation.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Refer to Note 9, “Goodwill and Intangible Assets, Net,” to the consolidated financial statements for a discussion of impairments of assets, which were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left="60" w:right="239" w:firstLine="324"/>
        <w:spacing w:after="0" w:line="277" w:lineRule="auto"/>
        <w:rPr>
          <w:sz w:val="20"/>
          <w:szCs w:val="20"/>
          <w:color w:val="auto"/>
        </w:rPr>
      </w:pPr>
      <w:r>
        <w:rPr>
          <w:rFonts w:ascii="Times New Roman" w:cs="Times New Roman" w:eastAsia="Times New Roman" w:hAnsi="Times New Roman"/>
          <w:sz w:val="17"/>
          <w:szCs w:val="17"/>
          <w:color w:val="auto"/>
        </w:rPr>
        <w:t>Our consolidated interest expense during the year ended December 31, 2022 decreased by $98 million (15%) as compared to the comparable prior year period. The decrease was primarily due to lower interest expense from our Investment segment due to lower balances on certain credit default swap positions, lower interest expense for our Energy segment due to lower weighted average interest rates resulting from their respective debt refinancings and lower interest expense for our Holding Company due to the redemption of $500 million of senior unsecured notes in February 2022.</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consolidated financial statements for a discussion of income taxes.</w:t>
      </w:r>
    </w:p>
    <w:p>
      <w:pPr>
        <w:spacing w:after="0" w:line="178" w:lineRule="exact"/>
        <w:rPr>
          <w:sz w:val="20"/>
          <w:szCs w:val="20"/>
          <w:color w:val="auto"/>
        </w:rPr>
      </w:pPr>
    </w:p>
    <w:p>
      <w:pPr>
        <w:ind w:left="60" w:right="319"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addition, in accordance with FASB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analyze all positive and negative evidence and maintain a valuation allowance on deferred tax assets that are not considered more likely than not to be realized.</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As of December 31, 2022, our Holding Company had cash and cash equivalents of $1.7 billion and total debt of approximately $5.3 billion. As of December 31, 2022, our Holding Company had investments in the Investment Funds with a total fair market value of approximately $4.2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p>
      <w:pPr>
        <w:spacing w:after="0" w:line="23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29"/>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9"/>
        </w:trPr>
        <w:tc>
          <w:tcPr>
            <w:tcW w:w="6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76"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In February 2022, we redeemed all of our $500 million in aggregate principal amount of 6.750% senior unsecured notes due 2024 at par. This transaction is expected to result in annual savings of approximately $34 million in future interest expense.</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the 6.375% senior unsecured note due 2025 and the 6.250% senior unsecured note due 2026 are subject to optional redemption premiums in the event we redeem any of the notes prior to certain dates as described in the indentures.</w:t>
      </w:r>
    </w:p>
    <w:p>
      <w:pPr>
        <w:spacing w:after="0" w:line="188"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2021, we were in compliance with all covenants, including maintaining certain minimum financial ratios, as defined in the indentures. Additionally, as of December 31, 2022, based on covenants in the indentures governing our senior unsecured notes, we are not permitted to incur additional indebtedness; however, we are permitted to issue new notes in connection with debt refinancings of existing notes.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Service Obligations</w:t>
      </w:r>
    </w:p>
    <w:p>
      <w:pPr>
        <w:spacing w:after="0" w:line="227"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on our Holding Company’s senior unsecured notes will be approximately $287 million for 2023, $272 million for 2024, $235 million for 2025, $138 million for 2026 and an aggregate of $97 million for 2026 through 2029.</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2019, Icahn Enterprises entered into an Open Market Sale Agreement, pursuant to which Icahn Enterprises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 able to sell its depositary units, from time to time, for up to $400 million in aggregate sale proceeds, under its ongoing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“at-the-market” offering. This agreement has been subsequently terminated and superseded by subsequent agreements 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substantially the same terms. During the year ended December 31, 2022, Icahn Enterprises sold 14,619,272 depositary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units pursuant to these agreements, resulting in gross proceeds of $759 million. As of December 31, 2022, we continue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have an active Open Market Sale Agreement and Icahn Enterprises may sell its depositary units for up to an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$325 million in aggregate gross sale proceeds pursuant to this agreement entered into on November 21, 2022. No assurance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can be made that any or all amounts will be sold during the term of this agreement, and we have no obligation to sell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 depositary units under this Open Market Sale Agreement. Depending on market conditions, we may continue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 depositary units under the Open Market Sale Agreement, and, if appropriate, enter into a new Open Market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to continue our “at-the-market” sales program once we have sold the full amount of our existing Open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 Agreement. Our ability to access remaining capital under our “at-the-market” program may be limited by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conditions at the time of any future potential sale. While we were able to sell shares during the year ended December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 there can be no assurance that any future capital will be available on acceptable terms or at all under this program.</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2022, we declared four quarterly distributions aggregating $8.00 per depositary unit. In connection with these distributions, aggregate cash distributions to all depositary unitholders were $222 million.</w:t>
      </w:r>
    </w:p>
    <w:p>
      <w:pPr>
        <w:spacing w:after="0" w:line="14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the Board of Directors of the general partner of Icahn Enterprises declared a quarterly distribution in the amount of $2.00 per depositary unit, which will be paid on or about April 19, 2023 to depositary unitholders of record at the close of business on March 13, 2023. Depositary unitholders will have until April 6,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14, 2023. Icahn Enterprises will make a cash payment in lieu of issuing fractional depositary units to any unitholders electing to receive (or who are deemed to have elected to receive) depositary units.</w:t>
      </w:r>
    </w:p>
    <w:p>
      <w:pPr>
        <w:spacing w:after="0" w:line="18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PSC Metals</w:t>
      </w:r>
    </w:p>
    <w:p>
      <w:pPr>
        <w:spacing w:after="0" w:line="22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On December 7, 2021, we closed on the previously announced sale of 100% of the equity interests in PSC Metals, LLC (“PSC Metals”). In connection with this sale, we received proceeds of $323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Investments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2022, we received proceeds of $153 million from the sale of equity investments held by the Holding Company.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Additionally, our Investment segment liquidity is driven by the investment activities and performance of the Investment Funds. As of December 31, 2022, the Investment Funds’ had a net short notional exposure of 47%. The Investment Funds’ long exposure was 94% (71% long equity and 23% long credit) and its short exposure was 140% (128% short equity and 12% short credit). The notional exposure represents the ratio of the notional exposure of the Investment Funds’ invested capital to the net asset value of the Investment Funds at December 31, 2022.</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94% long exposure, 74% was comprised of the fair value of its long positions (with certain adjustments) and 20% was comprised of single name equity forward and swap contracts and an option contract. Of the Investment Funds’ 140% short exposure, 71% was comprised of the fair value of its short positions and 69% was comprised of short broad market index swap derivative contracts and short credit default swap contracts.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(74% long exposure) and our short positions that are not notionalized (71%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(69%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left="432"/>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left="432"/>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February 2022, CVR Partners redeemed the remaining $65 million aggregate principal amount of its 9.25% senior secured notes due June 2023 at par. This transaction is expected to result in annual savings of approximately $6 million in future interest expense.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all of our subsidiaries were in compliance with all debt covenants.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segments have additional borrowing availability under certain revolving credit facilities as summarized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Food Packaging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Home Fashion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228"/>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w:t>
      </w:r>
    </w:p>
    <w:p>
      <w:pPr>
        <w:spacing w:after="0" w:line="7" w:lineRule="exact"/>
        <w:rPr>
          <w:rFonts w:ascii="Times New Roman" w:cs="Times New Roman" w:eastAsia="Times New Roman" w:hAnsi="Times New Roman"/>
          <w:sz w:val="18"/>
          <w:szCs w:val="18"/>
          <w:color w:val="auto"/>
        </w:rPr>
      </w:pPr>
    </w:p>
    <w:p>
      <w:pPr>
        <w:ind w:left="9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9" w:lineRule="exact"/>
        <w:rPr>
          <w:rFonts w:ascii="Times New Roman" w:cs="Times New Roman" w:eastAsia="Times New Roman" w:hAnsi="Times New Roman"/>
          <w:sz w:val="18"/>
          <w:szCs w:val="18"/>
          <w:color w:val="auto"/>
        </w:rPr>
      </w:pPr>
    </w:p>
    <w:p>
      <w:pPr>
        <w:ind w:left="10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-130810</wp:posOffset>
            </wp:positionV>
            <wp:extent cx="564896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848" w:hanging="848"/>
        <w:spacing w:after="0"/>
        <w:tabs>
          <w:tab w:leader="none" w:pos="8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46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52" w:space="720"/>
            <w:col w:w="1247"/>
          </w:cols>
          <w:pgMar w:left="1440" w:top="513" w:right="1440" w:bottom="1440" w:gutter="0" w:footer="0" w:header="0"/>
          <w:type w:val="continuous"/>
        </w:sectPr>
      </w:pPr>
    </w:p>
    <w:p>
      <w:pPr>
        <w:spacing w:after="0" w:line="6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total availability under CVR Refining and CVR Partners variable rate asset based revolving credit facilities aggregated $287 million and $396 million, respectively. CVR Refining also had $23 million and $39 million of letters of credit outstanding as of December 31, 2022 and December 31, 2021, respectively.</w:t>
      </w:r>
    </w:p>
    <w:p>
      <w:pPr>
        <w:spacing w:after="0" w:line="176" w:lineRule="exact"/>
        <w:rPr>
          <w:sz w:val="20"/>
          <w:szCs w:val="20"/>
          <w:color w:val="auto"/>
        </w:rPr>
      </w:pPr>
    </w:p>
    <w:p>
      <w:pPr>
        <w:ind w:left="60" w:right="479" w:firstLine="324"/>
        <w:spacing w:after="0" w:line="312" w:lineRule="auto"/>
        <w:rPr>
          <w:sz w:val="20"/>
          <w:szCs w:val="20"/>
          <w:color w:val="auto"/>
        </w:rPr>
      </w:pPr>
      <w:r>
        <w:rPr>
          <w:rFonts w:ascii="Times New Roman" w:cs="Times New Roman" w:eastAsia="Times New Roman" w:hAnsi="Times New Roman"/>
          <w:sz w:val="17"/>
          <w:szCs w:val="17"/>
          <w:color w:val="auto"/>
        </w:rPr>
        <w:t>The above outstanding debt and borrowing availability with respect to each of our continuing operating segments reflects third-party obligations. Certain terms of financings for certain of our businesses impose restrictions on the</w:t>
      </w:r>
    </w:p>
    <w:p>
      <w:pPr>
        <w:sectPr>
          <w:pgSz w:w="11900" w:h="16838" w:orient="portrait"/>
          <w:cols w:equalWidth="0" w:num="1">
            <w:col w:w="9019"/>
          </w:cols>
          <w:pgMar w:left="1440" w:top="513" w:right="1440"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business’ ability to transfer funds to us, including restrictions on dividends, distribution, loans and other transactions. See Note 11, “Debt,” to the consolidated financial statements for further discussion regarding our segment debt, including information relating to maturities, interest rates and borrowing availabilities.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Service Obligations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debt service obligations for our other operating segments are primarily within our Energy segment.</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After giving effect to certain debt activity in February 2022, as discussed above, our Energy segment’s future debt maturities (excluding financing leases) are $600 million for 2025 and $950 million for 2028. Future interest payments for our Energy segment are expected to be approximately $91 million to $89 million for each of 2022, 2023 and $63 million for 2024. Interest payments are expected to be $59 million for each of 2025 and 2026, and an aggregate of $11 million for 2027 through 2028.</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Dividends</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our Energy segment paid three quarterly distributions aggregating $1.20 per share. Our portion of the dividend aggregated to $85 million. In addition, in the second, third and fourth quarters of 2022, our Energy segment paid a special dividend which included $256 million in cash for our portion. Furthermore, during the year ended December 31, 2022, our energy segment had aggregate distributions to non-controlling interests of $129 million as a result of distributions paid by CVR Partners to its common unit holders.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Stock Repurchase Program</w:t>
      </w:r>
    </w:p>
    <w:p>
      <w:pPr>
        <w:spacing w:after="0" w:line="227" w:lineRule="exact"/>
        <w:rPr>
          <w:sz w:val="20"/>
          <w:szCs w:val="20"/>
          <w:color w:val="auto"/>
        </w:rPr>
      </w:pPr>
    </w:p>
    <w:p>
      <w:pPr>
        <w:ind w:left="60" w:right="199" w:firstLine="324"/>
        <w:spacing w:after="0" w:line="270" w:lineRule="auto"/>
        <w:rPr>
          <w:sz w:val="20"/>
          <w:szCs w:val="20"/>
          <w:color w:val="auto"/>
        </w:rPr>
      </w:pPr>
      <w:r>
        <w:rPr>
          <w:rFonts w:ascii="Times New Roman" w:cs="Times New Roman" w:eastAsia="Times New Roman" w:hAnsi="Times New Roman"/>
          <w:sz w:val="17"/>
          <w:szCs w:val="17"/>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3"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Repurchases, if any, including the timing, price and amount, may be made at the discretion of CVR Energy management and CVR Energy is not obligated to make any repurchases. CVR Energy did not repurchase any shares of its common stock as of December 31, 2022.</w:t>
      </w:r>
    </w:p>
    <w:p>
      <w:pPr>
        <w:spacing w:after="0" w:line="18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2022, CVR Partners repurchased common units on the open market at a cost of $12 million. As of December 31, 2022, CVR Partners has a nominal amount remaining under its unit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Future purchase obligations for our other operating segments are primarily within our Energy and Pharma segments, as discussed in Note 17, “Commitments and Contingencies,”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92"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Pr>
          <w:p>
            <w:pPr>
              <w:spacing w:after="0"/>
              <w:rPr>
                <w:sz w:val="15"/>
                <w:szCs w:val="15"/>
                <w:color w:val="auto"/>
              </w:rPr>
            </w:pPr>
          </w:p>
        </w:tc>
        <w:tc>
          <w:tcPr>
            <w:tcW w:w="220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tcPr>
          <w:p>
            <w:pPr>
              <w:spacing w:after="0"/>
              <w:rPr>
                <w:sz w:val="15"/>
                <w:szCs w:val="15"/>
                <w:color w:val="auto"/>
              </w:rPr>
            </w:pPr>
          </w:p>
        </w:tc>
        <w:tc>
          <w:tcPr>
            <w:tcW w:w="23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7"/>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7"/>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6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60" w:type="dxa"/>
            <w:vAlign w:val="bottom"/>
            <w:gridSpan w:val="8"/>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Operating  Investing  Financing</w:t>
            </w:r>
          </w:p>
        </w:tc>
        <w:tc>
          <w:tcPr>
            <w:tcW w:w="140" w:type="dxa"/>
            <w:vAlign w:val="bottom"/>
          </w:tcPr>
          <w:p>
            <w:pPr>
              <w:spacing w:after="0"/>
              <w:rPr>
                <w:sz w:val="10"/>
                <w:szCs w:val="10"/>
                <w:color w:val="auto"/>
              </w:rPr>
            </w:pPr>
          </w:p>
        </w:tc>
        <w:tc>
          <w:tcPr>
            <w:tcW w:w="2140" w:type="dxa"/>
            <w:vAlign w:val="bottom"/>
            <w:gridSpan w:val="9"/>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Operating  Investing  Financing</w:t>
            </w:r>
          </w:p>
        </w:tc>
        <w:tc>
          <w:tcPr>
            <w:tcW w:w="160" w:type="dxa"/>
            <w:vAlign w:val="bottom"/>
          </w:tcPr>
          <w:p>
            <w:pPr>
              <w:spacing w:after="0"/>
              <w:rPr>
                <w:sz w:val="10"/>
                <w:szCs w:val="10"/>
                <w:color w:val="auto"/>
              </w:rPr>
            </w:pPr>
          </w:p>
        </w:tc>
        <w:tc>
          <w:tcPr>
            <w:tcW w:w="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1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 w:type="dxa"/>
            <w:vAlign w:val="bottom"/>
          </w:tcPr>
          <w:p>
            <w:pPr>
              <w:spacing w:after="0"/>
              <w:rPr>
                <w:sz w:val="15"/>
                <w:szCs w:val="15"/>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Activities</w:t>
            </w: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83"/>
              </w:rPr>
              <w:t>(in millions)</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Other Operating</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Metals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186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Other operating</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segments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0"/>
                <w:szCs w:val="20"/>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before</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20"/>
                <w:szCs w:val="20"/>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discussion of consolidated cash flows below primarily discusses the comparisons between the years ended December 31, 2022 and 2021. Refer to “Management’s Discussion and Analysis of Financial Condition and Results of Operations” in </w:t>
      </w:r>
      <w:hyperlink r:id="rId49">
        <w:r>
          <w:rPr>
            <w:rFonts w:ascii="Times New Roman" w:cs="Times New Roman" w:eastAsia="Times New Roman" w:hAnsi="Times New Roman"/>
            <w:sz w:val="18"/>
            <w:szCs w:val="18"/>
            <w:u w:val="single" w:color="auto"/>
            <w:color w:val="0000EE"/>
          </w:rPr>
          <w:t>Item 7 of our Annual Report on Form 10-K for the fiscal year ended December 31, 2021, filed on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February 23, 2022, which is incorporated by reference herein, for additional discussion of consolidated cash flows for the comparisons between the years ended December 31, 2021 and 2020.</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for interest on senior unsecured notes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for income taxes, net of payments</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other</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businesses and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investments in the Investment Funds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distributions from (investments in) other operating segments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9"/>
        </w:trPr>
        <w:tc>
          <w:tcPr>
            <w:tcW w:w="558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acquire additional interests in subsidiaries</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transactions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Increase (decrease) in cash and cash equivalents and restricted cash and</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580" w:type="dxa"/>
            <w:vAlign w:val="bottom"/>
            <w:vMerge w:val="continue"/>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payments during 2022 compared to 2021 was due to the redemption of $500 million of senior secured unsecured notes in February 2022.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Proceeds from the sale of investments includes proceeds from the sale of equity investments in 2022 and 2021.</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Proceeds from the sale of businesses and assets includes proceeds from the sale of PSC Metals in 2021.</w:t>
      </w:r>
    </w:p>
    <w:p>
      <w:pPr>
        <w:spacing w:after="0" w:line="225" w:lineRule="exact"/>
        <w:rPr>
          <w:sz w:val="20"/>
          <w:szCs w:val="20"/>
          <w:color w:val="auto"/>
        </w:rPr>
      </w:pPr>
    </w:p>
    <w:p>
      <w:pPr>
        <w:ind w:left="60" w:right="959" w:firstLine="324"/>
        <w:spacing w:after="0" w:line="282" w:lineRule="auto"/>
        <w:rPr>
          <w:sz w:val="20"/>
          <w:szCs w:val="20"/>
          <w:color w:val="auto"/>
        </w:rPr>
      </w:pPr>
      <w:r>
        <w:rPr>
          <w:rFonts w:ascii="Times New Roman" w:cs="Times New Roman" w:eastAsia="Times New Roman" w:hAnsi="Times New Roman"/>
          <w:sz w:val="18"/>
          <w:szCs w:val="18"/>
          <w:color w:val="auto"/>
        </w:rPr>
        <w:t>Net distributions from (investments in) distributions from the Investment Funds and Net distributions from (investments in) other operating segments are eliminated in consolidation and discussed further below.</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Partnership contributions represent sales in connection with our “at-the-market” offerings pursuant to our Open Market Sale Agreements entered into beginning May 2019, as discussed above.</w:t>
      </w:r>
    </w:p>
    <w:p>
      <w:pPr>
        <w:spacing w:after="0" w:line="162"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Net debt transactions includes the redemption of our $500 million aggregate principal amount of 6.750% senior unsecured notes due 2024.</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Partnership distributions represent cash paid to depositary unitholders in connection with our regularly quarterly distributions. Mr. Icahn and his affiliates have historically elected to receive their distributions in additional units; however, for the first quarter of 2020, they elected to receive their distribution in cash. For distributions declared for all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other quarters in 2022, 2021 and 2020, Mr. Icahn and his affiliates elected to receive their distributions in additional depositary units.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Investment segment’s cash flows from financing activities for the comparable periods were due to contributions from, and distributions to, our Holding Company, Mr. Icahn and his affiliates and Brett Icahn. Our Investment segment had net cash used in financing activities of $14 million for the year ended December 31, 2022, as a result of net redemptions from Brett Icahn in accordance with his manager agreement. For the year ended December 31, 2021, our Investment segment had net cash provided by financing activities of $74 million, as a result of contributions from Brett Icahn in accordance with his manager agreement.</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Operating Segments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flow from operating activities before changes in operating assets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Turnaround expenditures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and supply chain financing activity</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acquire additional interests in consolidated subsidiaries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contributions from (distributions to) Holding Company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cash equivalents</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8"/>
        </w:trPr>
        <w:tc>
          <w:tcPr>
            <w:tcW w:w="5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 cash and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1"/>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other operating segments’ net cash flow from operating activities before changes in operating assets and liabilities were primarily attributable to our Automotive segment’s negative results in 2022, 2021 and 2020 and our Energy segment’s positive results from operations for 2022 and 2021.</w:t>
      </w:r>
    </w:p>
    <w:p>
      <w:pPr>
        <w:spacing w:after="0" w:line="176"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Changes in operating assets and liabilities for 2022 and 2021 were primarily attributable to our Energy segment resulting primarily from an increase in crude oil prices and increase in its open RFS position. Changes in operating</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 and liabilities for 2020 were primarily attributable to our Automotive segment resulting from inventory reductions.</w:t>
      </w:r>
    </w:p>
    <w:p>
      <w:pPr>
        <w:spacing w:after="0" w:line="22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Capital expenditures are primarily from our Energy and Automotive segments and are primarily for maintenance. Refer to Note 13, “Segment and Geographic Reporting,” for capital expenditures reported for each of our segments. Turnaround expenditures relates to our Energy segment, which were higher in 2022 due to planned maintenance at one of its refineries.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Purchases of investments primarily relates to our Energy segment’s purchase of an equity investment in 2020.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Proceeds from sale of investments relates to our Automotive segment’s cash received from 767 Leasing in 2021 and 2020.</w:t>
      </w:r>
    </w:p>
    <w:p>
      <w:pPr>
        <w:spacing w:after="0" w:line="20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Proceeds from sale of assets are primarily due to our Automotive segment in 2021 and our Automotive and Real Estate segments in 2020. Our Automotive segment continues to sell stores and other assets in connection with its transformation plan.</w:t>
      </w:r>
    </w:p>
    <w:p>
      <w:pPr>
        <w:spacing w:after="0" w:line="1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Distributions to non-controlling interests were from our Energy segment relating to its regular quarterly dividends and distributions, excluding payments made to us, as well as a special dividend made in both 2022 and 2021.</w:t>
      </w:r>
    </w:p>
    <w:p>
      <w:pPr>
        <w:spacing w:after="0" w:line="162"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Net contributions from and distributions to our Holding Company include the dividends and distributions paid by our Energy segment of $342 million in 2022 compared to $171 million in 2021, as well as by our Automotive segment of $36 million in 2021. During 2022, Automotive segment received funds in the form of investments and loans from our Holding Company of $187 million compared to $425 million for 2021, primarily for the refinancing of its debt and costs associated with our Automotive segment’s multi-year transformation plan. During 2022, our Home Fashion segment received funds in the amount of $50 million primarily for the refinancing of its debt.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Spending</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Refer to Note 13, “Segment and Geographic Reporting,” for a reconciliation of our segments’ capital expenditures to consolidated capital expenditures for each of the years ended December 31, 2022, 2021 and 2020. In addition, our Energy segment had turnaround expenditures of $83 million, $5 million and $159 million during the years ended December 31, 2022, 2021 and 2020, respectively, which is reported separately from capital expenditures in our consolidated statements of cash flows.</w:t>
      </w:r>
    </w:p>
    <w:p>
      <w:pPr>
        <w:spacing w:after="0" w:line="183"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For 2023, we estimate our consolidated capital expenditures to be approximately $200 million to $225 million for our Energy segment, for both maintenance and growth, including $39 million to $47 million for our Energy segments’ renewable diesel unit capital expenditures, $127 million for our Automotive segment and approximately $59 million in the aggregate for all other segments.</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addition, our Energy segment completed a renewable diesel project at one of its refineries, which would convert the refinery’s hydrocracker to a renewable diesel unit (“RDU”) capable of producing 100 million gallons of renewable diesel per year at a total cost of $179 million. In November 2021, our Energy segment approved a pretreater project at one of its refineries, which is expected to be completed in the third quarter of 2023 at an estimated cost of $95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176"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believe the following accounting estimates are critical to our business operations and the understanding of results of operations and affect the more significant judgments and estimates used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1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1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Management periodically evaluates all evidence, both positive and negative, in determining whether a valuation allowance to reduce the carrying value of deferred tax assets is still needed. For each of December 31, 2022 and 2021,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18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See Note 14, “Income Taxes,” to the consolidated financial statements for further discussion regarding our income taxes.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Goodwill</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left="60" w:right="539" w:firstLine="324"/>
        <w:spacing w:after="0" w:line="312" w:lineRule="auto"/>
        <w:rPr>
          <w:sz w:val="20"/>
          <w:szCs w:val="20"/>
          <w:color w:val="auto"/>
        </w:rPr>
      </w:pPr>
      <w:r>
        <w:rPr>
          <w:rFonts w:ascii="Times New Roman" w:cs="Times New Roman" w:eastAsia="Times New Roman" w:hAnsi="Times New Roman"/>
          <w:sz w:val="17"/>
          <w:szCs w:val="17"/>
          <w:color w:val="auto"/>
        </w:rPr>
        <w:t>Long-lived assets held and used by our various operating segments and long-lived assets to be disposed of are reviewed for impairment whenever events or changes in circumstances indicate a possible significant deterioration in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future expected cash flows that could result in the carrying amount of an asset not being recoverable. In performing the review for recoverability, we estimate the future cash flows expected to result from the remaining useful life of the asset and its eventual disposition. Assumptions used in the review of recoverability require the exercise of significant judgment, including judgment about terminal values, growth rates, and the amount and timing of expected future cash flows. The forecasted cash flows are based on current plans and for years beyond that plan, the estimates are based on assumed growth rates. If the sum of the estimated future cash flows, undiscounted and without interest charges, is less than the carrying amount of the asset, a fair value assessment is performed. If the carrying amount of the asset exceeds its fair value, an impairment loss is recognized in accordance with U.S. GAAP. Similarly, long-lived assets to be disposed of are reported at the lower of carrying amount or fair value less cost to sell. As of December 31, 2022, our long-lived assets did not have any impairment indicators.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 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2022, our consolidated goodwill was $288 million, primarily within our Automotive segment’s Service reporting unit. We perform the annual goodwill impairment test for our Automotive segment as of October 1 of each year. Based on our qualitative annual goodwill impairment analysis for our Automotive segment, we determined it was not more likely than not that the fair value of the Service reporting unit was below its carrying amount and therefore, no impairment is required. As of December 31, 2022, our Automotive segment had remaining goodwill of $250 million, which is allocated entirely to its Service reporting unit.</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190"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See Note 9, “Goodwill and Intangible Assets, Net,” to the consolidated financial statements for further discussion regarding goodwill and intangible assets.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See Note 2, “Basis of Presentation and Summary of Significant Accounting Policies,” to the consolidated financial statements for a discussion of recent accounting pronouncements applicable to us.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equity price risk is related to our Investment segment and the sensitivities to movements in the fair value of the Investment Funds’ investments.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2022, we estimate that in the event of a 10% adverse change in the fair value of these investments, the fair values of securities owned, securities sold, not yet purchased and derivatives, based on the price impact on notional value, would decrease by approximately $672 million, $650 million and $968 million, respectively. However, as of December 31, 2022, we estimate that the impact to our share of the net gain (loss) from investment activities reported in our consolidated statements of operations would be less than the change in fair value since we have an investment of approximately 46% in the Investment Funds, and the non-controlling interests in income would correspondingly offset approximately 54% of the change in fair value. As of December 31, 2021, we estimated that in the event of a 10% adverse change in the fair value of these investments, the fair values of securities owned, securities sold, not yet purchased and derivatives, based on the price impact on notional value, would decrease by approximately $895 million, $534 million and $1.2 billion, respectively and as of December 31, 2021, our investment in the Investment Funds was 45%.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CVR Energy, as a manufacturer of refined petroleum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16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Energy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predominant exposure to interest rate risk is related to our operating subsidiaries.</w:t>
      </w:r>
    </w:p>
    <w:p>
      <w:pPr>
        <w:spacing w:after="0" w:line="22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operating subsidiaries have variable rate debt with a principal amount outstanding aggregating $172 million as of December 31, 2022, primarily at our Food Packaging segment. A 1.0% increase in interest rates would increase interest expense by approximately $2 million on an annualized basis, thus decreasing net income by the same amount.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2022, our operating segments have additional borrowing availability subject to variable interest rates aggregating $305 million, which if outstanding, would increase our operating segments’ exposure to changes in interest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7"/>
          <w:szCs w:val="17"/>
          <w:color w:val="auto"/>
        </w:rPr>
        <w:t>Viskase has foreign currency exposures related to buying, selling, and financing in currencies other than the local currencies in which they operate. 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 Viskase recorded translation losses in accumulated other comprehensive loss of $4 million and</w:t>
      </w:r>
    </w:p>
    <w:p>
      <w:pPr>
        <w:spacing w:after="0" w:line="3" w:lineRule="exact"/>
        <w:rPr>
          <w:sz w:val="20"/>
          <w:szCs w:val="20"/>
          <w:color w:val="auto"/>
        </w:rPr>
      </w:pPr>
    </w:p>
    <w:p>
      <w:pPr>
        <w:ind w:left="60" w:right="659"/>
        <w:spacing w:after="0" w:line="260" w:lineRule="auto"/>
        <w:rPr>
          <w:sz w:val="20"/>
          <w:szCs w:val="20"/>
          <w:color w:val="auto"/>
        </w:rPr>
      </w:pPr>
      <w:r>
        <w:rPr>
          <w:rFonts w:ascii="Times New Roman" w:cs="Times New Roman" w:eastAsia="Times New Roman" w:hAnsi="Times New Roman"/>
          <w:sz w:val="18"/>
          <w:szCs w:val="18"/>
          <w:color w:val="auto"/>
        </w:rPr>
        <w:t>$5 million for the years ended December 31, 2022 and 2021, respectively, and recorded translation (losses) gains in earnings of $(3) million and $(14) million for the years ended December 31, 2022 and 2021, respectively.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and the Investment Funds are subject to certain inherent risks through our investments.</w:t>
      </w:r>
    </w:p>
    <w:p>
      <w:pPr>
        <w:spacing w:after="0" w:line="22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183"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Program Price Risk</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As a producer of transportation fuels from petroleum, our Energy segment’s obligated-party subsidiaries are required to blend biofuels into the transportation fuels they produce or to purchase RINs in the open market in lieu of blending to meet the mandates established by the EPA, unless such blending obligations are waived by the EPA. CVR Energy’s obligated-party subsidiaries are exposed to market risk related to volatility in the price of RINs needed to comply with the Renewable Fuel Standards. See Note 17, “Commitments and Contingencies,” to the consolidated financial statements for further discussion about compliance with the Renewable Fuel Standards.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Partners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Icahn Enterprises L.P. (a Delaware limited partnership) and subsidiaries (the “Partnership”) as of December 31, 2022 and 2021, the related consolidated statements of operations, comprehensive income (loss), changes in equity, and cash flows for each of the three years in the period ended December 31, 2022, and the related notes and financial statement schedule included under Item 15(a)(2) (collectively referred to as the “financial statements”). In our opinion, the financial statements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24, 2023 expressed an unqualified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5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Partnership’s auditor since 2004.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080" w:type="dxa"/>
            <w:vAlign w:val="bottom"/>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353,572,182 units issued and outstanding at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293,403,243 units issued and outstanding at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40" w:type="dxa"/>
            <w:vAlign w:val="bottom"/>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40" w:type="dxa"/>
            <w:vAlign w:val="bottom"/>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w w:val="93"/>
              </w:rPr>
              <w:t>(in millions,</w:t>
            </w: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except per unit</w:t>
            </w:r>
          </w:p>
        </w:tc>
        <w:tc>
          <w:tcPr>
            <w:tcW w:w="200" w:type="dxa"/>
            <w:vAlign w:val="bottom"/>
            <w:gridSpan w:val="2"/>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 net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benefit (expense)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allocated to:</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Limited partners</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LP unit</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2"/>
                <w:szCs w:val="22"/>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Distributions declared per LP unit</w:t>
            </w:r>
          </w:p>
        </w:tc>
        <w:tc>
          <w:tcPr>
            <w:tcW w:w="6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8.00</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8060" w:type="dxa"/>
            <w:vAlign w:val="bottom"/>
            <w:gridSpan w:val="7"/>
          </w:tcPr>
          <w:p>
            <w:pPr>
              <w:ind w:left="14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28"/>
        </w:trPr>
        <w:tc>
          <w:tcPr>
            <w:tcW w:w="5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benefits and 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4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Icahn Enterprises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197"/>
        </w:trPr>
        <w:tc>
          <w:tcPr>
            <w:tcW w:w="5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Icahn Enterprises allocated to:</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10"/>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11"/>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CHANGES IN EQUITY</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0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Partners’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71"/>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distributions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4,647</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5,658</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r>
      <w:tr>
        <w:trPr>
          <w:trHeight w:val="183"/>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183"/>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36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360" w:type="dxa"/>
            <w:vAlign w:val="bottom"/>
            <w:gridSpan w:val="2"/>
          </w:tcPr>
          <w:p>
            <w:pPr>
              <w:jc w:val="right"/>
              <w:ind w:right="26"/>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160" w:type="dxa"/>
            <w:vAlign w:val="bottom"/>
          </w:tcPr>
          <w:p>
            <w:pPr>
              <w:spacing w:after="0"/>
              <w:rPr>
                <w:sz w:val="14"/>
                <w:szCs w:val="14"/>
                <w:color w:val="auto"/>
              </w:rPr>
            </w:pPr>
          </w:p>
        </w:tc>
        <w:tc>
          <w:tcPr>
            <w:tcW w:w="24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(2,468)</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 (gain) from securities transactions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926</w:t>
            </w:r>
          </w:p>
        </w:tc>
      </w:tr>
      <w:tr>
        <w:trPr>
          <w:trHeight w:val="162"/>
        </w:trPr>
        <w:tc>
          <w:tcPr>
            <w:tcW w:w="57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Purchases of securities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(2,985)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(1,945)</w:t>
            </w: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Proceeds from sales of securities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5,359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4,172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4,040</w:t>
            </w:r>
          </w:p>
        </w:tc>
      </w:tr>
      <w:tr>
        <w:trPr>
          <w:trHeight w:val="162"/>
        </w:trPr>
        <w:tc>
          <w:tcPr>
            <w:tcW w:w="57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Payments to cover securities sold, not yet purchased</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(2,775)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(2,336)</w:t>
            </w: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Proceeds from securities sold, not yet purchased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3,836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2,913</w:t>
            </w:r>
          </w:p>
        </w:tc>
      </w:tr>
      <w:tr>
        <w:trPr>
          <w:trHeight w:val="162"/>
        </w:trPr>
        <w:tc>
          <w:tcPr>
            <w:tcW w:w="57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Changes in receivables and payables relating to securities transactions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(2,035)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(1,880)</w:t>
            </w: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Changes in derivative assets and liabilities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(433)</w:t>
            </w:r>
          </w:p>
        </w:tc>
      </w:tr>
      <w:tr>
        <w:trPr>
          <w:trHeight w:val="162"/>
        </w:trPr>
        <w:tc>
          <w:tcPr>
            <w:tcW w:w="57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Loss (Gain) on disposition of assets, net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510</w:t>
            </w:r>
          </w:p>
        </w:tc>
      </w:tr>
      <w:tr>
        <w:trPr>
          <w:trHeight w:val="162"/>
        </w:trPr>
        <w:tc>
          <w:tcPr>
            <w:tcW w:w="57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w:t>
            </w: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Inventory write-down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w:t>
            </w:r>
          </w:p>
        </w:tc>
      </w:tr>
      <w:tr>
        <w:trPr>
          <w:trHeight w:val="162"/>
        </w:trPr>
        <w:tc>
          <w:tcPr>
            <w:tcW w:w="57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r>
      <w:tr>
        <w:trPr>
          <w:trHeight w:val="162"/>
        </w:trPr>
        <w:tc>
          <w:tcPr>
            <w:tcW w:w="57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Changes in other operating assets and liabilities: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7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w:t>
            </w:r>
          </w:p>
        </w:tc>
      </w:tr>
      <w:tr>
        <w:trPr>
          <w:trHeight w:val="162"/>
        </w:trPr>
        <w:tc>
          <w:tcPr>
            <w:tcW w:w="57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w:t>
            </w:r>
          </w:p>
        </w:tc>
      </w:tr>
      <w:tr>
        <w:trPr>
          <w:trHeight w:val="162"/>
        </w:trPr>
        <w:tc>
          <w:tcPr>
            <w:tcW w:w="57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r>
      <w:tr>
        <w:trPr>
          <w:trHeight w:val="162"/>
        </w:trPr>
        <w:tc>
          <w:tcPr>
            <w:tcW w:w="57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w:t>
            </w:r>
          </w:p>
        </w:tc>
      </w:tr>
      <w:tr>
        <w:trPr>
          <w:trHeight w:val="162"/>
        </w:trPr>
        <w:tc>
          <w:tcPr>
            <w:tcW w:w="57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Accrued expenses and other liabilities</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175</w:t>
            </w:r>
          </w:p>
        </w:tc>
      </w:tr>
      <w:tr>
        <w:trPr>
          <w:trHeight w:val="155"/>
        </w:trPr>
        <w:tc>
          <w:tcPr>
            <w:tcW w:w="578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1,055</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(416)</w:t>
            </w:r>
          </w:p>
        </w:tc>
      </w:tr>
      <w:tr>
        <w:trPr>
          <w:trHeight w:val="155"/>
        </w:trPr>
        <w:tc>
          <w:tcPr>
            <w:tcW w:w="57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Capital expenditures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Turnaround expenditures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(159)</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Acquisition of businesses, net of cash acquired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investments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(337)</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sale of investments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disposition of businesses and assets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r>
      <w:tr>
        <w:trPr>
          <w:trHeight w:val="162"/>
        </w:trPr>
        <w:tc>
          <w:tcPr>
            <w:tcW w:w="57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55"/>
        </w:trPr>
        <w:tc>
          <w:tcPr>
            <w:tcW w:w="57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(used in) provided by investing activities</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(260)</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528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(581)</w:t>
            </w:r>
          </w:p>
        </w:tc>
      </w:tr>
      <w:tr>
        <w:trPr>
          <w:trHeight w:val="155"/>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Investment segment contributions from non-controlling interests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Investment segment distributions from non-controlling interests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Partnership contributions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768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Partnership distributions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(526)</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additional interests in consolidated subsidiaries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Dividends and distributions to non-controlling interests in subsidiaries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Holding Company senior unsecured notes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1,214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866</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Repayments of Holding Company senior unsecured notes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(1,350)</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subsidiary borrowings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1,165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1,946</w:t>
            </w: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Repayments of subsidiary borrowings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(1,644)</w:t>
            </w:r>
          </w:p>
        </w:tc>
      </w:tr>
      <w:tr>
        <w:trPr>
          <w:trHeight w:val="162"/>
        </w:trPr>
        <w:tc>
          <w:tcPr>
            <w:tcW w:w="5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r>
      <w:tr>
        <w:trPr>
          <w:trHeight w:val="155"/>
        </w:trPr>
        <w:tc>
          <w:tcPr>
            <w:tcW w:w="578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(344)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(653)</w:t>
            </w:r>
          </w:p>
        </w:tc>
      </w:tr>
      <w:tr>
        <w:trPr>
          <w:trHeight w:val="125"/>
        </w:trPr>
        <w:tc>
          <w:tcPr>
            <w:tcW w:w="57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 and</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7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 equivalents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41"/>
        </w:trPr>
        <w:tc>
          <w:tcPr>
            <w:tcW w:w="578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Net increase (decrease) in cash and cash equivalents and restricted cash and restricted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3"/>
        </w:trPr>
        <w:tc>
          <w:tcPr>
            <w:tcW w:w="5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(1,654)</w:t>
            </w:r>
          </w:p>
        </w:tc>
      </w:tr>
      <w:tr>
        <w:trPr>
          <w:trHeight w:val="145"/>
        </w:trPr>
        <w:tc>
          <w:tcPr>
            <w:tcW w:w="57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Cash and cash equivalents and restricted cash and restricted cash equivalents, beginning of</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period</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4,436</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4,945</w:t>
            </w:r>
          </w:p>
        </w:tc>
      </w:tr>
      <w:tr>
        <w:trPr>
          <w:trHeight w:val="156"/>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and restricted cash and restricted cash equivalents, end of period</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4,886</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26"/>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4,436</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3,291</w:t>
            </w: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References to “we,” “our” or “us” herein include Icahn Enterprises and its subsidiaries, unless the context otherwise requires.</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2022, representing an aggregate 1.99% general partner interest in Icahn Enterprises Holdings and us. Mr. Icahn and his affiliates owned approximately 85% of our outstanding depositary units as of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Operating Businesses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diversified holding company owning subsidiaries currently engaged in the following continuing operating businesses: </w:t>
      </w:r>
      <w:r>
        <w:rPr>
          <w:rFonts w:ascii="Times New Roman" w:cs="Times New Roman" w:eastAsia="Times New Roman" w:hAnsi="Times New Roman"/>
          <w:sz w:val="18"/>
          <w:szCs w:val="18"/>
          <w:color w:val="231F20"/>
        </w:rPr>
        <w:t>Investment, Energy, Automotive, Food Packaging, Real Estate, Home Fashion and Pharma. In addition,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operated our Metals segment until sold in December 2021. </w:t>
      </w:r>
      <w:r>
        <w:rPr>
          <w:rFonts w:ascii="Times New Roman" w:cs="Times New Roman" w:eastAsia="Times New Roman" w:hAnsi="Times New Roman"/>
          <w:sz w:val="18"/>
          <w:szCs w:val="18"/>
          <w:color w:val="000000"/>
        </w:rPr>
        <w:t>We also report the results of our Holding Company,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the results of certain subsidiaries of Icahn Enterprises (unless otherwise noted), and investment activity and expenses associated with our Holding Company. See Note 13, “Segment and Geographic Reporting,” for a reconciliation of each of our reporting segment’s results of operations to our consolidated results. Certain additional information with respect to our segments are discussed below.</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39" w:firstLine="324"/>
        <w:spacing w:after="0" w:line="274" w:lineRule="auto"/>
        <w:rPr>
          <w:sz w:val="20"/>
          <w:szCs w:val="20"/>
          <w:color w:val="auto"/>
        </w:rPr>
      </w:pPr>
      <w:r>
        <w:rPr>
          <w:rFonts w:ascii="Times New Roman" w:cs="Times New Roman" w:eastAsia="Times New Roman" w:hAnsi="Times New Roman"/>
          <w:sz w:val="17"/>
          <w:szCs w:val="17"/>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market value of approximately $4.2 billion as of December 31, 2022 and 2021.</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CVR Energy is a diversified holding company primarily engaged in the petroleum refining and marketing industry through its petroleum business and in the nitrogen fertilizer manufacturing industry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has a general partner interest in CVR Partners. In addition, CVR Energy owns approximately 37% of the outstanding common units of CVR Partners as of December 31, 2022. As of December 31, 2022, we owned approximately 71% of the total outstanding common stock of CVR Energy.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conduct our Automotive segment through our wholly-owned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management team.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1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October 2020, Viskase completed an equity private placement whereby we acquired an additional 50,000,000 shares of Viskase common stock for $100 million. In December 2022, we purchased an additional 1,123,363 shares of Viskase common stock for $1 million. As of December 31, 2022, we owned approximately 90% of the total outstanding common stock of Viskase.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wholly-owned subsidiary, WestPoint Home LLC (“WPH”).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WPH’s business consists of manufacturing, sourcing, marketing, distributing and selling home fashion consumer products.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(“Vivus”). We acquired all of the outstanding commons stock of Vivus in December 2020 upon its emergence from bankruptcy. Vivus is a specialty pharmaceutical company with two approved therapies and one product candidate in active clinical development.</w:t>
      </w:r>
    </w:p>
    <w:p>
      <w:pPr>
        <w:spacing w:after="0" w:line="1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Prior to Vivus’ emergence from bankruptcy, we held an investment in Vivus’ convertible corporate debt securities with a fair value of $183 million. In addition to the fair value of the convertible corporate debt securities, our total consideration transferred included an exit financing facility of $81 million and a contingent liability of $3 million. The $81 million exit financing facility replaced an existing $63 million term loan previously held by us.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conducted our Metals segment through our indirect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On December 7, 2021, we closed on the previously announced sale of 100% of the equity interests in PSC Metals. In connection with this sale, we received proceeds of $323 million and recorded a pretax gain on disposition of assets of $163 million in the fourth quarter of 2021. As a result of the sale of PSC Metals, we no longer operate a Metals segment.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have been prepared in accordance with accounting principles generally accepted in the United States (“U.S. GAAP”).</w:t>
      </w:r>
    </w:p>
    <w:p>
      <w:pPr>
        <w:spacing w:after="0" w:line="16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8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subsidiaries own substantially all of our assets and liabilities and therefore, the balance sheets of Icahn Enterprises and Icahn Enterprises Holdings are substantially the same.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 and Assets Held For Sale</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spacing w:after="0" w:line="18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Preparation of Financial Statements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Adjustments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 which did not have an impact on previously reported net income and equity and are not deemed material. In the fourth quarter of 2022, we recorded out-of-period adjustments of $51 million of income substantially related to inventory write-downs at the Automotive Segment.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3" w:lineRule="exact"/>
        <w:rPr>
          <w:sz w:val="20"/>
          <w:szCs w:val="20"/>
          <w:color w:val="auto"/>
        </w:rPr>
      </w:pPr>
    </w:p>
    <w:p>
      <w:pPr>
        <w:ind w:left="60" w:right="399" w:firstLine="324"/>
        <w:spacing w:after="0" w:line="281" w:lineRule="auto"/>
        <w:rPr>
          <w:sz w:val="20"/>
          <w:szCs w:val="20"/>
          <w:color w:val="auto"/>
        </w:rPr>
      </w:pPr>
      <w:r>
        <w:rPr>
          <w:rFonts w:ascii="Times New Roman" w:cs="Times New Roman" w:eastAsia="Times New Roman" w:hAnsi="Times New Roman"/>
          <w:sz w:val="17"/>
          <w:szCs w:val="17"/>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2022 was approximately $7.1 billion and $6.6 billion, respectively. The carrying value and estimated fair value of our debt as of December 31, 2021 was approximately $7.7 billion and $7.8 billion,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Businesses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Investments and Disposition of Entities under Common Control</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Acquisitions of or investments in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in our consolidated statements of cash flows is comprised of (i) cash and cash equivalents and (ii) cash held at consolidated affiliated partnerships and restricted cash.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We consider short-term investments, which are highly liquid with original maturities of three months or less at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cash held at consolidated affiliated partnerships balance was $1,019 million and $102 million as of December 31, 2022 and 2021, respectively. Cash held at consolidated affiliated partnerships relates to our Investment segment and consists of cash and cash equivalents held by the Investment Funds that, although not legally restricted, is not available to fund the general liquidity needs of the Investment segment or Icahn Enterprises.</w:t>
      </w:r>
    </w:p>
    <w:p>
      <w:pPr>
        <w:spacing w:after="0" w:line="180"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$1,530 million and $2,013 million as of December 31, 2022 and 2021, respectively. Restricted cash includes, but is not limited to, our Investment segment’s cash pledged and held for margin requirements on derivative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Related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Transactions and Related Investment Income (Loss). </w:t>
      </w:r>
      <w:r>
        <w:rPr>
          <w:rFonts w:ascii="Times New Roman" w:cs="Times New Roman" w:eastAsia="Times New Roman" w:hAnsi="Times New Roman"/>
          <w:sz w:val="18"/>
          <w:szCs w:val="18"/>
          <w:color w:val="auto"/>
        </w:rPr>
        <w:t>Investment transactions of the Investment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on a trade date basis. 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18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Investments held by our Investment segment are carried at fair value. Our Investment segment applies the fair value option to those investments that are otherwise subject to the equity method of accounting.</w:t>
      </w:r>
    </w:p>
    <w:p>
      <w:pPr>
        <w:spacing w:after="0" w:line="16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Valuation of Investments. </w:t>
      </w:r>
      <w:r>
        <w:rPr>
          <w:rFonts w:ascii="Times New Roman" w:cs="Times New Roman" w:eastAsia="Times New Roman" w:hAnsi="Times New Roman"/>
          <w:sz w:val="18"/>
          <w:szCs w:val="18"/>
          <w:color w:val="auto"/>
        </w:rPr>
        <w:t>Securities of the Investment Funds that are listed on a securities exchange are valued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The books and records of the Investment Funds are maintained in U.S. dollars.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denominated in 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spacing w:after="0" w:line="185"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Financial Instruments. </w:t>
      </w:r>
      <w:r>
        <w:rPr>
          <w:rFonts w:ascii="Times New Roman" w:cs="Times New Roman" w:eastAsia="Times New Roman" w:hAnsi="Times New Roman"/>
          <w:sz w:val="18"/>
          <w:szCs w:val="18"/>
          <w:color w:val="auto"/>
        </w:rPr>
        <w:t>The fair values of the Investment Funds’ assets and liabilities that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under applicable U.S. GAAP approximate the carrying amounts presented in the consolidated balance sheets.</w:t>
      </w:r>
    </w:p>
    <w:p>
      <w:pPr>
        <w:spacing w:after="0" w:line="17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Securities Sold, Not Yet Purchased. </w:t>
      </w:r>
      <w:r>
        <w:rPr>
          <w:rFonts w:ascii="Times New Roman" w:cs="Times New Roman" w:eastAsia="Times New Roman" w:hAnsi="Times New Roman"/>
          <w:sz w:val="18"/>
          <w:szCs w:val="18"/>
          <w:color w:val="auto"/>
        </w:rPr>
        <w:t>The Investment Funds may sell an investment they do not own in anticipation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 in the fair value of that 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Due From Brokers. </w:t>
      </w:r>
      <w:r>
        <w:rPr>
          <w:rFonts w:ascii="Times New Roman" w:cs="Times New Roman" w:eastAsia="Times New Roman" w:hAnsi="Times New Roman"/>
          <w:sz w:val="18"/>
          <w:szCs w:val="18"/>
          <w:color w:val="auto"/>
        </w:rPr>
        <w:t>Due from brokers represents cash balances with the Investment Funds’ clearing brokers.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as well as fully-paid for and marginable securities are essentially restricted to the extent that they serve as collateral against securities sold, not yet purchased. Due from brokers may also include unrestricted balances with derivative counterparties.</w:t>
      </w:r>
    </w:p>
    <w:p>
      <w:pPr>
        <w:spacing w:after="0" w:line="180" w:lineRule="exact"/>
        <w:rPr>
          <w:sz w:val="20"/>
          <w:szCs w:val="20"/>
          <w:color w:val="auto"/>
        </w:rPr>
      </w:pPr>
    </w:p>
    <w:p>
      <w:pPr>
        <w:ind w:left="60" w:right="3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Due To Brokers. </w:t>
      </w:r>
      <w:r>
        <w:rPr>
          <w:rFonts w:ascii="Times New Roman" w:cs="Times New Roman" w:eastAsia="Times New Roman" w:hAnsi="Times New Roman"/>
          <w:sz w:val="18"/>
          <w:szCs w:val="18"/>
          <w:color w:val="auto"/>
        </w:rPr>
        <w:t>Due to brokers represents margin debit balances collateralized by certain of the Investment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Segments and Holding Company</w:t>
      </w:r>
    </w:p>
    <w:p>
      <w:pPr>
        <w:spacing w:after="0" w:line="227"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Investments in equity securities are carried at fair value with the unrealized gains or losses reflected in the consolidated statements of operations. For purposes of determining gains and losses, the cost of securities is based 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specific identification. Dividend income is recorded on the ex-dividend date and interest income is recognized when earned.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Financial Assets and Financial Liabilities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Times New Roman" w:cs="Times New Roman" w:eastAsia="Times New Roman" w:hAnsi="Times New Roman"/>
          <w:sz w:val="18"/>
          <w:szCs w:val="18"/>
          <w:i w:val="1"/>
          <w:iCs w:val="1"/>
          <w:color w:val="auto"/>
        </w:rPr>
        <w:t>Financial Instrument</w:t>
      </w:r>
      <w:r>
        <w:rPr>
          <w:rFonts w:ascii="Times New Roman" w:cs="Times New Roman" w:eastAsia="Times New Roman" w:hAnsi="Times New Roman"/>
          <w:sz w:val="18"/>
          <w:szCs w:val="18"/>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5, “Fair Value Measurements.” For our Investment segment, we apply the fair value option to our investments that would otherwise be accounted under the equity method.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6, “Financial Instruments.”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net consists of trade receivables from customers, including contract assets when we have an unconditional right to receive consideration. An allowance is based on historical loss experience, expected credit losses from current economic conditions, and management’s expectations of future economic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Energy segment inventories consist primarily of domestic and foreign crude oil, blending stock and components, work in progress, fertilizer products, and refined fuels and by-products. Inventories are valued at the lower of FIFO cost, or net realizable value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net realizable value. The cost of inventories includes inbound freight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 Food Packaging, Home Fashion and Pharma</w:t>
      </w:r>
    </w:p>
    <w:p>
      <w:pPr>
        <w:spacing w:after="0" w:line="22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Automotive, Food Packaging, Home Fashion and Pharma segments’ inventories are stated at the lower of cost or net realizable value. Cost is determined by using the first-in, first-out basis method (“FIFO”), except for our Automotive and Pharma segment, which also utilizes weighted-average cost. Our Automotive segment also determines cost using the last-in, first-out method for certain of its subsidiaries. Inventory recorded using the last-in, first-out method was $246 million and $264 million as of December 31, 2022 and 2021, respectively, all of which relates to finished goods. The cost of manufactured goods includes the cost of direct materials, labor and manufacturing overhead. Our Automotive, Food Packaging, Home Fashion and Pharma segments write-down inventory for estimated excess, slow-moving and obsolete inventory as well as inventory whose carrying value is in excess of net realizable value.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ind w:left="60" w:right="319" w:firstLine="324"/>
        <w:spacing w:after="0" w:line="270" w:lineRule="auto"/>
        <w:rPr>
          <w:sz w:val="20"/>
          <w:szCs w:val="20"/>
          <w:color w:val="auto"/>
        </w:rPr>
      </w:pPr>
      <w:r>
        <w:rPr>
          <w:rFonts w:ascii="Times New Roman" w:cs="Times New Roman" w:eastAsia="Times New Roman" w:hAnsi="Times New Roman"/>
          <w:sz w:val="17"/>
          <w:szCs w:val="17"/>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assets are evaluated for impairment when impairment indicators exist. An evaluation of impairment consists of reviewing the carrying value of a long-lived asset for recoverability.</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Recoverability of long-lived assets to be held and used is measured by a comparison of the carrying amount of an asset to estimated undiscounted future net cash flows expected to be generated by the asset. If the carrying value of a long-lived asset is not determined to be recoverable, a fair value assessment is performed. If the carrying amount of the asset exceeds its fair value, an impairment loss is recognized in accordance with U.S. GAAP. Depreciation and amortization are computed principally by the straight-line method for financial reporting purposes.</w:t>
      </w:r>
    </w:p>
    <w:p>
      <w:pPr>
        <w:spacing w:after="0" w:line="18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Costs for planned major maintenance activities (“turnarounds”) for our Energy segment represent major maintenance activities that require shutdown of significant parts of a plant to perform necessary inspection, cleaning, repairs, and replacement of assets. Our Energy segment’s turnaround expenditures are deferred for its petroleum business and expensed as incurred for its nitrogen fertilizer business. Turnarounds generally occur every four to five years for our Energy segment’s refineries and every two to three years for its nitrogen fertilizer plants. Deferred turnaround costs, net of accumulated amortization, are included in other assets in the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primarily include trademarks and brand names acquired in acquisitions. For a complete discussion of the impairment of goodwill and indefinite-lived intangible assets related to our various segments, see Note 9, “Goodwill and Intangible Assets, Net.”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Goodwill is determined as the excess of the fair value of consideration transferred in a business combination over the net amounts of identifiable assets acquired and liabilities assumed. Goodwill is reviewed for impairment annually, or more frequently if impairment indicators exist. An impairment exists when a reporting unit’s carrying value exceeds its 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flows projections, guideline transaction multiples, and multiples of current and future earnings. The impairment charge,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is the excess of the tested reporting unit’s carrying value over its fair value, limited to the total amount of goodwill allocated to the tested reporting unit.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The impairment charge, if any, is the excess of the assets’ carrying value over its fair value.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Plan Obligations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Post-retirement benefit liabilities were $36 million and $55 million as of December 31, 2022 and 2021, respectively, and are included in accrued expenses and other liabilities in our consolidated balance sheets.</w:t>
      </w:r>
    </w:p>
    <w:p>
      <w:pPr>
        <w:spacing w:after="0" w:line="16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is included in the limited partners and general partner components of equity in the consolidated balance sheets in the amounts of $70 million and $74 million as of December 31, 2022 and 2021, respectively. Refer to Note 15, “Changes in Accumulated Other Comprehensive Loss,” for further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Net Profits and Losses in Consolidated Affiliated Partnerships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Partnership Interest of Icahn Enterprises</w:t>
      </w:r>
    </w:p>
    <w:p>
      <w:pPr>
        <w:spacing w:after="0" w:line="229"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183"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Income Per LP Unit</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spacing w:after="0" w:line="183"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accounting purposes, when applicable, earnings prior to dates of acquisitions of entities under common control are excluded from the computation of basic and diluted income per LP unit as such earnings are allocated to our general partner.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1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14, “Income Taxes,”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determination of whether an arrangement is or contains a lease occurs at inception. We account for arrangements that contain lease and non-lease components as a single lease component for all classes of underlying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assets. Leases in which we are the lessor are primarily within our Automotive segment. Refer to Note 10, “Leases,” for additional information regarding our Automotive segment’s operating leases. Real Estate below for further discussion. In addition, all of our businesses, including our Real Estate segment, enter into lease arrangements as the lessee. The following is our accounting policy for leases in which we are the lessee.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19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jc w:val="both"/>
        <w:ind w:left="60" w:right="399" w:firstLine="324"/>
        <w:spacing w:after="0" w:line="270" w:lineRule="auto"/>
        <w:rPr>
          <w:sz w:val="20"/>
          <w:szCs w:val="20"/>
          <w:color w:val="auto"/>
        </w:rPr>
      </w:pPr>
      <w:r>
        <w:rPr>
          <w:rFonts w:ascii="Times New Roman" w:cs="Times New Roman" w:eastAsia="Times New Roman" w:hAnsi="Times New Roman"/>
          <w:sz w:val="17"/>
          <w:szCs w:val="17"/>
          <w:color w:val="auto"/>
        </w:rPr>
        <w:t xml:space="preserve">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These assets leased to others are recorded at cost, net of accumulated depreciation, and are included in property, plant and equipment, net on our consolidated balance sheets.</w:t>
      </w:r>
    </w:p>
    <w:p>
      <w:pPr>
        <w:spacing w:after="0" w:line="3"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consolidated statements of operations; however, our Real Estate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and Geographic Reporting,” for our complete disaggregation of revenue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In addition, we disclose additional information with respect to revenue from contracts with customers and contract balances for our segments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Energy segment revenues from the sale of petroleum products are recorded upon delivery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customers, which is the point 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petroleum business’ contracts with its customers state the terms of the sale, including the description, quantity, and price of each product sold. Depending on the product sold, and the type of contract, payments from customers are generally due in full within 30 days of product delivery or invoice date. 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194"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Energy segment generally provides no warranty other than the implicit promise that goods delivered are free of liens and encumbrances and meet the agreed upon specifications. In addition, product returns are very rare and are accounted for as they occur; however, contracts do include provisions which state that the petroleum business will except returns of off-spec product, refund the customer, provide on-spec product, and pay for damages to any customer equipment which resulted from off-spec product. Typically, if a customer is not satisfied with a product, the price is adjusted downward instead of the product being returned or exchanged.</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our Energy segment had $5 million of remaining performance obligations for contracts with an original expected duration of more than one year. Our Energy segment expects to recognize approximately $4 million of these performance obligations as revenue by the end of 2023 and the remaining balance thereafter.</w:t>
      </w:r>
    </w:p>
    <w:p>
      <w:pPr>
        <w:spacing w:after="0" w:line="17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Our Energy segment’s deferred revenue is a contract liability that primarily relates to fertilizer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$48 million and $87 million as of December 31, 2022 and 2021, respectively. Deferred revenue is included in accrued expense and other liabilities in the consolidated balance sheets. For the year ended December 31, 2022, 2021 and 2020, our Energy segment recorded revenue of $86 million, $30 million and $27 million, respectively, with respect to deferred revenue outstanding as of the beginning of each respective year.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5" w:lineRule="exact"/>
        <w:rPr>
          <w:sz w:val="20"/>
          <w:szCs w:val="20"/>
          <w:color w:val="auto"/>
        </w:rPr>
      </w:pPr>
    </w:p>
    <w:p>
      <w:pPr>
        <w:ind w:left="60" w:right="29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Automotive segment recognizes revenue when it satisfies a performance obligation by transferring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over a product or service to a customer. Our Automotive segment revenue from retail and commercial parts sales</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royalties, for which it receives payment over time, in the period in which royalties are earned, generally based on a percentage of franchise sales.</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Our Automotive segment has deferred revenue with respect to extended warranty plans of $44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$42 million as of December 31, 2022 and 2021, respectively, which are included in accrued expenses and other liabilities in our consolidated balance sheets. For the year ended December 31, 2022, 2021 and 2020, our Automotive segment recorded revenue of $25 million, $24 million and $25 million, respectively, with respect to deferred revenue outstanding as of the beginning of each respective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159" w:firstLine="324"/>
        <w:spacing w:after="0" w:line="272" w:lineRule="auto"/>
        <w:rPr>
          <w:sz w:val="20"/>
          <w:szCs w:val="20"/>
          <w:color w:val="auto"/>
        </w:rPr>
      </w:pPr>
      <w:r>
        <w:rPr>
          <w:rFonts w:ascii="Times New Roman" w:cs="Times New Roman" w:eastAsia="Times New Roman" w:hAnsi="Times New Roman"/>
          <w:sz w:val="17"/>
          <w:szCs w:val="17"/>
          <w:color w:val="auto"/>
        </w:rPr>
        <w:t>Our Pharma segment records product and supply revenue at the time of shipment at which time it has satisfied its performance obligations. Product revenue represents the significant majority of our Pharma segment’s revenue and is recognized net of estimated returns as well as net of consideration paid to customers, wholesalers and certified pharmacies for services rendered in accordance with their respective services network agreements and includes a fixed rate per prescription shipped and monthly program management and data fees. Consideration fees are not deemed sufficiently separable from the customers’ purchase of the products and therefore, such fees are recorded as a reduction of revenue at the time of revenue recognition. Our Pharma segment, as the principal party in a supply arrangement, recognizes supply revenue on a gross basis. Our Pharma segment also recognizes license and royalty revenue, which are not significant.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Metals segment’s primary source of revenue was from the sale of processed ferrous scrap metal, non-ferrous scrap metals, steel pipe and steel plate. PSC Metals also generated revenues from sales of secondary plate and pipe,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0" w:right="619"/>
        <w:spacing w:after="0" w:line="266" w:lineRule="auto"/>
        <w:rPr>
          <w:sz w:val="20"/>
          <w:szCs w:val="20"/>
          <w:color w:val="auto"/>
        </w:rPr>
      </w:pPr>
      <w:r>
        <w:rPr>
          <w:rFonts w:ascii="Times New Roman" w:cs="Times New Roman" w:eastAsia="Times New Roman" w:hAnsi="Times New Roman"/>
          <w:sz w:val="18"/>
          <w:szCs w:val="18"/>
          <w:color w:val="auto"/>
        </w:rPr>
        <w:t>brokering of scrap metals and from services performed. All sales were recognized when title passes to the customer. Revenues from services were recognized as the service is performed. Sales adjustments related to price and weight differences were reflected as a reduction of revenues when settled.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 and Expense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from real estate sales and related costs are recognized at the time of closing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specific identification. The property comprising our net lease portfolio is leased to others under long-term net leases classified as operating leases and we account for these leases in accordance with applicable U.S. GAAP. Operating lease revenue is recognized on a straight-line basis over the lease term.</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6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Our Energy segment’s pass-through finished goods delivery costs reimbursed by customers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net sales, while an offsetting expense is included in cost of goods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5" w:lineRule="exact"/>
        <w:rPr>
          <w:sz w:val="20"/>
          <w:szCs w:val="20"/>
          <w:color w:val="auto"/>
        </w:rPr>
      </w:pPr>
    </w:p>
    <w:p>
      <w:pPr>
        <w:ind w:left="60" w:right="5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Our Automotive segment recognizes shipping and handling costs as incurred and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general and administrative in the consolidated statements of operations for its commercial and retail parts businesses.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Liabilities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other comprehensive income. Deferred taxes are not provided on translation adjustments, other than for intercompany loans not designated as permanently reinvested, as the earnings of the subsidiaries are considered to be permanently reinvested.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Concentrations of credit risk relate primarily to derivative instruments from our Investment segment. See Note 6, “Financial Instruments,” for further discussion.</w:t>
      </w:r>
    </w:p>
    <w:p>
      <w:pPr>
        <w:spacing w:after="0" w:line="16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addition, at our Holding Company, financial instruments that potentially subject us to concentrations of credit risk are primarily cash and cash equivalent deposits. These cash and cash equivalent deposits are maintained with several financial institutions. The deposits held at the various financial institutions may exceed federally insured limits. Exposure to this credit risk is reduced by placing such deposits with major financial institutions and monitoring their credit ratings and, therefore, these deposits bear minimal credit risk.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FASB issued ASU 2022-04, </w:t>
      </w:r>
      <w:r>
        <w:rPr>
          <w:rFonts w:ascii="Times New Roman" w:cs="Times New Roman" w:eastAsia="Times New Roman" w:hAnsi="Times New Roman"/>
          <w:sz w:val="18"/>
          <w:szCs w:val="18"/>
          <w:i w:val="1"/>
          <w:iCs w:val="1"/>
          <w:color w:val="auto"/>
        </w:rPr>
        <w:t>Liabilities- Supplier Finance Programs (Subtopic 405-50)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Supplier Finance Program Obligations </w:t>
      </w:r>
      <w:r>
        <w:rPr>
          <w:rFonts w:ascii="Times New Roman" w:cs="Times New Roman" w:eastAsia="Times New Roman" w:hAnsi="Times New Roman"/>
          <w:sz w:val="18"/>
          <w:szCs w:val="18"/>
          <w:color w:val="auto"/>
        </w:rPr>
        <w:t>to require entities that use supplier finance programs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purchase of goods and services to disclose the key terms of such programs and information about obligations outstanding at the end of the reporting period, including a rollfoward of those obligations of where in the financial statements outstanding amounts are present. The guidance does not affect the recognition, measurement, or financial statement presentation of supplier finance program obligations. The amendments are effective in periods beginning after December 15, 2022, except that the amendments to disclose a rollforward of obligations outstanding will be effective beginning after December 15, 2023. We are currently assessing the impact of adopting this new accounting standard on our condensed consolidated financial statements.</w:t>
      </w:r>
    </w:p>
    <w:p>
      <w:pPr>
        <w:spacing w:after="0" w:line="188"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of Equity Securities Subject to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Sale Restrictions, </w:t>
      </w:r>
      <w:r>
        <w:rPr>
          <w:rFonts w:ascii="Times New Roman" w:cs="Times New Roman" w:eastAsia="Times New Roman" w:hAnsi="Times New Roman"/>
          <w:sz w:val="17"/>
          <w:szCs w:val="17"/>
          <w:color w:val="auto"/>
        </w:rPr>
        <w:t>which amends guidance in Topic 820, Fair Value Measurement. The guidance clarifies that a contractual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Early adoption is permitted. We are currently assessing the impact of adopting this new accounting standard on our condensed consolidated financial statements.</w:t>
      </w:r>
    </w:p>
    <w:p>
      <w:pPr>
        <w:spacing w:after="0" w:line="17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amends FASB ASC Topic 848,</w:t>
      </w:r>
      <w:r>
        <w:rPr>
          <w:rFonts w:ascii="Times New Roman" w:cs="Times New Roman" w:eastAsia="Times New Roman" w:hAnsi="Times New Roman"/>
          <w:sz w:val="18"/>
          <w:szCs w:val="18"/>
          <w:i w:val="1"/>
          <w:iCs w:val="1"/>
          <w:color w:val="auto"/>
        </w:rPr>
        <w:t xml:space="preserve"> Reference Rate Reform</w:t>
      </w:r>
      <w:r>
        <w:rPr>
          <w:rFonts w:ascii="Times New Roman" w:cs="Times New Roman" w:eastAsia="Times New Roman" w:hAnsi="Times New Roman"/>
          <w:sz w:val="18"/>
          <w:szCs w:val="18"/>
          <w:color w:val="auto"/>
        </w:rPr>
        <w:t>. By June 30, 2023, banks will no longer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We adopted this ASU effective January 1, 2023. The adoption of this standard did not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December 31, 2020, Mr. Icahn and his affiliates (excluding us and Brett Icahn) contributed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$1,241 million to the Investment Funds consisting primarily of in-kind investments previously held directly by Mr. Icahn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his affiliates (excluding us). As of December 31, 2022 and 2021, the total fair market value of investments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Funds made by Mr. Icahn and his affiliates (excluding us and Brett Icahn) was approximately $4.9 billion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 billion, respectively, representing approximately 54% of the Investment Funds’ assets under management as of each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 date.</w:t>
      </w:r>
    </w:p>
    <w:p>
      <w:pPr>
        <w:spacing w:after="0" w:line="20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2022, 2021 and 2020, $18 million, $15 million and $2 million, respectively, was allocated to the Investment Funds based on this expense-sharing arrangement.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2022, Brett Icahn had net redemptions of $14 million in accordance with the manager agreement and in 2021 he contributed $76 million. As of December 31, 2022 and 2021, Brett Icahn had investments in the Investment Funds with a fair market value of $50 million and $93 million, respectively.</w:t>
      </w:r>
    </w:p>
    <w:p>
      <w:pPr>
        <w:spacing w:after="0" w:line="193"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28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Communications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Consumer, non-cyclical</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tcPr>
          <w:p>
            <w:pPr>
              <w:spacing w:after="0"/>
              <w:rPr>
                <w:sz w:val="21"/>
                <w:szCs w:val="21"/>
                <w:color w:val="auto"/>
              </w:rPr>
            </w:pPr>
          </w:p>
        </w:tc>
        <w:tc>
          <w:tcPr>
            <w:tcW w:w="26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2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non-cyclical</w:t>
            </w:r>
          </w:p>
        </w:tc>
        <w:tc>
          <w:tcPr>
            <w:tcW w:w="28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Materials</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6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portion of unrealized (losses) gains that relates to securities still held by our Investment segment, primarily equity securities, was $(1,544) million, $1,153 million and $65 million for the years ended December 31, 2022, 2021 and 2020, respectively.</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 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 such presumption may be overcome based on specific facts and circumstances that demonstrate that the ability to exercise significant influence is present, such as when we have representation on the board of directors of such investee.</w:t>
      </w:r>
    </w:p>
    <w:p>
      <w:pPr>
        <w:spacing w:after="0" w:line="194"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had the ability to exercise significant influence over the operating and financial policies of certain investees of our Investment segment.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00" w:type="dxa"/>
            <w:vAlign w:val="bottom"/>
          </w:tcPr>
          <w:p>
            <w:pPr>
              <w:spacing w:after="0"/>
              <w:rPr>
                <w:sz w:val="18"/>
                <w:szCs w:val="18"/>
                <w:color w:val="auto"/>
              </w:rPr>
            </w:pPr>
          </w:p>
        </w:tc>
        <w:tc>
          <w:tcPr>
            <w:tcW w:w="15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 w:type="dxa"/>
            <w:vAlign w:val="bottom"/>
          </w:tcPr>
          <w:p>
            <w:pPr>
              <w:spacing w:after="0"/>
              <w:rPr>
                <w:sz w:val="20"/>
                <w:szCs w:val="20"/>
                <w:color w:val="auto"/>
              </w:rPr>
            </w:pPr>
          </w:p>
        </w:tc>
        <w:tc>
          <w:tcPr>
            <w:tcW w:w="15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Recognized in Income</w:t>
            </w:r>
          </w:p>
        </w:tc>
      </w:tr>
      <w:tr>
        <w:trPr>
          <w:trHeight w:val="210"/>
        </w:trPr>
        <w:tc>
          <w:tcPr>
            <w:tcW w:w="27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8"/>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r>
      <w:tr>
        <w:trPr>
          <w:trHeight w:val="128"/>
        </w:trPr>
        <w:tc>
          <w:tcPr>
            <w:tcW w:w="2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Xerox Holding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Herbalife Nutrition Ltd.</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Hertz Global Holdings, Inc.</w:t>
            </w:r>
          </w:p>
        </w:tc>
        <w:tc>
          <w:tcPr>
            <w:tcW w:w="1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obtained significant influence over Xerox Holding Corporation and elected the fair value option with respect to our investment in Xerox, beginning in the first quarter of 2022.</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the Investment Funds sold their entire investment in Hertz. Prior to the sale of its investment in Hertz, the Investment Funds owned approximately 38.9% of the outstanding common stock of Hertz.</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addition, in August 2020, the Investment Funds sold a portion of their investment in Herbalife Nutrition Ltd. (“Herbalife”) pursuant to Herbalife’s “modified Dutch auction” tender offer to purchase its common shares, and as a result, the Investment Funds ceased to have an ability to exercise significant influence over the operating and financial policies of Herbalife. Prior to this transaction, the Investment Funds owned approximately 23.8% of the outstanding common stock of Herbalife.</w:t>
      </w:r>
    </w:p>
    <w:p>
      <w:pPr>
        <w:spacing w:after="0" w:line="183"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Due to the nature of our Investment segment’s operations, the sales of Hertz and Herbalife are deemed to be in the ordinary course of business.</w:t>
      </w:r>
    </w:p>
    <w:p>
      <w:pPr>
        <w:spacing w:after="0" w:line="16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contain summarized financial information with respect to our investments in Xerox, Hertz and Herbalife during the respective periods (or partial periods) in which we possessed the ability to exercise significant influence over the operating and financial policies of the investee.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740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3"/>
        </w:trPr>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9"/>
        </w:trPr>
        <w:tc>
          <w:tcPr>
            <w:tcW w:w="7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Xerox</w:t>
            </w:r>
          </w:p>
        </w:tc>
      </w:tr>
      <w:tr>
        <w:trPr>
          <w:trHeight w:val="142"/>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attributable to investee shareholders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r>
    </w:tbl>
    <w:p>
      <w:pPr>
        <w:spacing w:after="0" w:line="395"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majority of total assets in the table above consists of receivables, goodwill and inventories. The majority of total liabilities in the table above consists of debt.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Xerox</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Hertz</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Herbalife</w:t>
            </w:r>
          </w:p>
        </w:tc>
        <w:tc>
          <w:tcPr>
            <w:tcW w:w="620" w:type="dxa"/>
            <w:vAlign w:val="bottom"/>
            <w:tcBorders>
              <w:bottom w:val="single" w:sz="8" w:color="auto"/>
            </w:tcBorders>
          </w:tcPr>
          <w:p>
            <w:pPr>
              <w:spacing w:after="0"/>
              <w:rPr>
                <w:sz w:val="20"/>
                <w:szCs w:val="20"/>
                <w:color w:val="auto"/>
              </w:rPr>
            </w:pPr>
          </w:p>
        </w:tc>
      </w:tr>
      <w:tr>
        <w:trPr>
          <w:trHeight w:val="196"/>
        </w:trPr>
        <w:tc>
          <w:tcPr>
            <w:tcW w:w="2120" w:type="dxa"/>
            <w:vAlign w:val="bottom"/>
          </w:tcPr>
          <w:p>
            <w:pPr>
              <w:spacing w:after="0"/>
              <w:rPr>
                <w:sz w:val="17"/>
                <w:szCs w:val="17"/>
                <w:color w:val="auto"/>
              </w:rPr>
            </w:pPr>
          </w:p>
        </w:tc>
        <w:tc>
          <w:tcPr>
            <w:tcW w:w="218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Pr>
          <w:p>
            <w:pPr>
              <w:spacing w:after="0"/>
              <w:rPr>
                <w:sz w:val="17"/>
                <w:szCs w:val="17"/>
                <w:color w:val="auto"/>
              </w:rPr>
            </w:pPr>
          </w:p>
        </w:tc>
        <w:tc>
          <w:tcPr>
            <w:tcW w:w="2200" w:type="dxa"/>
            <w:vAlign w:val="bottom"/>
            <w:tcBorders>
              <w:bottom w:val="single" w:sz="8" w:color="auto"/>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09"/>
        </w:trPr>
        <w:tc>
          <w:tcPr>
            <w:tcW w:w="2120" w:type="dxa"/>
            <w:vAlign w:val="bottom"/>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96"/>
        </w:trPr>
        <w:tc>
          <w:tcPr>
            <w:tcW w:w="2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sales/Other revenue</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$ 7,107</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$ 2,609</w:t>
            </w:r>
          </w:p>
        </w:tc>
      </w:tr>
      <w:tr>
        <w:trPr>
          <w:trHeight w:val="198"/>
        </w:trPr>
        <w:tc>
          <w:tcPr>
            <w:tcW w:w="2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goods sold/Other</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from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(322)</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198"/>
        </w:trPr>
        <w:tc>
          <w:tcPr>
            <w:tcW w:w="2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investee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22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9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r>
      <w:tr>
        <w:trPr>
          <w:trHeight w:val="209"/>
        </w:trPr>
        <w:tc>
          <w:tcPr>
            <w:tcW w:w="66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r>
      <w:tr>
        <w:trPr>
          <w:trHeight w:val="129"/>
        </w:trPr>
        <w:tc>
          <w:tcPr>
            <w:tcW w:w="6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7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r>
      <w:tr>
        <w:trPr>
          <w:trHeight w:val="209"/>
        </w:trPr>
        <w:tc>
          <w:tcPr>
            <w:tcW w:w="66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w:t>
            </w:r>
          </w:p>
        </w:tc>
      </w:tr>
      <w:tr>
        <w:trPr>
          <w:trHeight w:val="20"/>
        </w:trPr>
        <w:tc>
          <w:tcPr>
            <w:tcW w:w="6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portion of unrealized losses that relates to equity securities still held by our other segments and our Holding Company was $61 million, $61 million and $36 million for the years ended December 31, 2022, 2021 and 2020,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available active quoted prices or for which fair value can be measured from actively quoted prices generally will have a higher degree of market price observability and a lesser degree of judgment used in measuring fair value.</w:t>
      </w:r>
    </w:p>
    <w:p>
      <w:pPr>
        <w:spacing w:after="0" w:line="162"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w:t>
      </w:r>
    </w:p>
    <w:p>
      <w:pPr>
        <w:spacing w:after="0" w:line="225" w:lineRule="exact"/>
        <w:rPr>
          <w:sz w:val="20"/>
          <w:szCs w:val="20"/>
          <w:color w:val="auto"/>
        </w:rPr>
      </w:pPr>
    </w:p>
    <w:p>
      <w:pPr>
        <w:ind w:left="380" w:right="559"/>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83" w:lineRule="exact"/>
        <w:rPr>
          <w:sz w:val="20"/>
          <w:szCs w:val="20"/>
          <w:color w:val="auto"/>
        </w:rPr>
      </w:pPr>
    </w:p>
    <w:p>
      <w:pPr>
        <w:ind w:left="380" w:right="99"/>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2"/>
        </w:trPr>
        <w:tc>
          <w:tcPr>
            <w:tcW w:w="28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(Note 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$ 5,538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$ 6,722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$ 8,905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$ 9,060</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net (Note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$ 5,538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$ 7,527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$ 8,905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$ 9,672</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$ 6,326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$ 6,495</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$ 5,340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$ 5,340</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 (Note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$ 6,326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1,552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$ 7,878</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$ 5,340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1,281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$ 6,621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14"/>
        <w:spacing w:after="0" w:line="282" w:lineRule="auto"/>
        <w:tabs>
          <w:tab w:leader="none" w:pos="5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18, “Pension and Other Post-Retirement Benefit Plans,” for our Food Packaging segment’s defined benefit plan assets measured at fair value on a recurring basis as of December 31, 2022 and 2021.</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changes in investments measured at fair value on a recurring basis for which we use Level 3 inputs to determine fair value are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tbl>
      <w:tblPr>
        <w:tblLayout w:type="fixed"/>
        <w:tblInd w:w="6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754"/>
        </w:trPr>
        <w:tc>
          <w:tcPr>
            <w:tcW w:w="12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548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8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5"/>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28"/>
        </w:trPr>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548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in from Level 2</w:t>
            </w: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recognized in income</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w:t>
            </w: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4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47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Investment Funds record a realized gain or loss equal to the difference between the value of the contract at the time it was opened and the value at the time it was closed.</w:t>
      </w:r>
    </w:p>
    <w:p>
      <w:pPr>
        <w:spacing w:after="0" w:line="16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8" w:lineRule="exact"/>
        <w:rPr>
          <w:sz w:val="20"/>
          <w:szCs w:val="20"/>
          <w:color w:val="auto"/>
        </w:rPr>
      </w:pPr>
    </w:p>
    <w:p>
      <w:pPr>
        <w:jc w:val="both"/>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16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December 31, 2022 and 2021.</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Short</w:t>
            </w: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0" w:type="dxa"/>
            <w:vAlign w:val="bottom"/>
          </w:tcPr>
          <w:p>
            <w:pPr>
              <w:spacing w:after="0"/>
              <w:rPr>
                <w:sz w:val="1"/>
                <w:szCs w:val="1"/>
                <w:color w:val="auto"/>
              </w:rPr>
            </w:pPr>
          </w:p>
        </w:tc>
      </w:tr>
      <w:tr>
        <w:trPr>
          <w:trHeight w:val="21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contracts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5,986</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Credit contracts</w:t>
            </w:r>
            <w:r>
              <w:rPr>
                <w:rFonts w:ascii="Times New Roman" w:cs="Times New Roman" w:eastAsia="Times New Roman" w:hAnsi="Times New Roman"/>
                <w:sz w:val="25"/>
                <w:szCs w:val="25"/>
                <w:color w:val="auto"/>
                <w:vertAlign w:val="superscript"/>
              </w:rPr>
              <w:t>(1)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36" w:lineRule="auto"/>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 notional amount on our credit default swap positions was approximately $3.5 billion at December 31, 2022. However, because credit spreads cannot compress below zero, our downside short notional exposure to loss is approximately $0.9 billion as of December 31, 2022. The short notional amount on our credit default swap positions was approximately $6.6 billion as of December 31, 2021. However, because credit spreads cannot compress below zero, our downside short notional exposure to loss is $2.1 billion as of December 31, 2021.</w:t>
      </w:r>
    </w:p>
    <w:p>
      <w:pPr>
        <w:spacing w:after="0" w:line="1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Pr>
          <w:p>
            <w:pPr>
              <w:spacing w:after="0"/>
              <w:rPr>
                <w:sz w:val="18"/>
                <w:szCs w:val="18"/>
                <w:color w:val="auto"/>
              </w:rPr>
            </w:pPr>
          </w:p>
        </w:tc>
      </w:tr>
      <w:tr>
        <w:trPr>
          <w:trHeight w:val="190"/>
        </w:trPr>
        <w:tc>
          <w:tcPr>
            <w:tcW w:w="242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420" w:type="dxa"/>
            <w:vAlign w:val="bottom"/>
            <w:gridSpan w:val="2"/>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5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21"/>
                <w:szCs w:val="21"/>
                <w:color w:val="auto"/>
              </w:rPr>
            </w:pPr>
          </w:p>
        </w:tc>
      </w:tr>
      <w:tr>
        <w:trPr>
          <w:trHeight w:val="209"/>
        </w:trPr>
        <w:tc>
          <w:tcPr>
            <w:tcW w:w="24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2" w:lineRule="exact"/>
        <w:rPr>
          <w:sz w:val="20"/>
          <w:szCs w:val="20"/>
          <w:color w:val="auto"/>
        </w:rPr>
      </w:pPr>
    </w:p>
    <w:p>
      <w:pPr>
        <w:ind w:left="380" w:right="219" w:hanging="330"/>
        <w:spacing w:after="0" w:line="24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netting of cash collateral received and posted. The total collateral posted at December 31, 2022 and 2021 was $1,436 million and $1,906 million, respectively, across all counterparties, which are included in cash held at consolidated affiliated partnerships and restricted cash in the consolidated balance sheets.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consolidated statements of operations for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segment’s derivatives not designated as hedging instruments:</w:t>
      </w:r>
    </w:p>
    <w:p>
      <w:pPr>
        <w:spacing w:after="0" w:line="1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Gain (Loss) Recognized in Income</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-8890</wp:posOffset>
            </wp:positionV>
            <wp:extent cx="25800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4445</wp:posOffset>
            </wp:positionV>
            <wp:extent cx="25800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5320"/>
        <w:spacing w:after="0"/>
        <w:tabs>
          <w:tab w:leader="none" w:pos="6720" w:val="left"/>
          <w:tab w:leader="none" w:pos="81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14605</wp:posOffset>
            </wp:positionV>
            <wp:extent cx="25800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4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380" w:right="219" w:hanging="330"/>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gain (loss) from investment activities in our consolidated statements of operations for our Investment segment.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Energy’s refining business from time to time enters into various commodity derivative transactions and holds derivative instruments, such as exchange-traded crude oil futures and over-the-counter forward swap agreements, which it believes provide an economic hedge on future transactions, but such instruments are not designated as hedge instruments. CVR Energy may enter into forward purchase or sale contracts associated with renewable identification numbers (“RINs”).</w:t>
      </w:r>
    </w:p>
    <w:p>
      <w:pPr>
        <w:spacing w:after="0" w:line="189"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2021, CVR Energy had less than 1 million and no outstanding commodity swap positions, respectively. As of December 31, 2022 and 2021, CVR Energy had future contracts for less than 1 million at each date. As of December 31, 2022 and 2021, CVR Energy had open fixed-price commitments to purchase a net $34 million and 3 million RINs, respectively.</w:t>
      </w:r>
    </w:p>
    <w:p>
      <w:pPr>
        <w:spacing w:after="0" w:line="180" w:lineRule="exact"/>
        <w:rPr>
          <w:sz w:val="20"/>
          <w:szCs w:val="20"/>
          <w:color w:val="auto"/>
        </w:rPr>
      </w:pPr>
    </w:p>
    <w:p>
      <w:pPr>
        <w:ind w:left="60" w:right="259" w:firstLine="369"/>
        <w:spacing w:after="0" w:line="289" w:lineRule="auto"/>
        <w:rPr>
          <w:sz w:val="20"/>
          <w:szCs w:val="20"/>
          <w:color w:val="auto"/>
        </w:rPr>
      </w:pPr>
      <w:r>
        <w:rPr>
          <w:rFonts w:ascii="Times New Roman" w:cs="Times New Roman" w:eastAsia="Times New Roman" w:hAnsi="Times New Roman"/>
          <w:sz w:val="17"/>
          <w:szCs w:val="17"/>
          <w:color w:val="auto"/>
        </w:rPr>
        <w:t>Certain derivative contracts executed by our Energy segment with a single counterparty are reported on a net-by-counterparty basis where a legal right of offset exists under an enforceable netting agreement. As of December 31, 2022, our Energy segment had net asset derivatives of $7 million and net liability derivatives of $4 million and as of December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31, 2021, our Energy segment had gross asset derivatives of $4 million and gross liability derivatives of $2 million. (Losses) gains recognized on derivatives for our Energy segment were $(55) million, $(44) million and $55 million for the years ended December 31, 2022, 2021 and 2020, respectively. Gains recognized on derivatives for our Energy segment are included in cost of goods sold on the consolidated statements of operations.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5"/>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28"/>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our Automotive segment had inventories with a carrying value in excess of net realizable value. As a result, our Automotive segment recorded a write-down of its inventories of $33 million, which is included in cost of goods sold in the consolidated statements of operations for the year ended December 31, 2022. In addition, our Automotive segment recorded out-of-period adjustments of $51 million related to inventory write-downs, which is included in costs of goods sold in the consolidated statements of operations for the year ended December 31, 2022.</w:t>
      </w:r>
    </w:p>
    <w:p>
      <w:pPr>
        <w:spacing w:after="0" w:line="187"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2021, our Automotive segment had inventories with a carrying value in excess of net realizable value. As a result, our Automotive segment recorded a write-down of its inventories of $56 million, which is included in cost of goods sold in the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4"/>
                <w:szCs w:val="24"/>
                <w:color w:val="auto"/>
              </w:rPr>
            </w:pPr>
          </w:p>
        </w:tc>
        <w:tc>
          <w:tcPr>
            <w:tcW w:w="104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04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color w:val="auto"/>
              </w:rPr>
              <w:t>(in years)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5 - 40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1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1 - 30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Assets leased to others</w:t>
            </w: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3 - 39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1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1 - 10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for the years ended December 31, 2022, 2021 and 2020 was $384 million, $383 million and $406 million,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center"/>
        <w:ind w:left="380" w:right="5999" w:hanging="330"/>
        <w:spacing w:after="0" w:line="538" w:lineRule="auto"/>
        <w:tabs>
          <w:tab w:leader="none" w:pos="281"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Food</w:t>
            </w:r>
          </w:p>
        </w:tc>
        <w:tc>
          <w:tcPr>
            <w:tcW w:w="120" w:type="dxa"/>
            <w:vAlign w:val="bottom"/>
          </w:tcPr>
          <w:p>
            <w:pPr>
              <w:spacing w:after="0"/>
              <w:rPr>
                <w:sz w:val="16"/>
                <w:szCs w:val="16"/>
                <w:color w:val="auto"/>
              </w:rPr>
            </w:pPr>
          </w:p>
        </w:tc>
        <w:tc>
          <w:tcPr>
            <w:tcW w:w="80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Home</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Fashion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Pharma</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 Jan 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 Dec 31</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Jan 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Dec 31</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Dec 31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Food</w:t>
            </w:r>
          </w:p>
        </w:tc>
        <w:tc>
          <w:tcPr>
            <w:tcW w:w="120" w:type="dxa"/>
            <w:vAlign w:val="bottom"/>
          </w:tcPr>
          <w:p>
            <w:pPr>
              <w:spacing w:after="0"/>
              <w:rPr>
                <w:sz w:val="16"/>
                <w:szCs w:val="16"/>
                <w:color w:val="auto"/>
              </w:rPr>
            </w:pPr>
          </w:p>
        </w:tc>
        <w:tc>
          <w:tcPr>
            <w:tcW w:w="80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Home</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Fashion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Pharma</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 Jan 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Dispositions</w:t>
            </w:r>
          </w:p>
        </w:tc>
        <w:tc>
          <w:tcPr>
            <w:tcW w:w="3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carrying amount, Dec 31</w:t>
            </w:r>
          </w:p>
        </w:tc>
        <w:tc>
          <w:tcPr>
            <w:tcW w:w="3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Jan 1</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Dec 31</w:t>
            </w:r>
          </w:p>
        </w:tc>
        <w:tc>
          <w:tcPr>
            <w:tcW w:w="3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value, Dec 31</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620" w:type="dxa"/>
            <w:vAlign w:val="bottom"/>
            <w:tcBorders>
              <w:bottom w:val="single" w:sz="8" w:color="auto"/>
            </w:tcBorders>
          </w:tcPr>
          <w:p>
            <w:pPr>
              <w:spacing w:after="0"/>
              <w:rPr>
                <w:sz w:val="24"/>
                <w:szCs w:val="24"/>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00" w:type="dxa"/>
            <w:vAlign w:val="bottom"/>
          </w:tcPr>
          <w:p>
            <w:pPr>
              <w:spacing w:after="0"/>
              <w:rPr>
                <w:sz w:val="18"/>
                <w:szCs w:val="18"/>
                <w:color w:val="auto"/>
              </w:rPr>
            </w:pPr>
          </w:p>
        </w:tc>
        <w:tc>
          <w:tcPr>
            <w:tcW w:w="59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30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6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for the years ended December 31, 2022, 2021 and 2020 was $61 million, $62 million and $44 million, respectively. We utilize the straight-line method of amortization, recognized over the estimated useful lives of the assets.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for our definite-lived intangible assets is as follows: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7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0"/>
        </w:trPr>
        <w:tc>
          <w:tcPr>
            <w:tcW w:w="7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We perform the annual goodwill impairment test for our Automotive segment as of October 1 of each year, or more frequently if impairment indicators exist.</w:t>
      </w:r>
    </w:p>
    <w:p>
      <w:pPr>
        <w:spacing w:after="0" w:line="162"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During 2022 and 2021, our Automotive segment considered qualitative factors to determine that goodwill at its Service reporting unit did not require further testing for impairment.</w:t>
      </w:r>
    </w:p>
    <w:p>
      <w:pPr>
        <w:spacing w:after="0" w:line="16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first quarter of 2020, due to the COVID-19 pandemic and its impact on our Automotive segment’s operations, we performed an interim goodwill impairment analysis. At such time, our Automotive segment had $250 million of goodwill, all of which was allocated to its Service reporting unit. Based on the interim impairment analysis, we determined that the fair value of our Automotive segment’s Service reporting unit was significantly in excess of its carrying value and therefore, no impairment is required. For our Automotive segment’s annual impairment test for 2020, our Automotive segment considered qualitative factors to determine that goodwill at its Service reporting unit did not require further testing for impairment.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perform the annual goodwill impairment test for our Home Fashion segment as of October 1 of each year, or more frequently if impairment indicators exist. During the second quarter of 2020, our Home Fashion segment impaired a portion of its goodwill in the amount of $3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636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r>
      <w:tr>
        <w:trPr>
          <w:trHeight w:val="210"/>
        </w:trPr>
        <w:tc>
          <w:tcPr>
            <w:tcW w:w="63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r>
      <w:tr>
        <w:trPr>
          <w:trHeight w:val="128"/>
        </w:trPr>
        <w:tc>
          <w:tcPr>
            <w:tcW w:w="6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80" w:type="dxa"/>
            <w:vAlign w:val="bottom"/>
            <w:gridSpan w:val="3"/>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6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December 31, 2022 and 2021 is presented below. The lease terms and discount rates for our Energy, Automotive and Food Packaging segments represent weighted averages based on their respective lease liability balances.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37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4.1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4.7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9.8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20"/>
                <w:szCs w:val="20"/>
                <w:color w:val="auto"/>
              </w:rPr>
            </w:pPr>
          </w:p>
        </w:tc>
        <w:tc>
          <w:tcPr>
            <w:tcW w:w="860" w:type="dxa"/>
            <w:vAlign w:val="bottom"/>
            <w:gridSpan w:val="4"/>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Lease</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43"/>
        </w:trPr>
        <w:tc>
          <w:tcPr>
            <w:tcW w:w="5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1"/>
                <w:szCs w:val="21"/>
                <w:color w:val="auto"/>
              </w:rPr>
            </w:pPr>
          </w:p>
        </w:tc>
        <w:tc>
          <w:tcPr>
            <w:tcW w:w="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gridSpan w:val="2"/>
          </w:tcPr>
          <w:p>
            <w:pPr>
              <w:spacing w:after="0"/>
              <w:rPr>
                <w:sz w:val="21"/>
                <w:szCs w:val="21"/>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3"/>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 years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1"/>
                <w:szCs w:val="21"/>
                <w:color w:val="auto"/>
              </w:rPr>
            </w:pPr>
          </w:p>
        </w:tc>
      </w:tr>
      <w:tr>
        <w:trPr>
          <w:trHeight w:val="243"/>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4.9 years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1"/>
                <w:szCs w:val="21"/>
                <w:color w:val="auto"/>
              </w:rPr>
            </w:pPr>
          </w:p>
        </w:tc>
      </w:tr>
      <w:tr>
        <w:trPr>
          <w:trHeight w:val="243"/>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 years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r>
      <w:tr>
        <w:trPr>
          <w:trHeight w:val="243"/>
        </w:trPr>
        <w:tc>
          <w:tcPr>
            <w:tcW w:w="5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60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Maturities of lease liabilities as of December 31, 2022 are as follows: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38"/>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2022, lease cost was comprised of operating lease cost of $197 million, amortization of financing lease right-of-use assets of $8 million and interest expense on financing lease liabilities of $5 million. For the year ended December 31, 2021, lease cost was comprised of operating lease cost of $196 million, amortization of financing lease right-of-use assets of $10 million and interest expense on financing lease liabilities of $6 million. For</w:t>
      </w:r>
    </w:p>
    <w:p>
      <w:pPr>
        <w:spacing w:after="0" w:line="3" w:lineRule="exact"/>
        <w:rPr>
          <w:sz w:val="20"/>
          <w:szCs w:val="20"/>
          <w:color w:val="auto"/>
        </w:rPr>
      </w:pPr>
    </w:p>
    <w:p>
      <w:pPr>
        <w:ind w:left="60" w:right="539"/>
        <w:spacing w:after="0" w:line="260" w:lineRule="auto"/>
        <w:rPr>
          <w:sz w:val="20"/>
          <w:szCs w:val="20"/>
          <w:color w:val="auto"/>
        </w:rPr>
      </w:pPr>
      <w:r>
        <w:rPr>
          <w:rFonts w:ascii="Times New Roman" w:cs="Times New Roman" w:eastAsia="Times New Roman" w:hAnsi="Times New Roman"/>
          <w:sz w:val="18"/>
          <w:szCs w:val="18"/>
          <w:color w:val="auto"/>
        </w:rPr>
        <w:t>the year ended December 31, 2020, lease cost was comprised of operating lease cost of $200 million, amortization of financing lease right-of-use assets of $11 million and interest expense on financing lease liabilities of $7</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million. Our Automotive segment accounted for $163 million, $163 million and $166 million of total lease cost for the years ended December 31, 2022, 2021 and 2020,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Our Automotive segment leases certain retail locations under long-term operating leases. Our Automotive segment’s revenues from operating leases were $45 million and $10 million for the years ended December 31, 2022 and 2021, respectively. Our Automotive segment’s expenses from operating leases were $46 million and $10 million for the years ended December 31, 2022 and 2021, respectively. Revenues from operating leases are included in other revenue from operations in the consolidated statements of operations and expenses from operating leases are included in other expenses from operations in the consolidated statements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December 31, 2022 and 2021, our Real Estate segment has assets leased to others included in property, plant and equipment of $252 million and $251 million, respectively, net of accumulated depreciation. Our Real Estate segment’s revenue from operating leases were $7 million, $8 million and $32 million for the years ended December 31, 2022, 2021 and 2020, respectively, and are included in other revenue from operations in the consolidated statements of operations. Our Real Estate segment’s anticipated future receipts of minimum operating lease payments receivable are $7 million for 2023, $9 million for each of 2024 and 2025, $8 million for 2026, $7 million for 2027 and an aggregate of $72 million for 2028 and thereafter.</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3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3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3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4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Holding Company</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Holding Company debt consists of various issues of fixed-rate senior unsecured notes issued by Icahn Enterprises and Icahn Enterprises Finance Corp. (the “Issuers”) and guaranteed by Icahn Enterprises Holdings (the “Guarantor”). Interest on each of the senior unsecured notes are payable semi-annually.</w:t>
      </w:r>
    </w:p>
    <w:p>
      <w:pPr>
        <w:spacing w:after="0" w:line="68" w:lineRule="exact"/>
        <w:rPr>
          <w:sz w:val="20"/>
          <w:szCs w:val="20"/>
          <w:color w:val="auto"/>
        </w:rPr>
      </w:pPr>
    </w:p>
    <w:p>
      <w:pPr>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In February 2022, we redeemed all of our $500 million aggregate principal amount of 6.750% senior unsecured notes due 2024 at par. As a result of this transaction, Icahn enterprises recorded a loss on extinguishment of debt of $1 million.</w:t>
      </w:r>
    </w:p>
    <w:p>
      <w:pPr>
        <w:spacing w:after="0" w:line="3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January 2021, the Issuers issued $750 million in aggregate principal amount of 4.375% senior unsecured notes due 2029. The proceeds from these notes were used to redeem $750 million principal amount of 6.250% senior unsecured notes due 2022, and to pay accrued interest, related fees and expenses.</w:t>
      </w:r>
    </w:p>
    <w:p>
      <w:pPr>
        <w:spacing w:after="0" w:line="1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April 2021, the Issuers issued $455 million in aggregate principal amount of 4.750% senior unsecured notes due 2024 and $250 million in aggregate principal amount of 5.250% senior unsecured notes due 2027. The proceeds from these issuances, together with cash on hand, were used to redeem in full our prior outstanding $1.35 billion principal amount of the 5.875% senior unsecured notes due 2022, and to pay accrued interest, related fees and expenses.</w:t>
      </w:r>
    </w:p>
    <w:p>
      <w:pPr>
        <w:spacing w:after="0" w:line="72"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January 2020, the Issuers issued $600 million in aggregate principal amount of additional 5.250% senior unsecured notes due 2027. The proceeds from this issuance were used to redeem the remaining $455 million principal amount of the 6.250% senior unsecured notes due 2022, and to pay accrued interest, related fees and expenses.</w:t>
      </w:r>
    </w:p>
    <w:p>
      <w:pPr>
        <w:spacing w:after="0" w:line="6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Icahn Enterprises recorded a loss on extinguishment of debt of $2 million in 2022, a gain on extinguishment of debt of $3 million in 2021 and a loss on extinguishment of debt of $4 million in 2020 in connection with the debt transactions discussed above.</w:t>
      </w:r>
    </w:p>
    <w:p>
      <w:pPr>
        <w:spacing w:after="0" w:line="68"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6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indentures governing each of our senior unsecured notes: restrict the payment of cash distributions, the purchase of equity interests or the purchase, redemption, defeasance or acquisition of debt subordinated to the senior unsecured notes; restrict the incurrence of debt or the issuance of disqualified stock, as defined in the indenture, with certain exceptions; require that on each quarterly determination date, Icahn Enterprises and the guarantor of each of the senior unsecured notes (currently only Icahn Enterprises Holdings) maintain certain minimum financial ratios, as defined therein; and restrict the creation of liens, mergers, consolidations and sales of substantially all of our assets, and transactions with affiliates. Additionally, the 6.375% senior unsecured note due 2025 and the 6.250% senior unsecured note due 2026 are subject to optional redemption premiums in the event we redeem any of the notes prior to certain dates as described in the indentures.</w:t>
      </w:r>
    </w:p>
    <w:p>
      <w:pPr>
        <w:spacing w:after="0" w:line="188"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2021, we were in compliance with all covenants, including maintaining certain minimum financial ratios, as defined in the indentures. Additionally, as of December 31, 2022, based on covenants in the indentures governing our senior unsecured notes, we are not permitted to incur additional indebtedness; however, we are permitted to issue new notes in connection with debt refinancings of existing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Reporting Segments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Energy segment’s debt primarily consists of (i) $600 million in aggregate principal amount of 5.25% senior secured notes due 2025 and $400 million in aggregate principal amount of 5.75% senior secured notes due 2028 (each issued by CVR Energy) and $550 million in aggregate principal amount of 6.125% senior secured notes due 2028 (issued by CVR Partners). Interest for each of these notes are accrued and paid based on contractual terms.</w:t>
      </w:r>
    </w:p>
    <w:p>
      <w:pPr>
        <w:spacing w:after="0" w:line="7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$550 million in aggregate principal amount of 6.125% senior secured notes due 2028 were issued by CVR Partners in June 2021. Proceeds from these notes were used to fund a partial redemption of its existing 9.25% senior secured notes due 2023. During 2021, an additional $30 million of CVR Partners’ existing 9.25% senior secured notes due 2023 were redeemed and in February 2022, the remaining $65 million was redeemed. The $600 million in aggregate principal amount of 5.25% senior secured notes due 2025 and $400 million in aggregate principal amount of 5.75% senior secured notes due 2028 were issued by CVR Energy in January 2020. A portion of the net proceeds from the issuance of these notes were used to fund the redemption of CVR Energy’s existing $500 million senior secured notes due 2022 (issued by CVR Refining). The remaining net proceeds were used for CVR Energy’s general corporate purposes. In connection with these transactions, our Energy segment recorded a loss on extinguishment of debt of $1 million for the year ended December 31, 2022.</w:t>
      </w:r>
    </w:p>
    <w:p>
      <w:pPr>
        <w:spacing w:after="0" w:line="8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84"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April 2022, in connection with the Petroleum ABL (as defined below), a new wholly owned subsidiary of CVR Energy, CVR Renewables, LLC (“CVR Renew”), delivered to Wells Fargo Bank, National Association, as administrative and collateral agent for the secured parties, a Joinder Agreement pursuant to which CVR Renew became a borrower for all purposes under the Petroleum ABL and other Credit Documents.</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June 2022, CVR Refining and certain of its subsidiaries (the “Credit Parties”) entered into Amendment No. 3 to the Amended and Restated ABL Credit Agreement dated December 20, 2012 (the “Amendment”, and as amended, the “Petroleum ABL”), with a group of lenders and Wells Fargo Bank, National Association, as administrative agent and collateral agent (the “Agent”). The Petroleum ABL is a senior secured asset based revolving credit facility in an aggregate principle amount of up to $275 million with a $125 million incremental facility, which is subject to additional lender commitments and certain other conditions. The proceeds of the loans may be used for capital expenditures, working capital and general corporate purposes of the Credit Parties and their subsidiaries. The Petroleum ABL provides for loans and letters of credit in an amount up to the aggregate availability under the facility, subject to certain borrowing base conditions, with sub-limits of $30 million for swingline loans and $60 million (or $100 million if increased by the Agent) for letters of credit. The Petroleum ABL is scheduled to mature on June 30, 2027.</w:t>
      </w:r>
    </w:p>
    <w:p>
      <w:pPr>
        <w:spacing w:after="0" w:line="194"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total availability under the CVR Refining and CVR Partners variable rate asset based revolving credit facilities aggregated $287 million and $396 million, respectively. CVR Refining also had $23 million and $39 million of letters of credit outstanding as of December 31, 2022 and 2021.</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August 2021, all of our Automotive segment’s outstanding credit facility was repaid in full in the amount of $350 million and the credit facility was closed.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Viskase’s debt primarily consists of a credit agreement providing for a $150 million term loan and a $30 million revolving credit facility issued in October 2020 and maturing in 2023. The proceeds from the term loan, plus cash received from Viskase’s equity private placement in October 2020, as discussed in Note 1, “Description of Business,” were used to repay in full Viskase’s existing term loan. Interest for this note is accrued and paid based on contractual terms. The interest rate on Viskase’s term loans were 6.80% and 2.47% as of December 31, 2022 and 2021, respectively.</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0" w:right="559" w:firstLine="324"/>
        <w:spacing w:after="0" w:line="261" w:lineRule="auto"/>
        <w:rPr>
          <w:sz w:val="20"/>
          <w:szCs w:val="20"/>
          <w:color w:val="auto"/>
        </w:rPr>
      </w:pPr>
      <w:r>
        <w:rPr>
          <w:rFonts w:ascii="Times New Roman" w:cs="Times New Roman" w:eastAsia="Times New Roman" w:hAnsi="Times New Roman"/>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consolidated statements of operations were $5 million, $5 million and $4 million for the years ended December 31, 2022, 2021 and 2020, respectively.</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Maturities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maturities of our debt as of December 31, 2022: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payments (excluding financing lease payments)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discounts, premiums and deferred financing fees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 (Note 10)</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Income (Loss) Per LP Unit</w:t>
      </w:r>
    </w:p>
    <w:p>
      <w:pPr>
        <w:spacing w:after="0" w:line="121"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the computation of basic and diluted income (loss) per LP unit from continuing and discontinued operations are as follows: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except per unit</w:t>
            </w:r>
          </w:p>
        </w:tc>
        <w:tc>
          <w:tcPr>
            <w:tcW w:w="1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 from continuing operations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net loss attributable to Icahn Enterprises from continuing operations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100% to general partner</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Net loss attributable to Icahn Enterprises from continuing operations allocable to</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vMerge w:val="continue"/>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w:t>
            </w:r>
          </w:p>
        </w:tc>
        <w:tc>
          <w:tcPr>
            <w:tcW w:w="2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Net loss attributable to Icahn Enterprises from continuing operations allocated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20" w:type="dxa"/>
            <w:vAlign w:val="bottom"/>
            <w:vMerge w:val="continue"/>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partners (98.01% allocation)</w:t>
            </w:r>
          </w:p>
        </w:tc>
        <w:tc>
          <w:tcPr>
            <w:tcW w:w="20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LP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GP Allocation</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disclosed in Note 2, “Basis of Presentation and Summary of Significant Accounting Policies - Acquisition, Investments and Disposition of Entities under Common Control,” upon the sale of common control entities, such as PSC Metals,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229"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our outstanding depositary units during each of the years ended December 31, 2022, 2021 and 2020.</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Mr. Icahn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020" w:type="dxa"/>
            <w:vAlign w:val="bottom"/>
          </w:tcPr>
          <w:p>
            <w:pPr>
              <w:spacing w:after="0"/>
              <w:rPr>
                <w:sz w:val="18"/>
                <w:szCs w:val="18"/>
                <w:color w:val="auto"/>
              </w:rPr>
            </w:pPr>
          </w:p>
        </w:tc>
      </w:tr>
      <w:tr>
        <w:trPr>
          <w:trHeight w:val="238"/>
        </w:trPr>
        <w:tc>
          <w:tcPr>
            <w:tcW w:w="558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Affiliates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Unitholders</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197,049,652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17,028,906</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214,078,558</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distributions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24,902,568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449,610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25,352,178</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At-the-market offerings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1,908,099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1,908,099</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to Brett Icahn</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(202,758)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202,758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221,749,462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19,589,373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241,338,835</w:t>
            </w: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distributions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35,297,798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1,577,600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36,875,398</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Incentive Plan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At-the-market offerings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15,170,519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15,170,519</w:t>
            </w: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257,047,260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36,355,983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293,403,243</w:t>
            </w: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distributions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42,950,364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2,569,961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45,520,325</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Incentive Plan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At-the-market offerings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14,619,272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14,619,272</w:t>
            </w: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299,997,624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53,574,558</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353,572,182</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During each of the years ended December 31, 2022, 2021 and 2020, we declared four quarterly distributions. Depositary unitholders were given the option to make an election to receive the distributions in either cash or additional depositary units. If a holder did not make a timely election, it was automatically deemed to have elected to receive the distributions in additional depositary units.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At-The-Market-Offerings</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May 2019, Icahn Enterprises entered into a new Open Market Sale Agreement, pursuant to which Icahn Enterprises was able to sell its depositary units, from time to time, for up to $400 million in aggregate sale proceeds, under its ongoing “at-the-market” offering. This agreement has been subsequently terminated and superseded by subsequent agreements with substantially the same terms. During the year ended December 31, 2022, Icahn Enterprises sold depositary units pursuant to these agreements, resulting in gross proceeds of $759 million. As of December 31, 2022, we continue to have an active Open Market Sale Agreement and Icahn Enterprises may sell its depositary units for up to an additional $325 million in aggregate gross sale proceeds pursuant to this agreement entered into on November 21, 2022.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2017 Incentive Plan</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2021 and 2020, we distributed depositary units, net of payroll withholdings, with respect to certain restricted depositary units and deferred unit awards that vested during the respective periods in connection with the Icahn Enterprises L.P. 2017 Long Term Incentive Plan (the “2017 Incentive Plan”). The aggregate impact of the 2017 Incentive Plan is not material with respect to our consolidated financial statements, including the calculation of potentially dilutive units and diluted income per LP unit.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and Geographic Reporting</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 Our condensed statements of operations and balance sheets by reporting segment are presented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3"/>
                <w:szCs w:val="13"/>
                <w:b w:val="1"/>
                <w:bCs w:val="1"/>
                <w:color w:val="auto"/>
                <w:w w:val="98"/>
              </w:rPr>
              <w:t>Year Ended December 31, 2022</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40" w:type="dxa"/>
            <w:vAlign w:val="bottom"/>
          </w:tcPr>
          <w:p>
            <w:pPr>
              <w:spacing w:after="0"/>
              <w:rPr>
                <w:sz w:val="9"/>
                <w:szCs w:val="9"/>
                <w:color w:val="auto"/>
              </w:rPr>
            </w:pPr>
          </w:p>
        </w:tc>
        <w:tc>
          <w:tcPr>
            <w:tcW w:w="34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4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4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Estate</w:t>
            </w: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5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Pharma</w:t>
            </w:r>
          </w:p>
        </w:tc>
        <w:tc>
          <w:tcPr>
            <w:tcW w:w="12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Metals</w:t>
            </w: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4"/>
          </w:tcPr>
          <w:p>
            <w:pPr>
              <w:ind w:left="40"/>
              <w:spacing w:after="0" w:line="115" w:lineRule="exact"/>
              <w:rPr>
                <w:sz w:val="20"/>
                <w:szCs w:val="20"/>
                <w:color w:val="auto"/>
              </w:rPr>
            </w:pPr>
            <w:r>
              <w:rPr>
                <w:rFonts w:ascii="Times New Roman" w:cs="Times New Roman" w:eastAsia="Times New Roman" w:hAnsi="Times New Roman"/>
                <w:sz w:val="13"/>
                <w:szCs w:val="13"/>
                <w:color w:val="auto"/>
                <w:w w:val="92"/>
              </w:rPr>
              <w:t>(in millions)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3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10,896</w:t>
            </w:r>
          </w:p>
        </w:tc>
        <w:tc>
          <w:tcPr>
            <w:tcW w:w="3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1,707</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3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217</w:t>
            </w:r>
          </w:p>
        </w:tc>
        <w:tc>
          <w:tcPr>
            <w:tcW w:w="3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2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13,378</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 gain from investment activities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 gain on disposition of assets, net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(loss) gain, net</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28"/>
        </w:trPr>
        <w:tc>
          <w:tcPr>
            <w:tcW w:w="2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10,815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2,398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217</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14,101</w:t>
            </w:r>
          </w:p>
        </w:tc>
        <w:tc>
          <w:tcPr>
            <w:tcW w:w="0" w:type="dxa"/>
            <w:vAlign w:val="bottom"/>
          </w:tcPr>
          <w:p>
            <w:pPr>
              <w:spacing w:after="0"/>
              <w:rPr>
                <w:sz w:val="1"/>
                <w:szCs w:val="1"/>
                <w:color w:val="auto"/>
              </w:rPr>
            </w:pPr>
          </w:p>
        </w:tc>
      </w:tr>
      <w:tr>
        <w:trPr>
          <w:trHeight w:val="129"/>
        </w:trPr>
        <w:tc>
          <w:tcPr>
            <w:tcW w:w="24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9,811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186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11,689</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583</w:t>
            </w: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129"/>
        </w:trPr>
        <w:tc>
          <w:tcPr>
            <w:tcW w:w="2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10,079</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239</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14,092</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(Loss) income from continuing operations</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before income tax (expense) benefit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28"/>
        </w:trPr>
        <w:tc>
          <w:tcPr>
            <w:tcW w:w="24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596</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17"/>
        </w:trPr>
        <w:tc>
          <w:tcPr>
            <w:tcW w:w="2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Less: net (loss) income from continuing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operations attributable to non-controlling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 continuing operations</w:t>
            </w:r>
          </w:p>
        </w:tc>
        <w:tc>
          <w:tcPr>
            <w:tcW w:w="3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60" w:type="dxa"/>
            <w:vAlign w:val="bottom"/>
            <w:shd w:val="clear" w:color="auto" w:fill="CCEEFF"/>
          </w:tcPr>
          <w:p>
            <w:pPr>
              <w:spacing w:after="0"/>
              <w:rPr>
                <w:sz w:val="8"/>
                <w:szCs w:val="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6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attributable to Icahn Enterprises</w:t>
            </w:r>
          </w:p>
        </w:tc>
        <w:tc>
          <w:tcPr>
            <w:tcW w:w="34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information:</w:t>
            </w: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3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3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3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64"/>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40" w:type="dxa"/>
            <w:vAlign w:val="bottom"/>
          </w:tcPr>
          <w:p>
            <w:pPr>
              <w:spacing w:after="0"/>
              <w:rPr>
                <w:sz w:val="9"/>
                <w:szCs w:val="9"/>
                <w:color w:val="auto"/>
              </w:rPr>
            </w:pPr>
          </w:p>
        </w:tc>
        <w:tc>
          <w:tcPr>
            <w:tcW w:w="3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83"/>
              </w:rPr>
              <w:t>Energy</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Metals</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3"/>
              </w:rPr>
              <w:t>Mining</w:t>
            </w:r>
          </w:p>
        </w:tc>
        <w:tc>
          <w:tcPr>
            <w:tcW w:w="1420" w:type="dxa"/>
            <w:vAlign w:val="bottom"/>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w w:val="96"/>
              </w:rPr>
              <w:t>Company Consolidated</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ind w:left="220"/>
              <w:spacing w:after="0" w:line="115" w:lineRule="exact"/>
              <w:rPr>
                <w:sz w:val="20"/>
                <w:szCs w:val="20"/>
                <w:color w:val="auto"/>
              </w:rPr>
            </w:pPr>
            <w:r>
              <w:rPr>
                <w:rFonts w:ascii="Times New Roman" w:cs="Times New Roman" w:eastAsia="Times New Roman" w:hAnsi="Times New Roman"/>
                <w:sz w:val="13"/>
                <w:szCs w:val="13"/>
                <w:color w:val="auto"/>
              </w:rPr>
              <w:t>(in</w:t>
            </w:r>
          </w:p>
        </w:tc>
        <w:tc>
          <w:tcPr>
            <w:tcW w:w="44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w w:val="89"/>
              </w:rPr>
              <w:t>millions)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3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7,242</w:t>
            </w:r>
          </w:p>
        </w:tc>
        <w:tc>
          <w:tcPr>
            <w:tcW w:w="3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1,789</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416</w:t>
            </w:r>
          </w:p>
        </w:tc>
        <w:tc>
          <w:tcPr>
            <w:tcW w:w="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3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2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10,304</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117"/>
        </w:trPr>
        <w:tc>
          <w:tcPr>
            <w:tcW w:w="210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Net gain (loss) from investment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activities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17"/>
        </w:trPr>
        <w:tc>
          <w:tcPr>
            <w:tcW w:w="210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(Loss) gain on disposition of assets,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28"/>
        </w:trPr>
        <w:tc>
          <w:tcPr>
            <w:tcW w:w="2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7,327</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2,370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684</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11,338</w:t>
            </w:r>
          </w:p>
        </w:tc>
        <w:tc>
          <w:tcPr>
            <w:tcW w:w="0" w:type="dxa"/>
            <w:vAlign w:val="bottom"/>
          </w:tcPr>
          <w:p>
            <w:pPr>
              <w:spacing w:after="0"/>
              <w:rPr>
                <w:sz w:val="1"/>
                <w:szCs w:val="1"/>
                <w:color w:val="auto"/>
              </w:rPr>
            </w:pPr>
          </w:p>
        </w:tc>
      </w:tr>
      <w:tr>
        <w:trPr>
          <w:trHeight w:val="128"/>
        </w:trPr>
        <w:tc>
          <w:tcPr>
            <w:tcW w:w="2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7,069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9,485</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1,238</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0" w:type="dxa"/>
            <w:vAlign w:val="bottom"/>
          </w:tcPr>
          <w:p>
            <w:pPr>
              <w:spacing w:after="0"/>
              <w:rPr>
                <w:sz w:val="1"/>
                <w:szCs w:val="1"/>
                <w:color w:val="auto"/>
              </w:rPr>
            </w:pPr>
          </w:p>
        </w:tc>
      </w:tr>
      <w:tr>
        <w:trPr>
          <w:trHeight w:val="128"/>
        </w:trPr>
        <w:tc>
          <w:tcPr>
            <w:tcW w:w="2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7,325</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2,702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104</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207</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358</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11,916</w:t>
            </w:r>
          </w:p>
        </w:tc>
        <w:tc>
          <w:tcPr>
            <w:tcW w:w="0" w:type="dxa"/>
            <w:vAlign w:val="bottom"/>
          </w:tcPr>
          <w:p>
            <w:pPr>
              <w:spacing w:after="0"/>
              <w:rPr>
                <w:sz w:val="1"/>
                <w:szCs w:val="1"/>
                <w:color w:val="auto"/>
              </w:rPr>
            </w:pPr>
          </w:p>
        </w:tc>
      </w:tr>
      <w:tr>
        <w:trPr>
          <w:trHeight w:val="97"/>
        </w:trPr>
        <w:tc>
          <w:tcPr>
            <w:tcW w:w="21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(Loss) income from continuing</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operations before income tax benefit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97"/>
        </w:trPr>
        <w:tc>
          <w:tcPr>
            <w:tcW w:w="210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 continuing</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17"/>
        </w:trPr>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Less: net (loss) income from continuing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operations attributable to non-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controlling interests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97"/>
        </w:trPr>
        <w:tc>
          <w:tcPr>
            <w:tcW w:w="21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 continuing</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operations attributable to Icahn</w:t>
            </w:r>
          </w:p>
        </w:tc>
        <w:tc>
          <w:tcPr>
            <w:tcW w:w="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0" w:type="dxa"/>
            <w:vAlign w:val="bottom"/>
          </w:tcPr>
          <w:p>
            <w:pPr>
              <w:spacing w:after="0"/>
              <w:rPr>
                <w:sz w:val="1"/>
                <w:szCs w:val="1"/>
                <w:color w:val="auto"/>
              </w:rPr>
            </w:pPr>
          </w:p>
        </w:tc>
      </w:tr>
      <w:tr>
        <w:trPr>
          <w:trHeight w:val="140"/>
        </w:trPr>
        <w:tc>
          <w:tcPr>
            <w:tcW w:w="21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Enterprises</w:t>
            </w:r>
          </w:p>
        </w:tc>
        <w:tc>
          <w:tcPr>
            <w:tcW w:w="32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information:</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3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3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64"/>
        </w:trPr>
        <w:tc>
          <w:tcPr>
            <w:tcW w:w="2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48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5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74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5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7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Packaging</w:t>
            </w:r>
          </w:p>
        </w:tc>
        <w:tc>
          <w:tcPr>
            <w:tcW w:w="4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Estate</w:t>
            </w:r>
          </w:p>
        </w:tc>
        <w:tc>
          <w:tcPr>
            <w:tcW w:w="5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Fashion</w:t>
            </w:r>
          </w:p>
        </w:tc>
        <w:tc>
          <w:tcPr>
            <w:tcW w:w="5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Pharma</w:t>
            </w:r>
          </w:p>
        </w:tc>
        <w:tc>
          <w:tcPr>
            <w:tcW w:w="5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Metals</w:t>
            </w:r>
          </w:p>
        </w:tc>
        <w:tc>
          <w:tcPr>
            <w:tcW w:w="5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Mining</w:t>
            </w:r>
          </w:p>
        </w:tc>
        <w:tc>
          <w:tcPr>
            <w:tcW w:w="6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82"/>
              </w:rPr>
              <w:t>(in</w:t>
            </w:r>
          </w:p>
        </w:tc>
        <w:tc>
          <w:tcPr>
            <w:tcW w:w="440" w:type="dxa"/>
            <w:vAlign w:val="bottom"/>
            <w:tcBorders>
              <w:top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w w:val="89"/>
              </w:rPr>
              <w:t>millions)</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3,930</w:t>
            </w:r>
          </w:p>
        </w:tc>
        <w:tc>
          <w:tcPr>
            <w:tcW w:w="14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1,929</w:t>
            </w:r>
          </w:p>
        </w:tc>
        <w:tc>
          <w:tcPr>
            <w:tcW w:w="12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tcPr>
          <w:p>
            <w:pPr>
              <w:spacing w:after="0"/>
              <w:rPr>
                <w:sz w:val="11"/>
                <w:szCs w:val="11"/>
                <w:color w:val="auto"/>
              </w:rPr>
            </w:pPr>
          </w:p>
        </w:tc>
        <w:tc>
          <w:tcPr>
            <w:tcW w:w="1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6,815</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608</w:t>
            </w:r>
          </w:p>
        </w:tc>
        <w:tc>
          <w:tcPr>
            <w:tcW w:w="0" w:type="dxa"/>
            <w:vAlign w:val="bottom"/>
          </w:tcPr>
          <w:p>
            <w:pPr>
              <w:spacing w:after="0"/>
              <w:rPr>
                <w:sz w:val="1"/>
                <w:szCs w:val="1"/>
                <w:color w:val="auto"/>
              </w:rPr>
            </w:pPr>
          </w:p>
        </w:tc>
      </w:tr>
      <w:tr>
        <w:trPr>
          <w:trHeight w:val="117"/>
        </w:trPr>
        <w:tc>
          <w:tcPr>
            <w:tcW w:w="21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Net loss (gain) from investment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activities</w:t>
            </w:r>
          </w:p>
        </w:tc>
        <w:tc>
          <w:tcPr>
            <w:tcW w:w="1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(87)</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17"/>
        </w:trPr>
        <w:tc>
          <w:tcPr>
            <w:tcW w:w="21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Loss (gain) on disposition of assets,</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w:t>
            </w: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28"/>
        </w:trPr>
        <w:tc>
          <w:tcPr>
            <w:tcW w:w="2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(1,249)</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3,966</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2,465</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403</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6,123</w:t>
            </w:r>
          </w:p>
        </w:tc>
        <w:tc>
          <w:tcPr>
            <w:tcW w:w="0" w:type="dxa"/>
            <w:vAlign w:val="bottom"/>
          </w:tcPr>
          <w:p>
            <w:pPr>
              <w:spacing w:after="0"/>
              <w:rPr>
                <w:sz w:val="1"/>
                <w:szCs w:val="1"/>
                <w:color w:val="auto"/>
              </w:rPr>
            </w:pPr>
          </w:p>
        </w:tc>
      </w:tr>
      <w:tr>
        <w:trPr>
          <w:trHeight w:val="128"/>
        </w:trPr>
        <w:tc>
          <w:tcPr>
            <w:tcW w:w="2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4,164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6,320</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35"/>
        </w:trPr>
        <w:tc>
          <w:tcPr>
            <w:tcW w:w="2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1,191</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2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688</w:t>
            </w:r>
          </w:p>
        </w:tc>
        <w:tc>
          <w:tcPr>
            <w:tcW w:w="0" w:type="dxa"/>
            <w:vAlign w:val="bottom"/>
          </w:tcPr>
          <w:p>
            <w:pPr>
              <w:spacing w:after="0"/>
              <w:rPr>
                <w:sz w:val="1"/>
                <w:szCs w:val="1"/>
                <w:color w:val="auto"/>
              </w:rPr>
            </w:pPr>
          </w:p>
        </w:tc>
      </w:tr>
      <w:tr>
        <w:trPr>
          <w:trHeight w:val="128"/>
        </w:trPr>
        <w:tc>
          <w:tcPr>
            <w:tcW w:w="2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4,405</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2,717</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391</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114</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364</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8,707</w:t>
            </w:r>
          </w:p>
        </w:tc>
        <w:tc>
          <w:tcPr>
            <w:tcW w:w="0" w:type="dxa"/>
            <w:vAlign w:val="bottom"/>
          </w:tcPr>
          <w:p>
            <w:pPr>
              <w:spacing w:after="0"/>
              <w:rPr>
                <w:sz w:val="1"/>
                <w:szCs w:val="1"/>
                <w:color w:val="auto"/>
              </w:rPr>
            </w:pPr>
          </w:p>
        </w:tc>
      </w:tr>
      <w:tr>
        <w:trPr>
          <w:trHeight w:val="97"/>
        </w:trPr>
        <w:tc>
          <w:tcPr>
            <w:tcW w:w="210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(Loss) income from continuing</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operations before income tax benefit</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(expense)</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(439)</w:t>
            </w: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(434)</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38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97"/>
        </w:trPr>
        <w:tc>
          <w:tcPr>
            <w:tcW w:w="210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Net (loss) income from continuing</w:t>
            </w: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(327)</w:t>
            </w: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(476)</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17"/>
        </w:trPr>
        <w:tc>
          <w:tcPr>
            <w:tcW w:w="21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from</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continuing operations attributable to</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(133)</w:t>
            </w:r>
          </w:p>
        </w:tc>
        <w:tc>
          <w:tcPr>
            <w:tcW w:w="1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0" w:type="dxa"/>
            <w:vAlign w:val="bottom"/>
          </w:tcPr>
          <w:p>
            <w:pPr>
              <w:spacing w:after="0"/>
              <w:rPr>
                <w:sz w:val="1"/>
                <w:szCs w:val="1"/>
                <w:color w:val="auto"/>
              </w:rPr>
            </w:pPr>
          </w:p>
        </w:tc>
      </w:tr>
      <w:tr>
        <w:trPr>
          <w:trHeight w:val="97"/>
        </w:trPr>
        <w:tc>
          <w:tcPr>
            <w:tcW w:w="210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Net (loss) income from continuing</w:t>
            </w: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operations attributable to Icahn</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(194)</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(476)</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0" w:type="dxa"/>
            <w:vAlign w:val="bottom"/>
          </w:tcPr>
          <w:p>
            <w:pPr>
              <w:spacing w:after="0"/>
              <w:rPr>
                <w:sz w:val="1"/>
                <w:szCs w:val="1"/>
                <w:color w:val="auto"/>
              </w:rPr>
            </w:pPr>
          </w:p>
        </w:tc>
      </w:tr>
      <w:tr>
        <w:trPr>
          <w:trHeight w:val="140"/>
        </w:trPr>
        <w:tc>
          <w:tcPr>
            <w:tcW w:w="21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Enterprises</w:t>
            </w:r>
          </w:p>
        </w:tc>
        <w:tc>
          <w:tcPr>
            <w:tcW w:w="16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64"/>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our Energy and Automotive segments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4"/>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Petroleum products</w:t>
            </w:r>
          </w:p>
        </w:tc>
        <w:tc>
          <w:tcPr>
            <w:tcW w:w="2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4"/>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services</w:t>
            </w:r>
          </w:p>
        </w:tc>
        <w:tc>
          <w:tcPr>
            <w:tcW w:w="2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Aftermarket parts sales</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30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8"/>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4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7"/>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restricted cash</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8,041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2,532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213</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1,916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27,914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3"/>
                <w:szCs w:val="13"/>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5,309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8,084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3,414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5,379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18,356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9,150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459</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(3,463)</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17,234</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4,735</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2,532</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213</w:t>
            </w:r>
          </w:p>
        </w:tc>
        <w:tc>
          <w:tcPr>
            <w:tcW w:w="1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1,916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w w:val="97"/>
              </w:rPr>
              <w:t>Home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Fashion</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Metals</w:t>
            </w:r>
          </w:p>
        </w:tc>
        <w:tc>
          <w:tcPr>
            <w:tcW w:w="8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right"/>
              <w:ind w:right="177"/>
              <w:spacing w:after="0" w:line="115" w:lineRule="exact"/>
              <w:rPr>
                <w:sz w:val="20"/>
                <w:szCs w:val="20"/>
                <w:color w:val="auto"/>
              </w:rPr>
            </w:pPr>
            <w:r>
              <w:rPr>
                <w:rFonts w:ascii="Times New Roman" w:cs="Times New Roman" w:eastAsia="Times New Roman" w:hAnsi="Times New Roman"/>
                <w:sz w:val="13"/>
                <w:szCs w:val="13"/>
                <w:color w:val="auto"/>
              </w:rPr>
              <w:t>(in millions)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88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0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260" w:type="dxa"/>
            <w:vAlign w:val="bottom"/>
            <w:gridSpan w:val="2"/>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4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tcPr>
          <w:p>
            <w:pPr>
              <w:jc w:val="right"/>
              <w:ind w:right="64"/>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1,707</w:t>
            </w:r>
          </w:p>
        </w:tc>
        <w:tc>
          <w:tcPr>
            <w:tcW w:w="60" w:type="dxa"/>
            <w:vAlign w:val="bottom"/>
          </w:tcPr>
          <w:p>
            <w:pPr>
              <w:spacing w:after="0"/>
              <w:rPr>
                <w:sz w:val="11"/>
                <w:szCs w:val="11"/>
                <w:color w:val="auto"/>
              </w:rPr>
            </w:pPr>
          </w:p>
        </w:tc>
        <w:tc>
          <w:tcPr>
            <w:tcW w:w="220" w:type="dxa"/>
            <w:vAlign w:val="bottom"/>
            <w:gridSpan w:val="2"/>
          </w:tcPr>
          <w:p>
            <w:pPr>
              <w:jc w:val="right"/>
              <w:ind w:right="84"/>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partnerships and restricted cash</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6,156</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17,135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4,587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2,582</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458</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27,746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shd w:val="clear" w:color="auto" w:fill="CCEEFF"/>
          </w:tcPr>
          <w:p>
            <w:pPr>
              <w:ind w:left="30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2,405</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4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0" w:type="dxa"/>
            <w:vAlign w:val="bottom"/>
          </w:tcPr>
          <w:p>
            <w:pPr>
              <w:spacing w:after="0"/>
              <w:rPr>
                <w:sz w:val="13"/>
                <w:szCs w:val="13"/>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Securities sold, not yet purchased, at fair</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value</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1,660</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5,810</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7,692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7,745</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3,239</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5,900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18,403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(3,994)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Equity attributable to non-controlling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9,390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1,575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157</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(3,994)</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9,343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17,135</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4,587</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458</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243</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1,906</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consolidated geographic net sales from external customers, other revenues from operations and property, plant and equipment, net for the periods indicated: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Property, Plant and</w:t>
            </w:r>
          </w:p>
        </w:tc>
      </w:tr>
      <w:tr>
        <w:trPr>
          <w:trHeight w:val="238"/>
        </w:trPr>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Revenues From Operations</w:t>
            </w:r>
          </w:p>
        </w:tc>
        <w:tc>
          <w:tcPr>
            <w:tcW w:w="140" w:type="dxa"/>
            <w:vAlign w:val="bottom"/>
          </w:tcPr>
          <w:p>
            <w:pPr>
              <w:spacing w:after="0"/>
              <w:rPr>
                <w:sz w:val="20"/>
                <w:szCs w:val="20"/>
                <w:color w:val="auto"/>
              </w:rPr>
            </w:pPr>
          </w:p>
        </w:tc>
        <w:tc>
          <w:tcPr>
            <w:tcW w:w="14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Equipment, Net</w:t>
            </w:r>
          </w:p>
        </w:tc>
      </w:tr>
      <w:tr>
        <w:trPr>
          <w:trHeight w:val="210"/>
        </w:trPr>
        <w:tc>
          <w:tcPr>
            <w:tcW w:w="1940" w:type="dxa"/>
            <w:vAlign w:val="bottom"/>
          </w:tcPr>
          <w:p>
            <w:pPr>
              <w:spacing w:after="0"/>
              <w:rPr>
                <w:sz w:val="18"/>
                <w:szCs w:val="18"/>
                <w:color w:val="auto"/>
              </w:rPr>
            </w:pPr>
          </w:p>
        </w:tc>
        <w:tc>
          <w:tcPr>
            <w:tcW w:w="2340" w:type="dxa"/>
            <w:vAlign w:val="bottom"/>
            <w:tcBorders>
              <w:top w:val="single" w:sz="8" w:color="auto"/>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194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96"/>
        </w:trPr>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$ 12,988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$ 6,462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1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1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$ 13,378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$ 6,815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0"/>
        </w:trPr>
        <w:tc>
          <w:tcPr>
            <w:tcW w:w="1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Geographic locations for net sales and other revenues from operations are based on locations of the customers and geographic locations for property, plant, and equipment are based on the locations of the assets.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difference between the book basis and the tax basis of our net assets, not directly subject to income taxes, is as follows:</w:t>
      </w:r>
    </w:p>
    <w:p>
      <w:pPr>
        <w:spacing w:after="0" w:line="17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19685</wp:posOffset>
            </wp:positionV>
            <wp:extent cx="11830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14605</wp:posOffset>
            </wp:positionV>
            <wp:extent cx="11830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 w:lineRule="exact"/>
        <w:rPr>
          <w:sz w:val="20"/>
          <w:szCs w:val="20"/>
          <w:color w:val="auto"/>
        </w:rPr>
      </w:pPr>
    </w:p>
    <w:p>
      <w:pPr>
        <w:jc w:val="both"/>
        <w:ind w:left="7320"/>
        <w:spacing w:after="0"/>
        <w:tabs>
          <w:tab w:leader="none" w:pos="83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14605</wp:posOffset>
            </wp:positionV>
            <wp:extent cx="11830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basis of net assets</w:t>
            </w:r>
          </w:p>
        </w:tc>
        <w:tc>
          <w:tcPr>
            <w:tcW w:w="27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Book/tax basis difference</w:t>
            </w:r>
          </w:p>
        </w:tc>
        <w:tc>
          <w:tcPr>
            <w:tcW w:w="2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basis of net assets</w:t>
            </w:r>
          </w:p>
        </w:tc>
        <w:tc>
          <w:tcPr>
            <w:tcW w:w="2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0"/>
        </w:trPr>
        <w:tc>
          <w:tcPr>
            <w:tcW w:w="4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benefit (expense)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70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benefit (expense) attributable to continuing operations is as follows: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96"/>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6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benefit (expense) calculated at the federal statutory rate to income tax benefit (expense) on continuing operations as shown in the consolidated statements of operations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U.S. statutory rate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from: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rate changes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received</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not subject to taxation</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72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operating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credits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in U.S. subsidiaries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619" w:firstLine="324"/>
        <w:spacing w:after="0" w:line="266" w:lineRule="auto"/>
        <w:rPr>
          <w:sz w:val="20"/>
          <w:szCs w:val="20"/>
          <w:color w:val="auto"/>
        </w:rPr>
      </w:pPr>
      <w:r>
        <w:rPr>
          <w:rFonts w:ascii="Times New Roman" w:cs="Times New Roman" w:eastAsia="Times New Roman" w:hAnsi="Times New Roman"/>
          <w:sz w:val="18"/>
          <w:szCs w:val="18"/>
          <w:color w:val="auto"/>
        </w:rPr>
        <w:t>We recorded deferred tax assets and deferred tax liabilities of $109 million and $339 million, respectively, as of December 31, 2022 and $9 million and $390 million, respectively, as of December 31, 2021. Deferred tax assets are included in other assets in our consolidated balance sheets.</w:t>
      </w:r>
    </w:p>
    <w:p>
      <w:pPr>
        <w:spacing w:after="0" w:line="1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2022 we had a valuation allowance of approximately $866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2022, the valuation allowance on deferred tax assets decreased by $105 million. The decrease was primarily attributable to utilization of capital loss carryforwards and changes in state net operating loss carryforwards.</w:t>
      </w:r>
    </w:p>
    <w:p>
      <w:pPr>
        <w:spacing w:after="0" w:line="192" w:lineRule="exact"/>
        <w:rPr>
          <w:sz w:val="20"/>
          <w:szCs w:val="20"/>
          <w:color w:val="auto"/>
        </w:rPr>
      </w:pPr>
    </w:p>
    <w:p>
      <w:pPr>
        <w:jc w:val="both"/>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On December 11, 2020, we acquired all of the outstanding stock of Vivus upon its emergence from bankruptcy. On July 15, 2021, we contributed the stock of Vivus, Inc. to American Entertainment Properties Corp (“AEPC”), a wholly owned subsidiary, in a tax-free transaction. Immediately after the contribution, Vivus, Inc. converted into an LLC and became a disregarded entity of AEPC.</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American Entertainment Properties Corp. (“AEPC”), a wholly-owned corporate subsidiary of Icahn Enterprises, which includes all or parts of our Automotive, Food Packaging, Pharma, Home Fashion and Real Estate segments had U.S. federal net operating loss carryforwards of approximately $3.0 billion with expiration 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from 2024 through unlimited carryforward periods. Additionally, AEPC and its corporate subsidiaries had foreign net operating loss carryforwards of $22 million with an unlimited carryforward period.</w:t>
      </w:r>
    </w:p>
    <w:p>
      <w:pPr>
        <w:spacing w:after="0" w:line="16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CVR Energy had state income tax credits of $9 million, which are available to reduce future state income taxes. These credits have an indefinite carryforward period.</w:t>
      </w:r>
    </w:p>
    <w:p>
      <w:pPr>
        <w:spacing w:after="0" w:line="16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On October 9, 2020, Viskase completed an equity private placement whereby AEPC ownership increased from approximately 79% to 89%. As a result of greater than 80% ownership, Viskase became a member of the consolidated federal tax group of AEPC and party to a tax allocation agreement with AEPC. The tax allocation agreement provides, among other things, that AEPC will pay all consolidated federal income taxes on behalf of the consolidated tax group and Viskase is required to make payments to AEPC in an amount equal to the tax liability, if any, that it would have paid if it were to file a separate company return.</w:t>
      </w:r>
    </w:p>
    <w:p>
      <w:pPr>
        <w:spacing w:after="0" w:line="18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have not provided taxes on approximately $72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summary of the changes in the gross amounts of unrecognized tax benefits for the years ended December 31, 2022, 2021 and 2020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60" w:type="dxa"/>
            <w:vAlign w:val="bottom"/>
            <w:tcBorders>
              <w:bottom w:val="single" w:sz="8" w:color="auto"/>
            </w:tcBorders>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96"/>
        </w:trPr>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74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 based on tax positions related to the current year</w:t>
            </w:r>
          </w:p>
        </w:tc>
        <w:tc>
          <w:tcPr>
            <w:tcW w:w="74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for tax positions of prior years</w:t>
            </w:r>
          </w:p>
        </w:tc>
        <w:tc>
          <w:tcPr>
            <w:tcW w:w="74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for statute of limitation expiration</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7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At December 31, 2022, 2021 and 2020, we had unrecognized tax benefits of $27 million, $33 million and $35 million, respectively. Of these totals, $25 million, $29 million and $31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164"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During the next 12 months, we believe that it is reasonably possible that unrecognized tax benefits may decrease by approximately $17 million due to statute expirations.</w:t>
      </w:r>
    </w:p>
    <w:p>
      <w:pPr>
        <w:spacing w:after="0" w:line="16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We recognize interest and penalties accrued related to unrecognized tax benefits as a component of income tax expense. We recorded $6 million, $5 million and $3 million as of December 31, 2022, 2021 and 2020, respectively, in liabilities for tax related net interest and penalties in our consolidated balance sheets. Income tax expense (benefit) related to interest and penalties were $2 million, $2 million and $2 million for the years December 31, 2022, 2021 and 2020, respectively. We or certain of our subsidiaries file income tax returns in the U.S. federal jurisdiction, various state jurisdictions and various non-U.S. jurisdictions. We and our subsidiaries are no longer subject to U.S. federal tax examinations for years before 2018 or state and local examinations for years before 2017, with limited exceptions.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Internal Revenue Service (“IRS”) has concluded its examination of the AEPC group’s income tax returns for the years ended December 31, 2018 and 2017. No significant issues or changes were made pursuant to the examination.</w:t>
      </w:r>
    </w:p>
    <w:p>
      <w:pPr>
        <w:spacing w:after="0" w:line="158" w:lineRule="exact"/>
        <w:rPr>
          <w:sz w:val="20"/>
          <w:szCs w:val="20"/>
          <w:color w:val="auto"/>
        </w:rPr>
      </w:pPr>
    </w:p>
    <w:p>
      <w:pPr>
        <w:ind w:left="360" w:hanging="310"/>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Benefits 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Other, Net of Tax</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top w:val="single" w:sz="8" w:color="auto"/>
            </w:tcBorders>
            <w:gridSpan w:val="3"/>
          </w:tcPr>
          <w:p>
            <w:pPr>
              <w:ind w:left="26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4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Reclassifications from accumulated other comprehensive loss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earnings, net of tax</w:t>
            </w:r>
          </w:p>
        </w:tc>
        <w:tc>
          <w:tcPr>
            <w:tcW w:w="16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16. Other Loss, Net</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top w:val="single" w:sz="8" w:color="auto"/>
            </w:tcBorders>
            <w:gridSpan w:val="5"/>
          </w:tcPr>
          <w:p>
            <w:pPr>
              <w:jc w:val="right"/>
              <w:ind w:right="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expense</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 loss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human health and the environment, particularly regarding plant wastes and emissions and solid waste disposal. Our consolidated environmental liabilities on an undiscounted basis were $22 million and $13 million as of December 31, 2022 and 2021, respectively, primarily within our Energy segment, which are included in accrued expenses and other liabilities in our consolidated balance sheets. We do not believe that environmental matters will have a material adverse impact on our consolidated results of operations and financial condition.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CVR Energy’s indirect wholly-owned subsidiary, Coffeyville Resource Refining &amp; Marketing, LLC (“CRRM”) is party to proceedings relating to claims by United States Department of Justice (the “DOJ”) on behalf of the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79"/>
        <w:spacing w:after="0" w:line="247" w:lineRule="auto"/>
        <w:rPr>
          <w:sz w:val="20"/>
          <w:szCs w:val="20"/>
          <w:color w:val="auto"/>
        </w:rPr>
      </w:pPr>
      <w:r>
        <w:rPr>
          <w:rFonts w:ascii="Times New Roman" w:cs="Times New Roman" w:eastAsia="Times New Roman" w:hAnsi="Times New Roman"/>
          <w:sz w:val="18"/>
          <w:szCs w:val="18"/>
          <w:color w:val="auto"/>
        </w:rPr>
        <w:t>Environmental Protection Agency (the “EPA”) and the State of Kansas, acting by and through Kansas Department of Health and Environment (“KDHE”) a 2012 Consent Decree (“CD”) between CRRM, the United States (on behalf of the EPA) and KDHE at its Coffeyville refinery primarily relating to flares and seeking stipulated penalties under the CD of $6.8 million (the “Stipulated Claims”), which amount CRRM previously deposited into a commercial escrow account, which escrowed funds are legally restricted for use and are included in other assets in our condensed consolidated balance sheets. After the United States District Court for the District of Kansas (“D. Kan.”) denied CRRM’s petition for judicial review of the Stipulated Claims, CRRM appealed the D. Kan order to the United States Court of Appeals for the Tenth Circuit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which appeal was stayed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but remains pending. CRRM is also party to proceedings brought by the DOJ, on behalf of the EPA, and KDHE in the D. Kan alleging violations of the CAA, CRRM’s Title V permit, the Kansas State Implementation Plan, Kansas law, Part 63 of the National Emission Standards for Hazardous Air Pollutants from Petroleum Refineries Subparts CC and R (“NESHAP”) and Coffeyville Resources Refining and Marketing, LLC’s permits relating to flares, heaters, and related matters and seeking civil penalties, injunctive and related relief under an amended complaint filed by the United States (on behalf of the EPA) and KDHE on February 17, 2022 (collectively, the “Statutory Claims”). Motion practice in the lawsuit filed in the D. Kan by the United States (on behalf of the EPA) and KDHE, which complaint was amended on February 17, 2022 (the “Amended Complaint”), is ongoing. In October 2022, the D. Kan granted CRRM’s motion to dismiss KDHE’s request for penalties under Kansas law but denied its motion to dismiss all other Statutory Claims. The D. Kan. subsequently held a scheduling conference in December 2022 and entered a scheduling order in January 2023. Under that schedule, the case will proceed through discovery in 2023 and 2024. The court will schedule a trial in the case at a later date. In January 2023, the United States (on behalf of the EPA) and the State of Kansas, through KDHE, amended their complaint before the D. Kan. in connection with their allegations that CRRM violated the CAA, the Kansas State Implementation Plan, Kansas law, 40 C.F.R. Part 63 and CRRM’s permits relating to flares, heaters, and related matters and seeking civil penalties, injunctive and related relief (collectively, the “Statutory Claims”), adding certain claims including relating to an alleged failure to comply with certain emissions reporting requirements for 2016. Negotiations and proceedings remain ongoing relating to the Statutory Claims, and also relating to the Stipulated Claims being sought by the United States (on behalf of the EPA) and the State of Kansas (through KDHE) in connection with their allegations that CRRM violated the CAA and a 2012 Consent Decree between CRRM, the United States (on behalf of the EPA) and KDHE, following CRRM’s appeal to the United States Court of Appeals for the Tenth Circuit of the denial by D. Kan. of CRRM’s petition for judicial review of the Stipulated Claims. As negotiations and proceedings relating to the Stipulated Claims and the Statutory Claims are ongoing,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21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our Energy segment had environmental accruals of $22 million and $12 million, respectively, representing estimated costs for future remediation efforts at certain sites.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Renewable Fuel Standard</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CVR Energy’s obligated-party subsidiaries are subject to the Renewable Fuel Standard (“RFS”) implemented primarily by the EPA which requires refiners to either blend renewable fuels into their transportation fuels or purchase renewable fuel credits, known as RINs, in lieu of blending. CVR Energy’s obligated subsidiaries are not able to blend the substantial majority of its transportation fuels and, unless their obligations are waived by the EPA, has to purchase RINs on the open market and may have to obtain waiver credits for cellulosic biofuels or other exemptions from the EPA, to the extent available, in order to comply with the RFS. CVR Energy’s obligated-party subsidiaries have filed a number of petitions in the United States Court of Appeals for the Fifth Circuit (the “Fifth Circuit”) and the United States Court of Appeals for the District of Colombia Circuit (the “DC Circuit”) challenging the EPA’s April 2022 and June 2022 alternate compliance rulings and the EPA’s Final Rule filed in July 2022 establishing renewal volume obligation (“RVO”), and, with respect to Wynnewood Refining Company, LLC (“WRC”), challenging EPA’s denial of small refinery exemptions (“SREs”) sought by WRC for the 2017 through 2021 compliance periods, also intervened in an action filed by certain biofuels producers relating to the RFS. In late 2022, the Fifth Circuit denied the EPA’s motions to stay the SRE Denial Lawsuits. In February 2023, WRC filed a motion in the Fifth Circuit seeking a stay of enforcement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of the RFS against WRC pending resolution for the denial of SREs lawsuits. As each of these proceedings is in its earliest stages, we cannot currently estimate the outcome, impact or timing of resolution of these matters. However, while CVR Energy intends to prosecute these actions vigorously, if these matters are ultimately concluded in a manner adverse to CVR Energy, they could have a material effect on our Energy business’ financial position, results of operations, or cash flows.</w:t>
      </w:r>
    </w:p>
    <w:p>
      <w:pPr>
        <w:spacing w:after="0" w:line="164"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2022, 2021 and 2020, our Energy segment recognized an expense of $435 million, $435 million and $190 million, respectively, for CVR Energy’s obligated-party subsidiaries’ compliance with the RFS (based on our Energy segment’s revised 2020 and finalized 2021 and 2022 annual RVO and excluding the impacts of any exemptions or waivers to which our Energy segment may be entitled). These recognized amounts are included in cost of goods sold in our consolidated statements of operations and represent costs to comply with the RFS obligation through purchasing of RINs not otherwise reduced by blending of ethanol and biodiesel. At each reporting period, to the extent RINs purchased or generated through blending are less than the RFS obligation (excluding the impact of exemptions or waivers to which our Energy segment may be entitled), the remaining position is marked-to-market using RIN market prices at period end. As of December 31, 2022 and 2021, the RFS position for CVR Energy’s obligated-party subsidiaries was $692 million and $494 million, respectively, which is included in accrued expenses and other liabilities in our consolidated balance sheets.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Call Option Lawsuits </w:t>
      </w:r>
      <w:r>
        <w:rPr>
          <w:rFonts w:ascii="Times New Roman" w:cs="Times New Roman" w:eastAsia="Times New Roman" w:hAnsi="Times New Roman"/>
          <w:sz w:val="18"/>
          <w:szCs w:val="18"/>
          <w:color w:val="auto"/>
        </w:rPr>
        <w:t>–In December 2022, the Delaware Court of Chancery (the “Chancery Court”) approved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the consolidated lawsuits (collectively, the “Call Option Lawsuits”) filed by purported former unitholders of CVR Refining, LP on behalf of themselves and an alleged class of similarly situated unitholders against CVR Energy and certain of its affiliates (the “Call Defendants”) relating to CVR Energy’s exercise of the call option under the CVR Refining, LP Amended and Restated Agreement of Limited Partnership assigned to it by CVR Refining’s LP’s general partner including the Stipulation, Compromise and Release (the “Settlement”) entered into by the parties on August 19, 2022. The Settlement of the Call Option Lawsuits had no further impact on our Energy business’ financial position or results of operations beyond the $79 million recognized within Other loss, net for the year ended December 31, 2022 to reflect the estimated probable loss.</w:t>
      </w:r>
    </w:p>
    <w:p>
      <w:pPr>
        <w:spacing w:after="0" w:line="19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November 28, 2022, the 434th Judicial District Court of Fort Bend County, Texas granted summary judgment in favor of the primary and excess insurers (the “Insurers”) of the Call Defendants in the Insurers’ declaratory judgment action seeking determination that they owe no indemnity coverage for the Call Option Lawsuits in relation to insurance policies that have coverage limits of $50 million. The Company intends to appeal the grant of summary judgment while it concurrently pursues its claims against the Insurers it filed in October 2022 in the Superior Court of the State of Delaware (the “Superior Court”) alleging Breach of Contract and Breach of the Implied Covenant of Good Faith and Fair Dealing against their primary and excess insurers (the “Insurers”) relating to their denial of coverage of the Call Defendants’ defense expenses and indemnity, as well as other conduct of the Insurers relating to the Call Option Lawsuits. On January 3, 2023, the Superior Court granted the Call Defendants’ motion for leave to amend its complaint to seek recovery from the Insurers of all of the amounts paid in settlement of the Call Option Lawsuits. As both lawsuits are in their early stages, CVR Energy cannot determine at this time the outcome of these lawsuits, including whether the outcome would have a material impact on our Energy business’ financial position, results of operations, or cash flows.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22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85% of our outstanding depositary units as of December 31, 2022.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December 31, 2022. If the plans were voluntarily terminated, they would be underfunded by an aggregate of approximately $32 million as of December 31, 2022.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22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Unconditional purchase obligations are primarily within our Energy and Pharma segments. Our Energy segment’s unconditional purchase obligations relate to commitments for petroleum products storage and transportation, electricity supply agreements, product supply agreements, commitments related to CVR Energy’s biofuel blending obligation and various agreements for gas and gas transportation. Our Pharma segment’s unconditional purchase obligations relate to agreements to purchase goods or services from suppliers for the manufacture of its products. The minimum required payments for our Energy and Pharma segments’ unconditional purchase obligations are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Pharma</w:t>
            </w:r>
          </w:p>
        </w:tc>
      </w:tr>
      <w:tr>
        <w:trPr>
          <w:trHeight w:val="209"/>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CVR Energy is a party to various supply agreements which commit it to purchase minimum volumes of crude oil, hydrogen, oxygen, nitrogen, petroleum coke and natural gas to run its facilities’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Pension and Other Post-Retirement Benefit Plans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benefit plan costs and obligations are primarily within our Food Packaging segment. Pension plans and other post-retirement benefit plans for other segments are not material and are not included in our disclosures below.</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Components of net periodic benefit cost (credit) are as follows: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160" w:type="dxa"/>
            <w:vAlign w:val="bottom"/>
          </w:tcPr>
          <w:p>
            <w:pPr>
              <w:spacing w:after="0"/>
              <w:rPr>
                <w:sz w:val="24"/>
                <w:szCs w:val="24"/>
                <w:color w:val="auto"/>
              </w:rPr>
            </w:pPr>
          </w:p>
        </w:tc>
        <w:tc>
          <w:tcPr>
            <w:tcW w:w="276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U.S. and Non-U.S. Pension Benefits</w:t>
            </w:r>
          </w:p>
        </w:tc>
      </w:tr>
      <w:tr>
        <w:trPr>
          <w:trHeight w:val="210"/>
        </w:trPr>
        <w:tc>
          <w:tcPr>
            <w:tcW w:w="6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r>
      <w:tr>
        <w:trPr>
          <w:trHeight w:val="196"/>
        </w:trPr>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disclosures for Viskase’s benefit obligations, plan assets, funded status, and recognition in the consolidated balance sheets. As pension costs for Viskase are not material to our consolidated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right="999"/>
        <w:spacing w:after="0" w:line="282" w:lineRule="auto"/>
        <w:rPr>
          <w:sz w:val="20"/>
          <w:szCs w:val="20"/>
          <w:color w:val="auto"/>
        </w:rPr>
      </w:pPr>
      <w:r>
        <w:rPr>
          <w:rFonts w:ascii="Times New Roman" w:cs="Times New Roman" w:eastAsia="Times New Roman" w:hAnsi="Times New Roman"/>
          <w:sz w:val="18"/>
          <w:szCs w:val="18"/>
          <w:color w:val="auto"/>
        </w:rPr>
        <w:t>financial position and results of operations, we do not provide information regarding their inputs and valuation assumptions.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U.S. and Non-U.S. Pension Benefits</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Actuarial gain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78"/>
        </w:trPr>
        <w:tc>
          <w:tcPr>
            <w:tcW w:w="58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Funded status of the plan and amounts recognized in the consolidated balance</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sheets</w:t>
            </w:r>
          </w:p>
        </w:tc>
        <w:tc>
          <w:tcPr>
            <w:tcW w:w="114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 Measured at Fair Value on a Recurring Basis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Viskase’s defined benefit plan assets measured at fair value on a recurring basis: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9"/>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10"/>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and Non-U.S. Plans: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traded funds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consists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jc w:val="right"/>
              <w:ind w:right="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receipts for income taxes, net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dividends to non-controlling interests in subsidiary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Non-cash Investment segment contributions from non-controlling interests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Non-cash consideration for obtaining a controlling interest in subsidiary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the Board of Directors of the general partner of Icahn Enterprises declared a quarterly distribution in the amount of $2.00 per depositary unit, which will be paid on or about April 19, 2023 to depositary unitholders of record at the close of business on March 13, 2023. Depositary unitholders will have until April 6,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14, 2023. Icahn Enterprises will make a cash payment in lieu of issuing fractional depositary units to any unitholders electing to receive (or who are deemed to have elected to receive) depositary units.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 Plus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January of 2023, IEH Auto Parts Holding LLC and its subsidiaries (“Auto Plus”), an automotive parts distributor held within Icahn Automotive, filed voluntary petitions (the “Chapter 11 Cases”) in the United States Bankruptcy Court for the Southern District of Texas (the “Bankruptcy Court”) seeking relief under Chapter 11 of Title 11 of the United States Code. In the course of the Chapter 11 cases, Auto Plus will seek to sell substantially all of its assets pursuant to Section 363 of the Bankruptcy Code, with the proceeds of such sale used to satisfy obligations to its creditors, and to settle or discharge all of its obligations, in each case subject to approval by the Bankruptcy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176"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18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the Committee of Sponsoring Organizations of the Treadway Commission (“COSO”)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effectiveness of internal control over financial reporting.</w:t>
      </w:r>
    </w:p>
    <w:p>
      <w:pPr>
        <w:spacing w:after="0" w:line="180"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performed an assessment according to the guidelines established by COSO. Based on the assessment, management has concluded that our system of internal control over financial reporting, as of December 31, 2022, is effective.</w:t>
      </w:r>
    </w:p>
    <w:p>
      <w:pPr>
        <w:spacing w:after="0" w:line="176" w:lineRule="exact"/>
        <w:rPr>
          <w:sz w:val="20"/>
          <w:szCs w:val="20"/>
          <w:color w:val="auto"/>
        </w:rPr>
      </w:pPr>
    </w:p>
    <w:p>
      <w:pPr>
        <w:ind w:left="60" w:right="139" w:firstLine="324"/>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Grant Thornton LLP, our independent registered public accounting firm (PCAOB ID Number 248), has audited and issued their report on Icahn Enterprises’ internal control over financial reporting, which appears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2022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Partners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Icahn Enterprises L.P. (a Delaware limited partnership) and subsidiaries (the “Partnership”) as of December 31, 2022,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(“COSO”).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opinion, the Partnership maintained, in all material respects, effective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2022, and our report dated February 24, 2023 expressed an unqualified opinion on those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Basis </w:t>
      </w:r>
      <w:r>
        <w:rPr>
          <w:rFonts w:ascii="Times New Roman" w:cs="Times New Roman" w:eastAsia="Times New Roman" w:hAnsi="Times New Roman"/>
          <w:sz w:val="17"/>
          <w:szCs w:val="17"/>
          <w:b w:val="1"/>
          <w:bCs w:val="1"/>
          <w:color w:val="auto"/>
        </w:rPr>
        <w:t>for opinion</w:t>
      </w:r>
    </w:p>
    <w:p>
      <w:pPr>
        <w:spacing w:after="0" w:line="4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Definition </w:t>
      </w:r>
      <w:r>
        <w:rPr>
          <w:rFonts w:ascii="Times New Roman" w:cs="Times New Roman" w:eastAsia="Times New Roman" w:hAnsi="Times New Roman"/>
          <w:sz w:val="17"/>
          <w:szCs w:val="17"/>
          <w:b w:val="1"/>
          <w:bCs w:val="1"/>
          <w:color w:val="auto"/>
        </w:rPr>
        <w:t>and limitations of internal control over financial reporting</w:t>
      </w:r>
    </w:p>
    <w:p>
      <w:pPr>
        <w:spacing w:after="0" w:line="4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24,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names, offices held and ages of the directors and executive officers of Icahn Enterprises G.P., Inc. (“Icahn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Enterprises GP”), the general partner of Icahn Enterprises L.P. (“Icahn Enterprises”) are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6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C. Icahn</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8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Willetts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Ted Papapostolou</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Chief Accounting Officer and Director</w:t>
            </w:r>
          </w:p>
        </w:tc>
      </w:tr>
      <w:tr>
        <w:trPr>
          <w:trHeight w:val="21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Brett Icahn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Nevin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Denise Barton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A. Mongillo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Alvin B. Krongard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Dunlap</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15"/>
        </w:trPr>
        <w:tc>
          <w:tcPr>
            <w:tcW w:w="22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60" w:type="dxa"/>
            <w:vAlign w:val="bottom"/>
          </w:tcPr>
          <w:p>
            <w:pPr>
              <w:spacing w:after="0"/>
              <w:rPr>
                <w:sz w:val="10"/>
                <w:szCs w:val="10"/>
                <w:color w:val="auto"/>
              </w:rPr>
            </w:pPr>
          </w:p>
        </w:tc>
      </w:tr>
    </w:tbl>
    <w:p>
      <w:pPr>
        <w:spacing w:after="0" w:line="6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17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C. Icahn </w:t>
      </w:r>
      <w:r>
        <w:rPr>
          <w:rFonts w:ascii="Times New Roman" w:cs="Times New Roman" w:eastAsia="Times New Roman" w:hAnsi="Times New Roman"/>
          <w:sz w:val="18"/>
          <w:szCs w:val="18"/>
          <w:color w:val="auto"/>
        </w:rPr>
        <w:t>has served as Chairman of the Board and a director of Starfire Holding Corporation, a privately-held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company, and Chairman of the Board and a director of various subsidiaries of Starfire Holding Corporation,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Mr. Icahn was previously: Chairman of the Board of Tropicana Entertainment Inc., a company that is primarily engaged in the business of owning and operating casinos and resorts, from 2010 until 2018; Chairman of the Board of CVR Refining, LP from 2013 to 2018; Chairman of the Board of CVR Energy, Inc., from 2012 to 2018; President and a member of the Executive Committee of XO Holdings, from 2011 to 2017, and Chairman of the Board of its predecessors, from 2003 to 2011; a director of Federal-Mogul LLC, a supplier of automotive powertrain and safety components, from 2007 to 2015, and the non-executive Chairman of the Board of Federal-Mogul LLC, from 2008 to 2015; Chairman of the Board of American Railcar Industries, Inc., a railcar manufacturing company, from 1994 to 2014; a director of American Railcar Leasing LLC, a lessor and seller of specialized railroad tank and covered hopper railcars, from 2004 to 2013; a director of WestPoint Home LLC, from 2005 to 2011; and a director of Cadus Corporation, a company engaged in the acquisition of real estate for renovation or construction and resale, from 1993 to 2010.</w:t>
      </w:r>
    </w:p>
    <w:p>
      <w:pPr>
        <w:spacing w:after="0" w:line="199"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18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Willetts </w:t>
      </w:r>
      <w:r>
        <w:rPr>
          <w:rFonts w:ascii="Times New Roman" w:cs="Times New Roman" w:eastAsia="Times New Roman" w:hAnsi="Times New Roman"/>
          <w:sz w:val="18"/>
          <w:szCs w:val="18"/>
          <w:color w:val="auto"/>
        </w:rPr>
        <w:t>has served as Chief Executive Officer of Icahn Enterprises since November 2021 and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2021. Mr. Willets previously served as Chief Financial Officer of Icahn Enterprises from June 2021 until November 2021. In addition, Mr. Willetts has served as a Managing Director at AlixPartners, a global consulting firm which specializes in improving corporate financial and operational performance and executing corporate turnarounds. Since 2012, Mr. Willetts has worked continuously with Private Equity firms and public companies in the industrial, automotive, consumer products, retail and energy sectors. Prior to that time, he was a senior operating executive at Cerberus Capital for eight years, serving in multiple financial and operating roles including Chief Financial Officer,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divisional Chief Executive Officer and lead executive restructuring roles within Cerberus’ operating companies. Prior to 2005, Mr. Willetts was employed at General Electric in progressive finance executive roles within General Electric’s Corporate Audit Staff and industrial business units, including as the Chief Financial Officer of GE Lighting Systems and Chief Financial Officer of GE C&amp;I Lighting, North America. Mr. Willetts graduated from Franklin and Marshall College in 1997 Summa Cum Laude, with a B.A. in business, with a double concentration in accounting and finance. Mr. Willetts has served as director of Viskase Companies, Inc., since June 2021, and CVR Energy, Inc. and CVR Partners LP since July 2021. Viskase Companies, Inc., CVR Energy, Inc. and CVR Partners LP are each indirectly controlled by Carl C. Icahn.</w:t>
      </w:r>
    </w:p>
    <w:p>
      <w:pPr>
        <w:spacing w:after="0" w:line="171" w:lineRule="exact"/>
        <w:rPr>
          <w:sz w:val="20"/>
          <w:szCs w:val="20"/>
          <w:color w:val="auto"/>
        </w:rPr>
      </w:pPr>
    </w:p>
    <w:p>
      <w:pPr>
        <w:jc w:val="both"/>
        <w:ind w:left="60" w:right="519" w:firstLine="324"/>
        <w:spacing w:after="0" w:line="289" w:lineRule="auto"/>
        <w:rPr>
          <w:sz w:val="20"/>
          <w:szCs w:val="20"/>
          <w:color w:val="auto"/>
        </w:rPr>
      </w:pPr>
      <w:r>
        <w:rPr>
          <w:rFonts w:ascii="Times New Roman" w:cs="Times New Roman" w:eastAsia="Times New Roman" w:hAnsi="Times New Roman"/>
          <w:sz w:val="17"/>
          <w:szCs w:val="17"/>
          <w:color w:val="auto"/>
        </w:rPr>
        <w:t>Mr. Willetts brings to his service as a director his significant experience in leadership roles as director of various companies as discussed above. In particular, his experience as Chief Financial Officer and divisional Chief Executive Officer of Cerberus Capital enables him to understand the complex business and financial issues that we may face.</w:t>
      </w:r>
    </w:p>
    <w:p>
      <w:pPr>
        <w:spacing w:after="0" w:line="154"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Ted Papapostolou </w:t>
      </w:r>
      <w:r>
        <w:rPr>
          <w:rFonts w:ascii="Times New Roman" w:cs="Times New Roman" w:eastAsia="Times New Roman" w:hAnsi="Times New Roman"/>
          <w:sz w:val="18"/>
          <w:szCs w:val="18"/>
          <w:color w:val="auto"/>
        </w:rPr>
        <w:t>has served as Chief Financial Officer of Icahn Enterprises since November 2021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Officer of Icahn Enterprises since March 2020. In addition, Mr. Papapostolou has served as director of Icahn Enterprises since December 2021 and its Secretary since April 2020. Mr. Papapostolou served in various progressive accounting positions at Icahn Enterprises from March 2007 to March 2020. Previously, Mr. Papapostolou worked at Grant Thornton LLP in their audit practice. Mr. Papapostolou received his M.B.A. from The Peter J. Tobin College of Business at Saint John’s University and his B.B.A. from Frank G. Zarb School of Business at Hofstra University. Mr. Papapostolou has served as director of Viskase Companies, Inc., since April 2020. Viskase Companies, Inc., is indirectly controlled by Carl C. Icahn.</w:t>
      </w:r>
    </w:p>
    <w:p>
      <w:pPr>
        <w:spacing w:after="0" w:line="18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Brett Icahn </w:t>
      </w:r>
      <w:r>
        <w:rPr>
          <w:rFonts w:ascii="Times New Roman" w:cs="Times New Roman" w:eastAsia="Times New Roman" w:hAnsi="Times New Roman"/>
          <w:sz w:val="18"/>
          <w:szCs w:val="18"/>
          <w:color w:val="auto"/>
        </w:rPr>
        <w:t>has served as a director of Icahn Enterprises’ general partner, Icahn Enterprises GP and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Manager for Icahn Capital LP, a subsidiary of Icahn Enterprises since October 2020. Mr. Icahn was previously a consultant for Icahn Enterprises, where he exclusively provided investment advice to Carl C. Icahn with respect to the investment strategy for Icahn Enterprises’ Investment segment and with respect to capital allocation across Icahn Enterprises’ various operating subsidiaries from 2017 to 2020. From 2010 to 2017, Mr. Icahn was responsible for co-executing an investment strategy across all industries as a Portfolio Manager of the Sargon Portfolio for Icahn Capital LP, the entity through which Carl C. Icahn manages investment funds. From 2002 to 2010, Mr. Icahn served as an investment analyst for Icahn Capital LP and in a variety of investment advisory roles for Carl C. Icahn. Mr. Icahn has been a director of Newell Brands Inc., a global marketer of consumer and commercial products, since March 2018, and Bausch Health Companies Inc., a manufacturer and marketer of pharmaceuticals, over the counter products and medical devices, since March 2021. Mr. Icahn was previously a director of: Nuance Communications, Inc., a provider of voice and language solutions, from October 2013 to March 2016; Voltari Corporation, a mobile data services provider, from January 2010 to August 2014; American Railcar Industries, Inc., a railcar manufacturing company, from January 2007 to June 2014; Cadus Corporation, a company engaged in the acquisition of real estate for renovation or construction and resale, from January 2010 to February 2014; Take-Two Interactive Software Inc., a publisher of interactive entertainment products, from April 2010 to November 2013; and The Hain Celestial Group, Inc., a natural and organic products company, from July 2010 to November 2013. Voltari Corporation, American Railcar Industries and Cadus Corporation were previously indirectly controlled by Carl C. Icahn. Carl C. Icahn also has or previously had non-controlling interests in Newell Brands Inc., Nuance Communications, Inc., Take-Two Interactive Software Inc. and the Hain Celestial Group through the ownership of securities. Brett Icahn is the son of Carl C. Icahn.</w:t>
      </w:r>
    </w:p>
    <w:p>
      <w:pPr>
        <w:spacing w:after="0" w:line="193"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Mr. Icahn brings to his service as a director his significant experience in leadership roles as director of various companies as discussed above. In addition, Mr. Icahn is uniquely qualified based on his prior experience working as an investment analyst for Icahn Capital LP.</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Michael Nevin </w:t>
      </w:r>
      <w:r>
        <w:rPr>
          <w:rFonts w:ascii="Times New Roman" w:cs="Times New Roman" w:eastAsia="Times New Roman" w:hAnsi="Times New Roman"/>
          <w:sz w:val="18"/>
          <w:szCs w:val="18"/>
          <w:color w:val="auto"/>
        </w:rPr>
        <w:t>has served as a director of Icahn Enterprises’ general partner, Icahn Enterprises GP, since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December 2018 and has served as Managing Director from June 2018 until August 2019. In addition, Mr. Nevin has served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Chief Financial Officer of Icahn Automotive Group LLC from August 2019 to November 2022. From July 2015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2018, Mr. Nevin served as a Financial Analyst at Icahn Enterprises. Prior to joining Icahn Enterprises, Mr. Nevin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employed by Jefferies LLC as a Research Analyst from 2014 to 2015 covering the utilities sector. Mr. Nevin was also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employed by JP Morgan Investment Bank in various roles from 2009 to 2014, most recently as an Associate from 2012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2014. Mr. Nevin currently serves as director of certain subsidiaries of Icahn Automotive Group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LLC. Mr. Nevin was previously: a director of Viskase Companies, Inc. from April 2017 until January 2022; a director of Conduent Incorporated, a provider of business process outsourcing services, from December 2016 through August 2019; a director of Ferrous Resources Ltd, an iron ore mining company, from December 2016 through its sale in August 2019; a director of American Railcar Industries, Inc., a railcar manufacturing company, from February 2017 through its sale in December 2018; and a director of Federal-Mogul LLC, a supplier of automotive powertrain and safety components, from February 2016 through its sale in October 2018. Viskase Companies, Inc., is indirectly controlled by Carl C. Icahn. Ferrous Resources Ltd., American Railcar Industries, Inc. and Federal-Mogul LLC were previously indirectly controlled by</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Icahn. Carl C. Icahn also has a non-controlling interests in Conduent Incorporated through the ownership of securities.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Nevin is married to the daughter of Carl C. Icahn.</w:t>
      </w:r>
    </w:p>
    <w:p>
      <w:pPr>
        <w:spacing w:after="0" w:line="207"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Mr. Nevin brings to his service as a director his significant experience in leadership roles as director of various companies as discussed above. In particular, his service as Chief Financial Officer of Icahn Automotive enables him to understand the complex business and financial issues that we may face.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Denise Barton </w:t>
      </w:r>
      <w:r>
        <w:rPr>
          <w:rFonts w:ascii="Times New Roman" w:cs="Times New Roman" w:eastAsia="Times New Roman" w:hAnsi="Times New Roman"/>
          <w:sz w:val="18"/>
          <w:szCs w:val="18"/>
          <w:color w:val="auto"/>
        </w:rPr>
        <w:t>has served as a director of Icahn Enterprises’ general partner, Icahn Enterprises GP, since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2019 and was a member of our audit committee from September 2019 until April 2021. In addition, Ms. Barton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has served as Chief Financial Officer of IEH Auto Parts LLC, a subsidiary of Icahn Enterprises since July of 2021 and both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 and Chief Financial Officer of IEH Auto Parts LLC since September 2021. Ms. Barton currently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serves as director of certain subsidiaries of Icahn Automotive Group LLC. Previously, Ms. Barton has served on the board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directors and audit committee for Viskase Companies, Inc., a subsidiary of Icahn Enterprises, from May 2016 until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2022 and served on the board of directors and audit committee for Trump Entertainment Resorts, Inc., a subsidiary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Icahn Enterprises, from February 2016 through June 2017. Ms. Barton served as a member of the Operating Executive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Gotham Private Equity Partners, LP, a New York based merchant banking firm, from March 2010 through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2014. Ms. Barton served as the Chief Financial Officer for Land Holdings I, LLC, a company formed to develop,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own and operate the Scarlet Pearl Casino Resort, from March 2012 through March 2017. In addition, Ms. Barton has over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 years’ experience in public accounting and has served as Chief Financial Officer in both public and private companies.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Ms. Barton is a certified public accountant and has been licensed by the Nevada State Gaming Control Commission,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Jersey Casino Control Commission and the Mississippi Gaming Commission.</w:t>
      </w:r>
    </w:p>
    <w:p>
      <w:pPr>
        <w:spacing w:after="0" w:line="207"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Ms. Barton brings to her service as a director her significant experience in leadership roles as director of various companies as discussed above. In particular, her service as Chief Financial Officer of various companies enables her to understand the complex business and financial issues that we may face.</w:t>
      </w:r>
    </w:p>
    <w:p>
      <w:pPr>
        <w:spacing w:after="0" w:line="172"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A. Mongillo </w:t>
      </w:r>
      <w:r>
        <w:rPr>
          <w:rFonts w:ascii="Times New Roman" w:cs="Times New Roman" w:eastAsia="Times New Roman" w:hAnsi="Times New Roman"/>
          <w:sz w:val="17"/>
          <w:szCs w:val="17"/>
          <w:color w:val="auto"/>
        </w:rPr>
        <w:t>has served as a director of Icahn Enterprises’ general partner, Icahn Enterprises GP,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2020 and is a member of our audit committee. Mr. Mongillo has served as a director of CVR Energy, Inc., a majority owned subsidiary of Icahn Enterprises, since May 2012. Mr. Mongillo is currently, and has been since April 2012, the Chairman and Chief Executive Officer of AMPF, Inc., a distributor of picture frame mouldings and supplies of which he is also the principal shareholder. Previously, Mr. Mongillo served as: a director of HERC Holdings, Inc., a publicly traded equipment rental company, from 2016 until 2018; a director of American Railcar Industries, Inc from 2009 until 2011; a director of WestPoint Home LLC, from March 2009 until January 2011; and a managing director of Icahn Capital LP, from January 2008 until January 2011. Icahn Capital LP and WestPoint Home, LLC are each indirectly controlled by Carl C. Icahn. American Railcar Industries, Inc. was previously indirectly controlled by Carl C. Icahn. Carl C. Icahn also previously had non-controlling interests in HERC Holdings, Inc through the ownership of securities. Mr. Mongillo received a B.A. from Trinity College and an M.B.A. from the Amos Tuck School of Business Administration at Dartmouth College.</w:t>
      </w:r>
    </w:p>
    <w:p>
      <w:pPr>
        <w:spacing w:after="0" w:line="177"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Mr. Mongillo brings to his service as a director his significant experience in leadership roles as director of various companies as discussed above. In particular, his service as Chief Executive Officer of AMPF, Inc. enables him to understand the complex business and financial issues that we may face.</w:t>
      </w:r>
    </w:p>
    <w:p>
      <w:pPr>
        <w:spacing w:after="0" w:line="172" w:lineRule="exact"/>
        <w:rPr>
          <w:sz w:val="20"/>
          <w:szCs w:val="20"/>
          <w:color w:val="auto"/>
        </w:rPr>
      </w:pPr>
    </w:p>
    <w:p>
      <w:pPr>
        <w:ind w:left="60" w:right="1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Alvin B. Krongard </w:t>
      </w:r>
      <w:r>
        <w:rPr>
          <w:rFonts w:ascii="Times New Roman" w:cs="Times New Roman" w:eastAsia="Times New Roman" w:hAnsi="Times New Roman"/>
          <w:sz w:val="18"/>
          <w:szCs w:val="18"/>
          <w:color w:val="auto"/>
        </w:rPr>
        <w:t>has served as a director of Icahn Enterprises’ general partner, Icahn Enterprises GP,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2019 and is a member of our audit committee. Mr. Krongard currently serves as a director and a member of the audit committee of the board of directors of Apollo Global Management, LLC; as a director and chairman of the corporate governance committee and the investment committee of the board of directors of Iridium Communications Inc.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and previously served as the lead independent director and chairman of the audit committee of the board of directors of Under Armour, Inc from March 2019 until May 2020. He served as Executive Director of the Central Intelligence Agency from 2001 to 2004 and as counselor to the Director of the Central Intelligence Agency from 2000 to 2001. Mr. Krongard previously served in various capacities at Alex.Brown, Incorporated, including serving as Chief Executive Officer beginning in 1991 and assuming additional duties as Chairman of the board of directors in 1994. Upon the merger of Alex.Brown with Bankers Trust Corporation in 1997, Mr. Krongard became Vice Chairman of the Board of Bankers Trust and served in such capacity until joining the Central Intelligence Agency in 1998.</w:t>
      </w:r>
    </w:p>
    <w:p>
      <w:pPr>
        <w:spacing w:after="0" w:line="18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Mr. Krongard brings to his service as a director his significant experience in leadership roles as director of various companies as discussed above. In particular, his service as Chief Executive Officer of Alex.Brown, Incorporated enables him to understand the complex business and financial issues that we may face.</w:t>
      </w:r>
    </w:p>
    <w:p>
      <w:pPr>
        <w:spacing w:after="0" w:line="17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Dunlap </w:t>
      </w:r>
      <w:r>
        <w:rPr>
          <w:rFonts w:ascii="Times New Roman" w:cs="Times New Roman" w:eastAsia="Times New Roman" w:hAnsi="Times New Roman"/>
          <w:sz w:val="18"/>
          <w:szCs w:val="18"/>
          <w:color w:val="auto"/>
        </w:rPr>
        <w:t>has served as a director of Icahn Enterprises’ general partner, Icahn Enterprises GP, since April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a member of our audit committee. Ms. Dunlap currently serves as the private counsel and head of the private family office of former New Jersey Governor and United States Senator Jon S. Corzine. Since 1999, Ms. Dunlap has overseen all personal investment and legal affairs of the Corzine Family Office. As head of Mr. Corzine’s private family office, Ms. Dunlap also serves as a Trustee of the Jon S. Corzine Trust and as Director of the Jon S. Corzine Foundation. Ms. Dunlap was previously a director of: CVR Refining, LP, from July 2018 to February 2019; and Equita Sim, a private investment bank headquartered in Milan, Italy, from November 2010 to September 2015. CVR Partners LP is indirectly controlled by Mr. Icahn. Ms. Dunlap was also previously a director of Amp Electric Vehicles from March 2010 to September 2012. Ms. Dunlap received a Juris Doctor from St. John’s University School of Law and a Bachelor of Arts from University of Denver.</w:t>
      </w:r>
    </w:p>
    <w:p>
      <w:pPr>
        <w:spacing w:after="0" w:line="18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Ms. Dunlap brings to her service as a director her significant experience in leadership roles as director of various companies as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Stephen A. Mongillo, Alvin B. Krongard and Nancy Dunlap serve on our audit committee. Stephen A. Mongillo is an “audit committee financial expert,” within the meaning of Item 407(d)(5) of Regulation S-K and is “independent” within the meaning of Rule 5605(a)(2) of the Nasdaq Listing Rules. We believe that each of the other audit committee members are also “independent.” A copy of the audit committee charter is available on our website at </w:t>
      </w:r>
      <w:r>
        <w:rPr>
          <w:rFonts w:ascii="Times New Roman" w:cs="Times New Roman" w:eastAsia="Times New Roman" w:hAnsi="Times New Roman"/>
          <w:sz w:val="18"/>
          <w:szCs w:val="18"/>
          <w:i w:val="1"/>
          <w:iCs w:val="1"/>
          <w:color w:val="auto"/>
        </w:rPr>
        <w:t xml:space="preserve">www.ielp.com/corporate-governance </w:t>
      </w:r>
      <w:r>
        <w:rPr>
          <w:rFonts w:ascii="Times New Roman" w:cs="Times New Roman" w:eastAsia="Times New Roman" w:hAnsi="Times New Roman"/>
          <w:sz w:val="18"/>
          <w:szCs w:val="18"/>
          <w:color w:val="auto"/>
        </w:rPr>
        <w:t>or may be obtained without charge by writing to Icahn Enterprises L.P., 16690 Collins Avenue, PH-1, Sunny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Isles Beach, FL 33160, Attention: Investor Relations.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has regularly scheduled meetings each year, and numerous other meetings when circumstances require. Regularly scheduled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Regularly scheduled meetings are also held with our Chief Financial Officer, 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When necessary, our audit committee holds informal meetings, meets with its independent counsel, and, when appropriate, with independent financial advisers.</w:t>
      </w:r>
    </w:p>
    <w:p>
      <w:pPr>
        <w:spacing w:after="0" w:line="188" w:lineRule="exact"/>
        <w:rPr>
          <w:sz w:val="20"/>
          <w:szCs w:val="20"/>
          <w:color w:val="auto"/>
        </w:rPr>
      </w:pPr>
    </w:p>
    <w:p>
      <w:pPr>
        <w:ind w:left="60" w:right="259" w:firstLine="324"/>
        <w:spacing w:after="0" w:line="272" w:lineRule="auto"/>
        <w:rPr>
          <w:sz w:val="20"/>
          <w:szCs w:val="20"/>
          <w:color w:val="auto"/>
        </w:rPr>
      </w:pPr>
      <w:r>
        <w:rPr>
          <w:rFonts w:ascii="Times New Roman" w:cs="Times New Roman" w:eastAsia="Times New Roman" w:hAnsi="Times New Roman"/>
          <w:sz w:val="17"/>
          <w:szCs w:val="17"/>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180"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Interested parties may directly communicate with the presiding director of the audit committee or with the non-management directors of the audit committee as a group by directing all inquiries to our ethics hotline at (800) 737-1213.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Report</w:t>
      </w:r>
    </w:p>
    <w:p>
      <w:pPr>
        <w:spacing w:after="0" w:line="22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 audit committee has confirmed that: (1) the audit committee reviewed and discussed our audited financial statements for the year ended December 31, 2022 with management; (2) the audit committee has discussed with our independent auditors the matters required to be discussed by the applicable requirements of the Public Company Accounting Oversight Board (“PCAOB”) and the SEC; (3) the audit committee has received the written disclosures and the letter from the independent accountants required by the applicable requirements of the PCAOB regarding the independent accountant’s communication with the audit committee concerning independence, and has discussed with the independent accountant the independent accountant’s independence; and (4) based on the review and discussions referred to in clauses</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(1), (2) and (3) above, the audit committee recommended to the board of directors that our audited financial statements for the year ended December 31, 2022 be included in this Report.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report is provided by the following independent directors, who constitute the audit committee: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Stephen A. Mongillo</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Alvin B. Krongard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Nancy Dunlap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 and Business Conduct</w:t>
      </w:r>
    </w:p>
    <w:p>
      <w:pPr>
        <w:spacing w:after="0" w:line="229" w:lineRule="exact"/>
        <w:rPr>
          <w:sz w:val="20"/>
          <w:szCs w:val="20"/>
          <w:color w:val="auto"/>
        </w:rPr>
      </w:pPr>
    </w:p>
    <w:p>
      <w:pPr>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Icahn Enterprises GP’s board of directors has adopted a Code of Ethics and Business Conduct applicable to all directors, officers and employees, including our principal executive officer, principal financial officer and principal accounting officer. A copy of the Code of Ethics and Business Conduct is available on our website at </w:t>
      </w:r>
      <w:r>
        <w:rPr>
          <w:rFonts w:ascii="Times New Roman" w:cs="Times New Roman" w:eastAsia="Times New Roman" w:hAnsi="Times New Roman"/>
          <w:sz w:val="18"/>
          <w:szCs w:val="18"/>
          <w:i w:val="1"/>
          <w:iCs w:val="1"/>
          <w:color w:val="auto"/>
        </w:rPr>
        <w:t xml:space="preserve">www.ielp.com/corporate-governance </w:t>
      </w:r>
      <w:r>
        <w:rPr>
          <w:rFonts w:ascii="Times New Roman" w:cs="Times New Roman" w:eastAsia="Times New Roman" w:hAnsi="Times New Roman"/>
          <w:sz w:val="18"/>
          <w:szCs w:val="18"/>
          <w:color w:val="auto"/>
        </w:rPr>
        <w:t>and may be obtained without charge by writing to Icahn Enterprises L.P., 16690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Collins Avenue, PH-1, Sunny Isles Beach, FL 33160, Attention: Investor Relations.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Nasdaq Corporate Governance Compliance</w:t>
      </w:r>
    </w:p>
    <w:p>
      <w:pPr>
        <w:spacing w:after="0" w:line="229"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Pursuant to Rule 5615(a)(4)(J) of the Nasdaq corporate governance requirements, in the event that an executive officer of Icahn Enterprises’, or a person performing an equivalent role, becomes aware of any noncompliance with Nasdaq’s corporate governance requirements, he or she is required to provide prompt notice to Nasdaq of such noncompliance. As of February 24, 2023, we believe that we are compliant with Nasdaq’s corporate governance requirements.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leadership structure includes the positions of Chairman of the Board (“Chairman”) and Chief Executive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Icahn serves as our Chairman and Mr. Willetts serves as our Chief Executive Officer.</w:t>
      </w:r>
    </w:p>
    <w:p>
      <w:pPr>
        <w:spacing w:after="0" w:line="20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Role in Risk Oversight</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187"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met six times during 2022, including four regularly scheduled meetings and two special meetings. All of the directors who served during all of 2022 attended at least 75% of the total meetings of the board of directors and each of its committees on which such director served.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Structure and Reporting Requirements</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Icahn Enterprises is a master limited partnership (“MLP”) and is not subject to the proxy solicitation rules as required by Section 14A of the Exchange Act or §240.14a-20 in connection with this Annual Report on Form 10-K.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2022, whom we refer to as our named executive officers:</w:t>
      </w:r>
    </w:p>
    <w:p>
      <w:pPr>
        <w:spacing w:after="0" w:line="183"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C. Icahn, Chairman of the Board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Willetts, President and Chief Executive Officer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Ted Papapostolou, Chief Financial Officer and Chief Accounting Officer</w:t>
      </w:r>
    </w:p>
    <w:p>
      <w:pPr>
        <w:spacing w:after="0" w:line="22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discussion below is intended to help you understand the detailed information provided in the table and put that information into context within our overall compensation program.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Program</w:t>
      </w:r>
    </w:p>
    <w:p>
      <w:pPr>
        <w:spacing w:after="0" w:line="229" w:lineRule="exact"/>
        <w:rPr>
          <w:sz w:val="20"/>
          <w:szCs w:val="20"/>
          <w:color w:val="auto"/>
        </w:rPr>
      </w:pPr>
    </w:p>
    <w:p>
      <w:pPr>
        <w:ind w:left="60" w:right="79" w:firstLine="324"/>
        <w:spacing w:after="0" w:line="276" w:lineRule="auto"/>
        <w:rPr>
          <w:sz w:val="20"/>
          <w:szCs w:val="20"/>
          <w:color w:val="auto"/>
        </w:rPr>
      </w:pPr>
      <w:r>
        <w:rPr>
          <w:rFonts w:ascii="Times New Roman" w:cs="Times New Roman" w:eastAsia="Times New Roman" w:hAnsi="Times New Roman"/>
          <w:sz w:val="17"/>
          <w:szCs w:val="17"/>
          <w:color w:val="auto"/>
        </w:rPr>
        <w:t>Throughout this narrative discussion and in the accompanying table, we refer to our named executive officers. The key compensation package provided to our named executive officers consists of (i) base salary, (ii) incentive compensation and</w:t>
      </w:r>
    </w:p>
    <w:p>
      <w:pPr>
        <w:spacing w:after="0" w:line="1" w:lineRule="exact"/>
        <w:rPr>
          <w:sz w:val="20"/>
          <w:szCs w:val="20"/>
          <w:color w:val="auto"/>
        </w:rPr>
      </w:pPr>
    </w:p>
    <w:p>
      <w:pPr>
        <w:ind w:left="60" w:right="99" w:hanging="10"/>
        <w:spacing w:after="0" w:line="253"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The key compensation provided to our named executive officers for 2022 consisted of salary, bonuses and deferred unit awards. See “Additional Information Regarding Executive Compensation - Summary Compensation Table” for the compensation received by each of our named executive officers for 2022. Executive compensation levels are established based upon the recommendation of our Chairman, which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discussed with members of the Board. The Board does not delegate the authority to establish executive officer compensation to any other person and has not retained any compensation consultants to determine or recommend the amount or form of executive and director compensation.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22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180"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primary components of our executive compensation are base salary and annual bonus, payable in cash, and deferred unit awards.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 Deferred unit awards are also provided to motivate future performance and retain highly qualified key employees.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Appropriate Pay Levels</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176" w:lineRule="exact"/>
        <w:rPr>
          <w:sz w:val="20"/>
          <w:szCs w:val="20"/>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job performance, including performance against corporate and individual objectives;</w:t>
      </w:r>
    </w:p>
    <w:p>
      <w:pPr>
        <w:spacing w:after="0" w:line="225" w:lineRule="exact"/>
        <w:rPr>
          <w:rFonts w:ascii="Times New Roman" w:cs="Times New Roman" w:eastAsia="Times New Roman" w:hAnsi="Times New Roman"/>
          <w:sz w:val="18"/>
          <w:szCs w:val="18"/>
          <w:color w:val="auto"/>
        </w:rPr>
      </w:pPr>
    </w:p>
    <w:p>
      <w:pPr>
        <w:ind w:left="800" w:right="339" w:hanging="318"/>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responsibilities, including unique skills necessary to support our long-term performance, including that of our subsidiaries; and</w:t>
      </w:r>
    </w:p>
    <w:p>
      <w:pPr>
        <w:spacing w:after="0" w:line="161" w:lineRule="exact"/>
        <w:rPr>
          <w:rFonts w:ascii="Times New Roman" w:cs="Times New Roman" w:eastAsia="Times New Roman" w:hAnsi="Times New Roman"/>
          <w:sz w:val="18"/>
          <w:szCs w:val="18"/>
          <w:color w:val="auto"/>
        </w:rPr>
      </w:pPr>
    </w:p>
    <w:p>
      <w:pPr>
        <w:ind w:left="800" w:right="219" w:hanging="318"/>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 both contributions as a member of the executive management team and fostering an environment of personal and professional growth for the entire work force.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Compensation</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Base salaries for executive officers are determined based on job performance, job responsibilities and teamwork.</w:t>
      </w:r>
    </w:p>
    <w:p>
      <w:pPr>
        <w:spacing w:after="0" w:line="225"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Mr. Icahn is currently an at will employee serving as Chairman of the Board of Icahn Enterprises GP, Chairman of the Board and Chief Executive Officer of Icahn Capital LP and Chief Executive Officer of the Investment Funds.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176"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See “Additional Information Regarding Executive Compensation - Summary Compensation Table” for detailed information on the compensation received by each of our named executive officers for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in the finance industries generally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Deferred Unit Awards</w:t>
      </w:r>
    </w:p>
    <w:p>
      <w:pPr>
        <w:spacing w:after="0" w:line="22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There were no awards granted during 2022 for our named executive officers. Deferred unit awards are granted to key employees in order to align the interests of executives with our unitholders, provide competitive financial incentives and to promote continuity of management.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401(k) Plan and Other Benefits</w:t>
      </w:r>
    </w:p>
    <w:p>
      <w:pPr>
        <w:spacing w:after="0" w:line="227"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For 2022, Messrs. Willets and Papapostolou were our only named executive officers participating in our qualified Icahn Enterprises Holdings 401(k) Plan (the “401(k) Plan”), and thus received matching contributions for 2022. The matching contributions for the respective named executive officer in 2022 are disclosed in our Summary Compensation Table under “All Other Compensation” and in the related footnote. Mr. Icahn was our only named executive who did not participate in the 401(k) Plan for 2022. Our 401(k) Plan helps employees save and prepare financially for retirement.</w:t>
      </w:r>
    </w:p>
    <w:p>
      <w:pPr>
        <w:spacing w:after="0" w:line="16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183"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All of our named executive officers are entitled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total value of all perquisites and personal benefits (exclusive of 401(k) Plan matching contributions) provided to each of our named executive officers for 2022, 2021 and 2020 was less than $10,000 per person.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29" w:lineRule="exact"/>
        <w:rPr>
          <w:sz w:val="20"/>
          <w:szCs w:val="20"/>
          <w:color w:val="auto"/>
        </w:rPr>
      </w:pPr>
    </w:p>
    <w:p>
      <w:pPr>
        <w:ind w:left="140" w:right="279" w:firstLine="378"/>
        <w:spacing w:after="0" w:line="262" w:lineRule="auto"/>
        <w:rPr>
          <w:sz w:val="20"/>
          <w:szCs w:val="20"/>
          <w:color w:val="auto"/>
        </w:rPr>
      </w:pPr>
      <w:r>
        <w:rPr>
          <w:rFonts w:ascii="Times New Roman" w:cs="Times New Roman" w:eastAsia="Times New Roman" w:hAnsi="Times New Roman"/>
          <w:sz w:val="18"/>
          <w:szCs w:val="18"/>
          <w:color w:val="auto"/>
        </w:rPr>
        <w:t>Our Chief Executive Officer to median employee pay ratio (“CEO Pay Ratio”) is calculated in accordance with Regulation S-K. We determined that we are permitted by Regulation S-K to use the same median employee for 2022 as was identified previously using initial data as of December 31, 2021. We elected to use the prior data as we have not had significant changes to our employee population or employee compensation arrangements that we reasonably believe would result in a significant change in our CEO Pay Ratio Disclosure.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identified the median employee by examining the 2021 total cash compensation (inclusive of any bonuses) for all individuals, excluding our Chief Executive Officer, who were employed by us on the Determination Date. We believe 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spacing w:after="0" w:line="19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After identifying the median employee based on total cash compensation, we calculated the total annual compensation for such employee using the same methodology we use for our named executive officers as set forth in the Summary Compensation Table below.</w:t>
      </w:r>
    </w:p>
    <w:p>
      <w:pPr>
        <w:spacing w:after="0" w:line="17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Officer’s total annual compensation for 2022 was $2,552,942. The median employee’s total annual compensation for 2022 was $39,520. The ratio of our Chief Executive Officer’s total annual compensation to our median employee’s total annual compensation for 2022 was 65:1.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report is provided by the board of directors: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Carl C. Icahn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David Willets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Brett Icahn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Michael Nevin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Stephen A. Mongillo</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Alvin B. Krongard</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Nancy Dunlap</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Denise Barton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During 2022, our entire board of directors, including Mr. Icahn, participated in deliberations concerning executive compensation. During 2022, none of our executive officers served on the compensation committee (or equivalent), or the board of directors of another entity whose executive officer(s) served on our board of directors.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 Regarding Executive Compensation</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in respect of the compensation earned for services to us and/or our subsidiaries by each of our named executive officers for 2022.</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6"/>
          </w:tcPr>
          <w:p>
            <w:pPr>
              <w:ind w:left="340"/>
              <w:spacing w:after="0" w:line="246" w:lineRule="exact"/>
              <w:rPr>
                <w:sz w:val="20"/>
                <w:szCs w:val="20"/>
                <w:color w:val="auto"/>
              </w:rPr>
            </w:pPr>
            <w:r>
              <w:rPr>
                <w:rFonts w:ascii="Times New Roman" w:cs="Times New Roman" w:eastAsia="Times New Roman" w:hAnsi="Times New Roman"/>
                <w:sz w:val="18"/>
                <w:szCs w:val="18"/>
                <w:b w:val="1"/>
                <w:bCs w:val="1"/>
                <w:color w:val="auto"/>
              </w:rPr>
              <w:t>Annual Compensation</w:t>
            </w:r>
            <w:r>
              <w:rPr>
                <w:rFonts w:ascii="Times New Roman" w:cs="Times New Roman" w:eastAsia="Times New Roman" w:hAnsi="Times New Roman"/>
                <w:sz w:val="26"/>
                <w:szCs w:val="26"/>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w:t>
            </w:r>
          </w:p>
        </w:tc>
        <w:tc>
          <w:tcPr>
            <w:tcW w:w="13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All Other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Carl C. Icahn</w:t>
            </w:r>
            <w:r>
              <w:rPr>
                <w:rFonts w:ascii="Times New Roman" w:cs="Times New Roman" w:eastAsia="Times New Roman" w:hAnsi="Times New Roman"/>
                <w:sz w:val="24"/>
                <w:szCs w:val="24"/>
                <w:color w:val="auto"/>
                <w:vertAlign w:val="superscript"/>
              </w:rPr>
              <w:t>(2)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Willetts</w:t>
            </w:r>
            <w:r>
              <w:rPr>
                <w:rFonts w:ascii="Times New Roman" w:cs="Times New Roman" w:eastAsia="Times New Roman" w:hAnsi="Times New Roman"/>
                <w:sz w:val="25"/>
                <w:szCs w:val="25"/>
                <w:color w:val="auto"/>
                <w:vertAlign w:val="superscript"/>
              </w:rPr>
              <w:t>(3)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428,654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887,535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Ted Papapostolou </w:t>
            </w:r>
            <w:r>
              <w:rPr>
                <w:rFonts w:ascii="Times New Roman" w:cs="Times New Roman" w:eastAsia="Times New Roman" w:hAnsi="Times New Roman"/>
                <w:sz w:val="25"/>
                <w:szCs w:val="25"/>
                <w:color w:val="auto"/>
                <w:vertAlign w:val="superscript"/>
              </w:rPr>
              <w:t>(4)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 Chief</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19" w:hanging="330"/>
        <w:spacing w:after="0" w:line="26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79" w:lineRule="exact"/>
        <w:rPr>
          <w:rFonts w:ascii="Times New Roman" w:cs="Times New Roman" w:eastAsia="Times New Roman" w:hAnsi="Times New Roman"/>
          <w:sz w:val="18"/>
          <w:szCs w:val="18"/>
          <w:color w:val="auto"/>
        </w:rPr>
      </w:pPr>
    </w:p>
    <w:p>
      <w:pPr>
        <w:ind w:left="380" w:right="159" w:hanging="330"/>
        <w:spacing w:after="0" w:line="255"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indicated above represents compensation paid to Mr. Icahn in each of 2022, 2021 and 2020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does not receive an annual base salary. Mr. Icahn does not receive director fees from us. Mr. Icahn’s all other compensation for 2022 consists of $14,668 in dental, medial and other benefits and $875 in life insurance benefits.</w:t>
      </w:r>
    </w:p>
    <w:p>
      <w:pPr>
        <w:spacing w:after="0" w:line="188" w:lineRule="exact"/>
        <w:rPr>
          <w:rFonts w:ascii="Times New Roman" w:cs="Times New Roman" w:eastAsia="Times New Roman" w:hAnsi="Times New Roman"/>
          <w:sz w:val="18"/>
          <w:szCs w:val="18"/>
          <w:color w:val="auto"/>
        </w:rPr>
      </w:pPr>
    </w:p>
    <w:p>
      <w:pPr>
        <w:jc w:val="both"/>
        <w:ind w:left="380" w:right="399" w:hanging="330"/>
        <w:spacing w:after="0" w:line="26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Mr. Willetts received a salary of $1,000,000 and a bonus of $1,550,000, which was determined based on various factors, including, but not limited to overall job performance, including performance against corporate and individual objectives, job responsibilities and teamwork. Mr. Willetts’ all other compensation for 2022 consists of $2,038 for medical and dental benefits and $904 for life insurance premiums.</w:t>
      </w:r>
    </w:p>
    <w:p>
      <w:pPr>
        <w:spacing w:after="0" w:line="179" w:lineRule="exact"/>
        <w:rPr>
          <w:rFonts w:ascii="Times New Roman" w:cs="Times New Roman" w:eastAsia="Times New Roman" w:hAnsi="Times New Roman"/>
          <w:sz w:val="18"/>
          <w:szCs w:val="18"/>
          <w:color w:val="auto"/>
        </w:rPr>
      </w:pPr>
    </w:p>
    <w:p>
      <w:pPr>
        <w:ind w:left="380" w:right="179" w:hanging="330"/>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Mr. Papapostolou received a salary of $550,000 and a bonus of $100,000, which was determined based on various factors, including, but not limited to overall job performance, including performance against corporate and individual objectives, job responsibilities and teamwork. Mr. Papapostolou’s all other compensation for 2022 consists of $9,531 in matching contributions under our 401(k) Plan, $354 for medical and dental benefits and $880 for life insurance premiums.</w:t>
      </w:r>
    </w:p>
    <w:p>
      <w:pPr>
        <w:spacing w:after="0" w:line="183"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16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Mr. Brett Icahn is the son of Carl C. Icahn, the Chairman of the Board of Icahn Enterprises. Mr. Nevin is married to the daughter of Carl C. Icahn. There are no other family relationships between or among any of our directors and/or executive officers.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Grants of Plan Based Awards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There were no awards granted during 2022 for any of our named executive officers under the 2017 Incentive Plan.</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Future Payout Under Equity Incentive Plan Awards</w:t>
            </w:r>
          </w:p>
        </w:tc>
      </w:tr>
      <w:tr>
        <w:trPr>
          <w:trHeight w:val="187"/>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09"/>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Willetts</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12/9/2021</w:t>
            </w: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r>
      <w:tr>
        <w:trPr>
          <w:trHeight w:val="23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Papapostolou</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12/9/2021</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2022</w:t>
      </w:r>
    </w:p>
    <w:p>
      <w:pPr>
        <w:spacing w:after="0" w:line="121" w:lineRule="exact"/>
        <w:rPr>
          <w:sz w:val="20"/>
          <w:szCs w:val="20"/>
          <w:color w:val="auto"/>
        </w:rPr>
      </w:pPr>
    </w:p>
    <w:p>
      <w:pPr>
        <w:ind w:left="60" w:right="139" w:firstLine="324"/>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in respect of outstanding equity awards held by each of our named executive officers as of December 31, 2022 under the 2017 Incentive Plan. All awards below are cash-settled deferred unit awards that cliff vest three years from the date of grant.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 That Have Not Vested</w:t>
            </w:r>
          </w:p>
        </w:tc>
      </w:tr>
      <w:tr>
        <w:trPr>
          <w:trHeight w:val="187"/>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Units</w:t>
            </w:r>
          </w:p>
        </w:tc>
      </w:tr>
      <w:tr>
        <w:trPr>
          <w:trHeight w:val="23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Willetts</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3,520,074</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Papapostolou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1,548,826</w:t>
            </w: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awards that vested during 2022 for our named executive officers.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On December 9, 2021, Icahn Enterprises entered into an offer letter with David Willetts. Pursuant to the letter agreement with Mr. Willets, during his term of employment, Mr. Willets will be paid a base salary at the rate of $1,000,000 per annum. Mr. Willets will be eligible to receive an annual discretionary cash bonus with a target amount of $1,550,000. Mr. Willets also received a grant as of December 9, 2021 of 69,498 deferred depositary units of Icahn Enterprises under the Icahn Enterprises 2017 Long-Term Incentive Plan (“LTIP”), determined by dividing $3,750,000 by the 180-day VWAP of depositary units ending on the trading day immediately prior to the grant date. The deferred depositary units will cliff vest and cease to be deferred units on December 9, 2024 (subject to the other terms and conditions set forth in the LTIP and award agreement entered into in connection with the grant of deferred depositary units).</w:t>
      </w:r>
    </w:p>
    <w:p>
      <w:pPr>
        <w:spacing w:after="0" w:line="17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if Mr. Willets’ employment is terminated by Icahn Enterprises without “cause” (as defined in the offer letter) at any time or in the event of his death or disability, he (or his estate in the event of death) will be entitled to a pro-rata cash bonus of the target bonus amount for the calendar year of the termination and a pro-rata portion of the grant of the deferred depositary units will become immediately vested and the remaining portion of the grant will be forfeited.</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December 9, 2021, Icahn Enterprises entered into an offer letter with Ted Papapostolou. Pursuant to the letter agreement with Mr. Papapostolou, during his term of employment, Mr. Papapostolou will be paid a base salary at the rate of $550,000 per annum. Mr. Papapostolou will be eligible to receive an annual discretionary cash bonus with a target amount of $100,000. Mr. Papapostolou also received a grant of 30,579 deferred depositary units of Icahn Enterprises as of December 9, 2021 under the LTIP, determined by dividing $1,650,000 by the 180-day VWAP of depositary units ending on the trading day immediately prior to the grant date. The deferred depositary units will cliff vest and cease to be deferred units on December 9, 2024 (subject to the other terms and conditions set forth in the LTIP and award agreement entered into in connection with the grant of deferred depositary units).</w:t>
      </w:r>
    </w:p>
    <w:p>
      <w:pPr>
        <w:spacing w:after="0" w:line="192" w:lineRule="exact"/>
        <w:rPr>
          <w:sz w:val="20"/>
          <w:szCs w:val="20"/>
          <w:color w:val="auto"/>
        </w:rPr>
      </w:pPr>
    </w:p>
    <w:p>
      <w:pPr>
        <w:jc w:val="both"/>
        <w:ind w:left="60" w:right="159" w:firstLine="369"/>
        <w:spacing w:after="0" w:line="266" w:lineRule="auto"/>
        <w:rPr>
          <w:sz w:val="20"/>
          <w:szCs w:val="20"/>
          <w:color w:val="auto"/>
        </w:rPr>
      </w:pPr>
      <w:r>
        <w:rPr>
          <w:rFonts w:ascii="Times New Roman" w:cs="Times New Roman" w:eastAsia="Times New Roman" w:hAnsi="Times New Roman"/>
          <w:sz w:val="18"/>
          <w:szCs w:val="18"/>
          <w:color w:val="auto"/>
        </w:rPr>
        <w:t>In addition, in the event that Mr. Papapostolou’s employment is terminated by Icahn Enterprises without “cause” (as defined in the offer letter) at any time or in the event of his death or disability, he (or his estate in the case of death) will be entitled to a pro-rata cash bonus of the target bonus amount for the calendar year of the termination and a pro-rata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portion of the grant of the deferred depositary units will become immediately vested and the remaining portion of the grant will be forfeited.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did not have any employment agreements or other arrangements pursuant to which any of our named executive officers would have received potential payments upon a termination or change in control as of December 31, 2022 except for that disclosed above.</w:t>
      </w:r>
    </w:p>
    <w:p>
      <w:pPr>
        <w:spacing w:after="0" w:line="6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Neither of Messrs. Willets or Papapostolou have employment agreements. However, Messrs. Willets, Papapostolou are eligible for certain payments in the event of involuntary termination (other than for cause, as defined in our severance policy), which generally provide for a pro-rated cash bonus and an acceleration of unvested deferred unit awards (also pro-rated) at the time of termination.</w:t>
      </w:r>
    </w:p>
    <w:p>
      <w:pPr>
        <w:spacing w:after="0" w:line="72"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Messrs. Willets and Papapostolou would have potential payouts of unvested deferred unit awards with a market value of approximately $1,246,157 and $548,307 respectively, if they were involuntarily terminated on December 31, 2022 and otherwise eligible for payment.</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compensation information for our directors in 2022, except for Messrs. Icahn, Willets and Papapostolou, as well as Messrs. Icahn, Willets and Papapostolou is included in the Summary Compensation Table. Messrs. Icahn, Willets and Papapostolou did not receive compensation for serving on our Board.</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Icahn</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Nevin</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Mongillo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Alvin B. Krongard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tcPr>
          <w:p>
            <w:pPr>
              <w:spacing w:after="0"/>
              <w:rPr>
                <w:sz w:val="18"/>
                <w:szCs w:val="18"/>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Dunlap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Denise Barton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tcPr>
          <w:p>
            <w:pPr>
              <w:spacing w:after="0"/>
              <w:rPr>
                <w:sz w:val="20"/>
                <w:szCs w:val="20"/>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bl>
    <w:p>
      <w:pPr>
        <w:spacing w:after="0" w:line="16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During 2022, the fees earned or paid in cash for Messrs. Mongillo and Krongard and Mses. Barton and Dunlap, were in respect of their services rendered as members of our Board. With respect to Mr. Mongillo, the fees earned or paid in cash included $5,000 for serving as the chairman of the audit committee. Brett Icahn and Mr. Nevin did not receive compensation in respect of their services rendered as a member of our board of directors.</w:t>
      </w:r>
    </w:p>
    <w:p>
      <w:pPr>
        <w:spacing w:after="0" w:line="72"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Directors receive only cash compensation, if applicable, and currently are not granted any options, units or other equity-based awards.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Security Holder Matters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As of February 23, 2023, affiliates of Mr. Icahn, owned 299,997,624 of Icahn Enterprises’ depositary units, or approximately 85%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7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Thus, since Mr. Icahn, through affiliates, holds approximately 85% of Icahn Enterprises’ outstanding depositary units as of February 24, 2023,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18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February 22, 2023, as to the beneficial ownership of the depositary units for each director and named executive officer of Icahn Enterprises GP and all directors and named executive officers of Icahn Enterprises GP, as a group. Except for Mr. Icahn, none of our named executive officers, directors or other unitholders beneficially own more than 5% of Icahn Enterprises’ depositary units.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 Ownership of</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Icahn Enterprises’</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Depositary Units</w:t>
            </w:r>
          </w:p>
        </w:tc>
        <w:tc>
          <w:tcPr>
            <w:tcW w:w="4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Percent of Class</w:t>
            </w:r>
          </w:p>
        </w:tc>
      </w:tr>
      <w:tr>
        <w:trPr>
          <w:trHeight w:val="89"/>
        </w:trPr>
        <w:tc>
          <w:tcPr>
            <w:tcW w:w="49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8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ind w:left="40"/>
              <w:spacing w:after="0" w:line="89" w:lineRule="exact"/>
              <w:rPr>
                <w:sz w:val="20"/>
                <w:szCs w:val="20"/>
                <w:color w:val="auto"/>
              </w:rPr>
            </w:pPr>
            <w:r>
              <w:rPr>
                <w:rFonts w:ascii="Times New Roman" w:cs="Times New Roman" w:eastAsia="Times New Roman" w:hAnsi="Times New Roman"/>
                <w:sz w:val="10"/>
                <w:szCs w:val="10"/>
                <w:color w:val="auto"/>
              </w:rPr>
              <w:t>(a) (b)</w:t>
            </w:r>
          </w:p>
        </w:tc>
        <w:tc>
          <w:tcPr>
            <w:tcW w:w="12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r>
      <w:tr>
        <w:trPr>
          <w:trHeight w:val="24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C. Icahn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299,997,624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Willetts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Ted Papapostolou</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Icahn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408,404</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Nevin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A. Mongillo</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Alvin B. Krongard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41,008</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Dunlap</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Denise Barton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(nine persons)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300,553,762</w:t>
            </w: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total outstanding depositary units of Icahn Enterprises.</w:t>
      </w:r>
    </w:p>
    <w:p>
      <w:pPr>
        <w:spacing w:after="0" w:line="225" w:lineRule="exact"/>
        <w:rPr>
          <w:sz w:val="20"/>
          <w:szCs w:val="20"/>
          <w:color w:val="auto"/>
        </w:rPr>
      </w:pPr>
    </w:p>
    <w:p>
      <w:pPr>
        <w:ind w:left="380" w:right="79" w:hanging="330"/>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is exclusive of a 1.99% ownership interest which Icahn Enterprises GP holds by virtue of its 1% general partner interest in each of us and Icahn Enterprises Holdings.</w:t>
      </w:r>
    </w:p>
    <w:p>
      <w:pPr>
        <w:spacing w:after="0" w:line="161" w:lineRule="exact"/>
        <w:rPr>
          <w:rFonts w:ascii="Times New Roman" w:cs="Times New Roman" w:eastAsia="Times New Roman" w:hAnsi="Times New Roman"/>
          <w:sz w:val="18"/>
          <w:szCs w:val="18"/>
          <w:color w:val="auto"/>
        </w:rPr>
      </w:pPr>
    </w:p>
    <w:p>
      <w:pPr>
        <w:ind w:left="380" w:right="119" w:hanging="330"/>
        <w:spacing w:after="0" w:line="25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December 23, 2022 by CCI Onshore LLC, Gascon Partners, High Coast Limited Partnership, Highcrest Investors LLC, Thornwood Associates Limited Partnership, Barberry Corp., Starfire Holding Corporation, Little Meadow Corp. and Mr. Icahn. Mr. Icahn, by virtue of his relationship to such entities, may be deemed to beneficially own such Depositary Units. Mr. Icahn disclaims beneficial ownership of such Depositary Units except to the extent of his pecuniary interest therein. The principal business address of Mr. Icahn and the other filers of the Schedule 13D/A is 16690 Collins Avenue, PH-1, Sunny Isles Beach, FL 33160.</w:t>
      </w:r>
    </w:p>
    <w:p>
      <w:pPr>
        <w:spacing w:after="0" w:line="187" w:lineRule="exact"/>
        <w:rPr>
          <w:rFonts w:ascii="Times New Roman" w:cs="Times New Roman" w:eastAsia="Times New Roman" w:hAnsi="Times New Roman"/>
          <w:sz w:val="18"/>
          <w:szCs w:val="18"/>
          <w:color w:val="auto"/>
        </w:rPr>
      </w:pPr>
    </w:p>
    <w:p>
      <w:pPr>
        <w:ind w:left="380" w:right="79" w:hanging="330"/>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181,439,167 depositary units pledged as collateral to secure certain personal indebtedness. The number of depositary units pledged to secure these loans fluctuates in certain years and from time to time as a result of changes in the amount of outstanding principal amount of the loans, the market price of the depositary units, and other factors. Mr. Icahn has advised that he and his affiliates have sufficient additional assets to satisfy any obligations pursuant to these loans without recourse to the depositary units, he has no need or intention to allow foreclosure 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419"/>
        <w:spacing w:after="0" w:line="282" w:lineRule="auto"/>
        <w:rPr>
          <w:sz w:val="20"/>
          <w:szCs w:val="20"/>
          <w:color w:val="auto"/>
        </w:rPr>
      </w:pPr>
      <w:r>
        <w:rPr>
          <w:rFonts w:ascii="Times New Roman" w:cs="Times New Roman" w:eastAsia="Times New Roman" w:hAnsi="Times New Roman"/>
          <w:sz w:val="18"/>
          <w:szCs w:val="18"/>
          <w:color w:val="auto"/>
        </w:rPr>
        <w:t>such collateral, and that he is current on all principal and interest payments with respect to the loans, and there has never been an event of default or a default under any of the loans.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(Excluding Securities</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r>
      <w:tr>
        <w:trPr>
          <w:trHeight w:val="238"/>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0"/>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Incentive Plan</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931,508</w:t>
            </w:r>
          </w:p>
        </w:tc>
      </w:tr>
    </w:tbl>
    <w:p>
      <w:pPr>
        <w:spacing w:after="0" w:line="19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During the first quarter of 2017, the board of directors of the general partner of Icahn Enterprises unanimously approved and adopted the 2017 Incentive Plan, which was subsequently approved by holders of a majority of Icahn Enterprises’ depository units and, became effective during the first quarter of 2017.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ind w:left="60" w:right="119" w:firstLine="324"/>
        <w:spacing w:after="0" w:line="277" w:lineRule="auto"/>
        <w:rPr>
          <w:sz w:val="20"/>
          <w:szCs w:val="20"/>
          <w:color w:val="auto"/>
        </w:rPr>
      </w:pPr>
      <w:r>
        <w:rPr>
          <w:rFonts w:ascii="Times New Roman" w:cs="Times New Roman" w:eastAsia="Times New Roman" w:hAnsi="Times New Roman"/>
          <w:sz w:val="17"/>
          <w:szCs w:val="17"/>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Transactions with Our General Partner and Its Affiliates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190"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During 2022, we declared four quarterly distributions aggregating $8.00 per depositary unit. Depositary unitholders were given the option to make an election to receive the distributions in either cash or additional depositary units; if a holder did not make a timely election to receive cash, it was automatically deemed to have elected to receive the distributions in additional depositary units. As a result of the above declared distributions, during 2022 we distributed an aggregate 45,520,325 of Icahn Enterprises’ depositary units to those depositary unitholders who elected to receive such distributions in additional depositary units, of which an aggregate of 42,950,364 depositary units were distributed to Mr. Icahn and his affiliates. As a result, Mr. Icahn and his affiliates owned approximately 85% of Icahn Enterprises’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outstanding depositary units as of December 31, 2022. Mr. Icahn and his affiliates may in the future elect to receive all or a portion of their distributions in cash or in additional depositary units. Pursuant to registration rights agreements, Mr. Icahn has certain registration rights with regard to the depositary units beneficially owned by him.</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On February 22, 2023, the Board of Directors of the general partner of Icahn Enterprises declared a quarterly distribution in the amount of $2.00 per depositary unit, which will be paid on or about April 19, 2023 to depositary unitholders of record at the close of business on March 13, 2023. Depositary unitholders will have until April 6, 2023 to make a timely election to receive either cash or additional depositary units. If a unitholder does not make a timely election, it will automatically be deemed to have elected to receive the distribution in additional depositary units.</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make investments in the Investment Funds. As of December 31, 2022, the total fair market value of investments in the Investment Funds made by Mr. Icahn and his affiliates (excluding us and Brett Icahn) was approximately $4.9 billion, representing approximately 54% of the Investment Funds’ assets under management.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Icahn Capital LP, a wholly-owned subsidiary of ours, paid for salaries and benefits of certain employees who may also perform various functions on behalf of certain other entities beneficially owned by Mr. Icahn, including administrative and investment services.</w:t>
      </w:r>
    </w:p>
    <w:p>
      <w:pPr>
        <w:spacing w:after="0" w:line="176"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Icahn Capital LP pays for expenses pertaining to the operation, administration and investment activities of our Investment segment for the benefit of the Investment Funds (including salaries, benefits and rent). Icahn Capital LP shall be allocated pro rata for such expenses in accordance with each investor’s capital accounts in the Investment Funds. Effective April 1, 2011, based on an expense-sharing arrangement, certain expenses borne by Icahn Capital LP are reimbursed by the Investment Funds, generally when such expenses are paid. During 2022, $18 million was allocated to the Investment Funds based on this expense-sharing arrangement.</w:t>
      </w:r>
    </w:p>
    <w:p>
      <w:pPr>
        <w:spacing w:after="0" w:line="187"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2022, Brett Icahn had net redemptions of $14 million in accordance with the manager agreement.</w:t>
      </w:r>
    </w:p>
    <w:p>
      <w:pPr>
        <w:spacing w:after="0" w:line="18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Affiliate Pension Obligations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85% of Icahn Enterprises’ outstanding depositary units as of December 31, 2022.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December 31, 2022. If the plans were voluntarily terminated, they would be underfunded by an aggregate of approximately $32 million as of December 31, 2022.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Mongillo and Krongard and Ms. Dunlap are “independent” as defined in the currently applicable listing rules of Nasdaq. Ms. Barton and Messrs. Krongard and Mongillo serve as members of our audit committee, which consists entirely of these independent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incurred $5,849,121 and $5,582,246 in audit fees and expenses from Grant Thornton LLP for 2022 and 2021,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18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incurred $300,129 and $1,466,373 in audit-related fees and expenses from Grant Thornton LLP for 2022 and 2021, respectively, relating primarily to services provided in connection with subsidiary carve-out financial statements and due diligence in 2021 and employee benefit plans and certain other agreed upon procedures for both 2022 and 2021.</w:t>
      </w:r>
    </w:p>
    <w:p>
      <w:pPr>
        <w:spacing w:after="0" w:line="176"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We incurred $2,936 and $26,415 in tax-related fees and expenses for 2022 and 2021, respectively, from Grant Thornton LLP for property tax compliance services. Additionally, we $55,736 in other fees and expenses in 2021 from Grant Thornton LLP relating to our Energy segment’s call option.</w:t>
      </w:r>
    </w:p>
    <w:p>
      <w:pPr>
        <w:spacing w:after="0" w:line="1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Charter of the audit committee of the Board of Directors of Icahn Enterprises GP, the general partner of Icahn Enterprises, the audit committee is required to approve in advance any and all audit services and permitted non-audit services provided to Icahn Enterprises and its consolidated subsidiaries by their independent auditors (subject to the de minimis exception of Section 10A (i) (1) (B) of the ‘34 Act), all as required by applicable law or listing standards. All of the fees in 2022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financial statements of Icahn Enterprises L.P., and subsidiaries, are included in Part II, Item 8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0" w:type="dxa"/>
            <w:vAlign w:val="bottom"/>
            <w:shd w:val="clear" w:color="auto" w:fill="CCEEFF"/>
          </w:tcPr>
          <w:p>
            <w:pPr>
              <w:spacing w:after="0"/>
              <w:rPr>
                <w:sz w:val="15"/>
                <w:szCs w:val="15"/>
                <w:color w:val="auto"/>
              </w:rPr>
            </w:pPr>
          </w:p>
        </w:tc>
        <w:tc>
          <w:tcPr>
            <w:tcW w:w="768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1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55</w:t>
            </w: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189"/>
        </w:trPr>
        <w:tc>
          <w:tcPr>
            <w:tcW w:w="60" w:type="dxa"/>
            <w:vAlign w:val="bottom"/>
          </w:tcPr>
          <w:p>
            <w:pPr>
              <w:spacing w:after="0"/>
              <w:rPr>
                <w:sz w:val="16"/>
                <w:szCs w:val="16"/>
                <w:color w:val="auto"/>
              </w:rPr>
            </w:pPr>
          </w:p>
        </w:tc>
        <w:tc>
          <w:tcPr>
            <w:tcW w:w="76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48"/>
        </w:trPr>
        <w:tc>
          <w:tcPr>
            <w:tcW w:w="6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60" w:type="dxa"/>
            <w:vAlign w:val="bottom"/>
            <w:shd w:val="clear" w:color="auto" w:fill="CCEEFF"/>
          </w:tcPr>
          <w:p>
            <w:pPr>
              <w:spacing w:after="0"/>
              <w:rPr>
                <w:sz w:val="21"/>
                <w:szCs w:val="21"/>
                <w:color w:val="auto"/>
              </w:rPr>
            </w:pPr>
          </w:p>
        </w:tc>
        <w:tc>
          <w:tcPr>
            <w:tcW w:w="768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Comprehensive Income (Loss)</w:t>
            </w:r>
          </w:p>
        </w:tc>
        <w:tc>
          <w:tcPr>
            <w:tcW w:w="11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203"/>
        </w:trPr>
        <w:tc>
          <w:tcPr>
            <w:tcW w:w="60" w:type="dxa"/>
            <w:vAlign w:val="bottom"/>
            <w:tcBorders>
              <w:top w:val="single" w:sz="8" w:color="CCEEFF"/>
            </w:tcBorders>
          </w:tcPr>
          <w:p>
            <w:pPr>
              <w:spacing w:after="0"/>
              <w:rPr>
                <w:sz w:val="17"/>
                <w:szCs w:val="17"/>
                <w:color w:val="auto"/>
              </w:rPr>
            </w:pPr>
          </w:p>
        </w:tc>
        <w:tc>
          <w:tcPr>
            <w:tcW w:w="4240" w:type="dxa"/>
            <w:vAlign w:val="bottom"/>
            <w:tcBorders>
              <w:top w:val="single" w:sz="8" w:color="0000EE"/>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 of Changes in Equity</w:t>
            </w:r>
          </w:p>
        </w:tc>
        <w:tc>
          <w:tcPr>
            <w:tcW w:w="34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48"/>
        </w:trPr>
        <w:tc>
          <w:tcPr>
            <w:tcW w:w="6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89"/>
        </w:trPr>
        <w:tc>
          <w:tcPr>
            <w:tcW w:w="60" w:type="dxa"/>
            <w:vAlign w:val="bottom"/>
            <w:shd w:val="clear" w:color="auto" w:fill="CCEEFF"/>
          </w:tcPr>
          <w:p>
            <w:pPr>
              <w:spacing w:after="0"/>
              <w:rPr>
                <w:sz w:val="16"/>
                <w:szCs w:val="16"/>
                <w:color w:val="auto"/>
              </w:rPr>
            </w:pPr>
          </w:p>
        </w:tc>
        <w:tc>
          <w:tcPr>
            <w:tcW w:w="76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1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189"/>
        </w:trPr>
        <w:tc>
          <w:tcPr>
            <w:tcW w:w="60" w:type="dxa"/>
            <w:vAlign w:val="bottom"/>
          </w:tcPr>
          <w:p>
            <w:pPr>
              <w:spacing w:after="0"/>
              <w:rPr>
                <w:sz w:val="16"/>
                <w:szCs w:val="16"/>
                <w:color w:val="auto"/>
              </w:rPr>
            </w:pPr>
          </w:p>
        </w:tc>
        <w:tc>
          <w:tcPr>
            <w:tcW w:w="76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6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80"/>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tc>
        <w:tc>
          <w:tcPr>
            <w:tcW w:w="1160" w:type="dxa"/>
            <w:vAlign w:val="bottom"/>
          </w:tcPr>
          <w:p>
            <w:pPr>
              <w:spacing w:after="0"/>
              <w:rPr>
                <w:sz w:val="24"/>
                <w:szCs w:val="24"/>
                <w:color w:val="auto"/>
              </w:rPr>
            </w:pP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27"/>
        </w:trPr>
        <w:tc>
          <w:tcPr>
            <w:tcW w:w="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Schedule I - Condensed Financial Information of Parent</w:t>
            </w:r>
          </w:p>
        </w:tc>
        <w:tc>
          <w:tcPr>
            <w:tcW w:w="1200" w:type="dxa"/>
            <w:vAlign w:val="bottom"/>
            <w:shd w:val="clear" w:color="auto" w:fill="CCEEFF"/>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4040" w:type="dxa"/>
            <w:vAlign w:val="bottom"/>
            <w:tcBorders>
              <w:top w:val="single" w:sz="8" w:color="0000EE"/>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bl>
    <w:p>
      <w:pPr>
        <w:spacing w:after="0" w:line="19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list of exhibits required by Item 601 of Regulation S-K and filed as part of this Report is set forth in the Exhibit Index.</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6"/>
        </w:trPr>
        <w:tc>
          <w:tcPr>
            <w:tcW w:w="6820" w:type="dxa"/>
            <w:vAlign w:val="bottom"/>
          </w:tcPr>
          <w:p>
            <w:pPr>
              <w:spacing w:after="0"/>
              <w:rPr>
                <w:sz w:val="17"/>
                <w:szCs w:val="17"/>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(in millions, except unit amounts)</w:t>
            </w:r>
          </w:p>
        </w:tc>
      </w:tr>
      <w:tr>
        <w:trPr>
          <w:trHeight w:val="216"/>
        </w:trPr>
        <w:tc>
          <w:tcPr>
            <w:tcW w:w="68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in subsidiaries, net</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82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09"/>
        </w:trPr>
        <w:tc>
          <w:tcPr>
            <w:tcW w:w="6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10"/>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8"/>
        </w:trPr>
        <w:tc>
          <w:tcPr>
            <w:tcW w:w="6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353,572,182 units issued and outstanding at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293,403,243 units issued and outstanding at December 31, 2021</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09"/>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gain (loss) of subsidiaries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4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allocated to:</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partners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60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(gain) loss of subsidiary</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and advances from subsidiaries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by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and other</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174"/>
        </w:trPr>
        <w:tc>
          <w:tcPr>
            <w:tcW w:w="60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 and restricted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0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2022, Icahn Enterprises is engaged in the following continuing operating businesses: </w:t>
      </w:r>
      <w:r>
        <w:rPr>
          <w:rFonts w:ascii="Times New Roman" w:cs="Times New Roman" w:eastAsia="Times New Roman" w:hAnsi="Times New Roman"/>
          <w:sz w:val="18"/>
          <w:szCs w:val="18"/>
          <w:color w:val="231F20"/>
        </w:rPr>
        <w:t>Investment, Energy, Automotive, Food Packaging, Real Estate, Home Fashion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Pharma</w:t>
      </w:r>
      <w:r>
        <w:rPr>
          <w:rFonts w:ascii="Times New Roman" w:cs="Times New Roman" w:eastAsia="Times New Roman" w:hAnsi="Times New Roman"/>
          <w:sz w:val="18"/>
          <w:szCs w:val="18"/>
          <w:color w:val="000000"/>
        </w:rPr>
        <w:t>. In addition, we operated a Metals business until sold in December 2021.</w:t>
      </w:r>
    </w:p>
    <w:p>
      <w:pPr>
        <w:spacing w:after="0" w:line="192"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Icahn Enterprises received (paid) $264 million, $(366) million and $1,276 million, respectively, for net investment in and advances from subsidiaries.</w:t>
      </w:r>
    </w:p>
    <w:p>
      <w:pPr>
        <w:spacing w:after="0" w:line="162"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Icahn Enterprises should be read in conjunction with the consolidated financial statements and notes thereto included in Item 8 of this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Debt</w:t>
      </w:r>
    </w:p>
    <w:p>
      <w:pPr>
        <w:spacing w:after="0" w:line="229"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See Note 11, “Debt,” to the consolidated financial statements located in Item 8 of this Report. Icahn Enterprises’ Parent company debt consists of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60" w:type="dxa"/>
            <w:vAlign w:val="bottom"/>
            <w:tcBorders>
              <w:bottom w:val="single" w:sz="8" w:color="auto"/>
            </w:tcBorders>
          </w:tcPr>
          <w:p>
            <w:pPr>
              <w:spacing w:after="0"/>
              <w:rPr>
                <w:sz w:val="20"/>
                <w:szCs w:val="20"/>
                <w:color w:val="auto"/>
              </w:rPr>
            </w:pP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196"/>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February 2022, Icahn Enterprises repaid all of its outstanding $500 million aggregate principal amount of 6.750% senior unsecured notes due 2024 at par.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22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See Note 17, “Commitments and Contingencies,” to the consolidated financial statements located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4" w:lineRule="exact"/>
        <w:rPr>
          <w:sz w:val="20"/>
          <w:szCs w:val="20"/>
          <w:color w:val="auto"/>
        </w:rPr>
      </w:pPr>
    </w:p>
    <w:p>
      <w:pPr>
        <w:ind w:left="60"/>
        <w:spacing w:after="0"/>
        <w:tabs>
          <w:tab w:leader="none" w:pos="45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54" w:lineRule="exact"/>
        <w:rPr>
          <w:sz w:val="20"/>
          <w:szCs w:val="20"/>
          <w:color w:val="auto"/>
        </w:rPr>
      </w:pPr>
    </w:p>
    <w:p>
      <w:pPr>
        <w:ind w:left="1080" w:right="99" w:hanging="692"/>
        <w:spacing w:after="0" w:line="257"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54">
        <w:r>
          <w:rPr>
            <w:rFonts w:ascii="Times New Roman" w:cs="Times New Roman" w:eastAsia="Times New Roman" w:hAnsi="Times New Roman"/>
            <w:sz w:val="18"/>
            <w:szCs w:val="18"/>
            <w:u w:val="single" w:color="auto"/>
            <w:color w:val="0000EE"/>
          </w:rPr>
          <w:t>Agreement and Plan of Merger, dated as of September 6, 2016, by and among Federal Mogul Holdings</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Corporation, American Entertainment Properties Corp. and IEH FM Holdings LLC (incorporated by</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reference to Exhibit 2.1 to Icahn Enterprises’ Form 8-K (SEC File No. 1-9516), filed on September 7, 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-418465</wp:posOffset>
            </wp:positionV>
            <wp:extent cx="5648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080" w:right="19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2.2</w:t>
      </w:r>
      <w:r>
        <w:rPr>
          <w:sz w:val="20"/>
          <w:szCs w:val="20"/>
          <w:color w:val="auto"/>
        </w:rPr>
        <w:tab/>
      </w:r>
      <w:hyperlink r:id="rId156">
        <w:r>
          <w:rPr>
            <w:rFonts w:ascii="Times New Roman" w:cs="Times New Roman" w:eastAsia="Times New Roman" w:hAnsi="Times New Roman"/>
            <w:sz w:val="18"/>
            <w:szCs w:val="18"/>
            <w:u w:val="single" w:color="auto"/>
            <w:color w:val="0000EE"/>
          </w:rPr>
          <w:t>Equity Asset and Purchase Agreement, dated as of December 16, 2016, by and among American Railcar</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Leasing LLC, American Entertainment Properties Corp., AEP Rail Corp., SMBC Rail Services LLC and</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Sumitomo Mitsui Banking Corporation (incorporated by reference to Exhibit 2.1 to Icahn Enterprises’ and</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Icahn Enterprises Holdings’ joint Form 8-K (SEC File Nos. 1-9516 and 333-118021-01, respectively), filed</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on December 19, 2016)</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2.3</w:t>
      </w:r>
      <w:r>
        <w:rPr>
          <w:sz w:val="20"/>
          <w:szCs w:val="20"/>
          <w:color w:val="auto"/>
        </w:rPr>
        <w:tab/>
      </w:r>
      <w:hyperlink r:id="rId157">
        <w:r>
          <w:rPr>
            <w:rFonts w:ascii="Times New Roman" w:cs="Times New Roman" w:eastAsia="Times New Roman" w:hAnsi="Times New Roman"/>
            <w:sz w:val="18"/>
            <w:szCs w:val="18"/>
            <w:u w:val="single" w:color="auto"/>
            <w:color w:val="0000EE"/>
          </w:rPr>
          <w:t>Membership Interest Purchase Agreement, dated April 10, 2018, by and among Tenneco Inc., Federal-Mogul</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LLC, American Entertainment Properties Corp., and Icahn Enterprises L.P. (incorporated by reference to</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Exhibit 2.1 to Icahn Enterprises’ and Icahn Enterprises Holdings’ joint Form 8-K (SEC File Nos. 1-9516 and</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333-118021-01, respectively) file April 10,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2.4</w:t>
      </w:r>
      <w:r>
        <w:rPr>
          <w:sz w:val="20"/>
          <w:szCs w:val="20"/>
          <w:color w:val="auto"/>
        </w:rPr>
        <w:tab/>
      </w:r>
      <w:hyperlink r:id="rId158">
        <w:r>
          <w:rPr>
            <w:rFonts w:ascii="Times New Roman" w:cs="Times New Roman" w:eastAsia="Times New Roman" w:hAnsi="Times New Roman"/>
            <w:sz w:val="18"/>
            <w:szCs w:val="18"/>
            <w:u w:val="single" w:color="auto"/>
            <w:color w:val="0000EE"/>
          </w:rPr>
          <w:t>Agreement and Plan of Merger, dated April 15, 2018, by and among Eldorado Resorts, Inc., Delta Merger</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Sub, Inc., GLP Capital, L.P. and Tropicana Entertainment Inc. (incorporated by reference to Exhibit 2.1 to</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Icahn Enterprises’ and Icahn Enterprises Holdings’ joint Form 8-K (SEC File Nos. 1-9516 and 333-118021-</w:t>
        </w:r>
      </w:hyperlink>
      <w:hyperlink r:id="rId158">
        <w:r>
          <w:rPr>
            <w:rFonts w:ascii="Times New Roman" w:cs="Times New Roman" w:eastAsia="Times New Roman" w:hAnsi="Times New Roman"/>
            <w:sz w:val="18"/>
            <w:szCs w:val="18"/>
            <w:u w:val="single" w:color="auto"/>
            <w:color w:val="0000EE"/>
          </w:rPr>
          <w:t>01, respectively) file April 16,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2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2.5</w:t>
      </w:r>
      <w:r>
        <w:rPr>
          <w:sz w:val="20"/>
          <w:szCs w:val="20"/>
          <w:color w:val="auto"/>
        </w:rPr>
        <w:tab/>
      </w:r>
      <w:hyperlink r:id="rId159">
        <w:r>
          <w:rPr>
            <w:rFonts w:ascii="Times New Roman" w:cs="Times New Roman" w:eastAsia="Times New Roman" w:hAnsi="Times New Roman"/>
            <w:sz w:val="18"/>
            <w:szCs w:val="18"/>
            <w:u w:val="single" w:color="auto"/>
            <w:color w:val="0000EE"/>
          </w:rPr>
          <w:t>Agreement and Plan of Merger, dated as of October 22, 2018, by and between STL Parent Corp. and</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American Railcar Industries, Inc. (incorporated by reference to Exhibit 2.1 to Icahn Enterprises’ and Icahn</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Enterprises Holdings’ joint Form 8-K (SEC File Nos. 1-9516 and 333-118021-01, respectively) file</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October 22,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3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3.1</w:t>
      </w:r>
      <w:r>
        <w:rPr>
          <w:sz w:val="20"/>
          <w:szCs w:val="20"/>
          <w:color w:val="auto"/>
        </w:rPr>
        <w:tab/>
      </w:r>
      <w:hyperlink r:id="rId160">
        <w:r>
          <w:rPr>
            <w:rFonts w:ascii="Times New Roman" w:cs="Times New Roman" w:eastAsia="Times New Roman" w:hAnsi="Times New Roman"/>
            <w:sz w:val="18"/>
            <w:szCs w:val="18"/>
            <w:u w:val="single" w:color="auto"/>
            <w:color w:val="0000EE"/>
          </w:rPr>
          <w:t>Certificate of Limited Partnership of Icahn Enterprises L.P., f/k/a American Real Estate Partners, L.P.</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(“Icahn Enterprises”) dated February 17, 1987, as thereafter amended from time to time (incorporated by</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reference to Exhibit 3.1 to Icahn Enterprises’ Form 8-K (SEC File No. 1-9516), filed on September 20,</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2007)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9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3.2</w:t>
      </w:r>
      <w:r>
        <w:rPr>
          <w:sz w:val="20"/>
          <w:szCs w:val="20"/>
          <w:color w:val="auto"/>
        </w:rPr>
        <w:tab/>
      </w:r>
      <w:hyperlink r:id="rId161">
        <w:r>
          <w:rPr>
            <w:rFonts w:ascii="Times New Roman" w:cs="Times New Roman" w:eastAsia="Times New Roman" w:hAnsi="Times New Roman"/>
            <w:sz w:val="18"/>
            <w:szCs w:val="18"/>
            <w:u w:val="single" w:color="auto"/>
            <w:color w:val="0000EE"/>
          </w:rPr>
          <w:t>Certificate of Limited Partnership of Icahn Enterprises Holdings L.P., f/k/a American Real Estate Holdings</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Limited Partnership (“Icahn Enterprises Holdings”), dated February 17, 1987, as amended pursuant to the</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First Amendment thereto, dated March 10, 1987 (incorporated by reference to Exhibit 3.5 to Icahn</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Enterprises’ Form 10-Q for the quarter ended March 31, 2004 (SEC File No. 1-9516), filed on May 10,</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2004, as further amended pursuant to the Certificate of Amendment thereto, dated September 17, 2007</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(incorporated by reference to Exhibit 3.9 to Icahn Enterprises’ Form 10-K for the year ended December 31,</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2007 (SEC File No. 1-9516), filed on March 17, 2008)</w:t>
        </w:r>
        <w:r>
          <w:rPr>
            <w:rFonts w:ascii="Times New Roman" w:cs="Times New Roman" w:eastAsia="Times New Roman" w:hAnsi="Times New Roman"/>
            <w:sz w:val="18"/>
            <w:szCs w:val="18"/>
            <w:color w:val="000000"/>
          </w:rPr>
          <w:t>.</w:t>
        </w:r>
      </w:hyperlink>
    </w:p>
    <w:p>
      <w:pPr>
        <w:spacing w:after="0" w:line="3" w:lineRule="exact"/>
        <w:rPr>
          <w:rFonts w:ascii="Times New Roman" w:cs="Times New Roman" w:eastAsia="Times New Roman" w:hAnsi="Times New Roman"/>
          <w:sz w:val="18"/>
          <w:szCs w:val="18"/>
          <w:u w:val="single" w:color="auto"/>
          <w:color w:val="0000EE"/>
        </w:rPr>
      </w:pPr>
    </w:p>
    <w:p>
      <w:pPr>
        <w:ind w:left="1080" w:right="13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3.3</w:t>
      </w:r>
      <w:r>
        <w:rPr>
          <w:sz w:val="20"/>
          <w:szCs w:val="20"/>
          <w:color w:val="auto"/>
        </w:rPr>
        <w:tab/>
      </w:r>
      <w:hyperlink r:id="rId162">
        <w:r>
          <w:rPr>
            <w:rFonts w:ascii="Times New Roman" w:cs="Times New Roman" w:eastAsia="Times New Roman" w:hAnsi="Times New Roman"/>
            <w:sz w:val="18"/>
            <w:szCs w:val="18"/>
            <w:u w:val="single" w:color="auto"/>
            <w:color w:val="0000EE"/>
          </w:rPr>
          <w:t>Second Amended and Restated Agreement of Limited Partnership of Icahn Enterprises L.P., dated August 2,</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2016 (incorporated by reference to Exhibit 3.1 to Icahn Enterprises’ and Icahn Enterprises Holdings’ joint</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Form 10-Q for the quarterly period ended June 30, 2016 (SEC File Nos. 1-9516 and 333-118021-01,</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respectively), filed on August 4, 2016)</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3.4</w:t>
      </w:r>
      <w:r>
        <w:rPr>
          <w:sz w:val="20"/>
          <w:szCs w:val="20"/>
          <w:color w:val="auto"/>
        </w:rPr>
        <w:tab/>
      </w:r>
      <w:hyperlink r:id="rId163">
        <w:r>
          <w:rPr>
            <w:rFonts w:ascii="Times New Roman" w:cs="Times New Roman" w:eastAsia="Times New Roman" w:hAnsi="Times New Roman"/>
            <w:sz w:val="18"/>
            <w:szCs w:val="18"/>
            <w:u w:val="single" w:color="auto"/>
            <w:color w:val="0000EE"/>
          </w:rPr>
          <w:t>Amended and Restated Agreement of Limited Partnership of Icahn Enterprises Holdings, dated as of July 1,</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1987 (incorporated by reference to Exhibit 3.5 to Icahn Enterprises’ Form 10-Q for the quarter ended</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March 31, 2004 (SEC File No. 1-9516), filed on May 10, 2004)</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3.5</w:t>
      </w:r>
      <w:r>
        <w:rPr>
          <w:sz w:val="20"/>
          <w:szCs w:val="20"/>
          <w:color w:val="auto"/>
        </w:rPr>
        <w:tab/>
      </w:r>
      <w:hyperlink r:id="rId164">
        <w:r>
          <w:rPr>
            <w:rFonts w:ascii="Times New Roman" w:cs="Times New Roman" w:eastAsia="Times New Roman" w:hAnsi="Times New Roman"/>
            <w:sz w:val="18"/>
            <w:szCs w:val="18"/>
            <w:u w:val="single" w:color="auto"/>
            <w:color w:val="0000EE"/>
          </w:rPr>
          <w:t>Amendment No. 1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Holdings, dated August 16, 1996 (incorporated by reference to Exhibit 10.2 to Icahn Enterprises’ Form 8-K</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(SEC File No. 1-9516), filed on August 16, 1996)</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3.6</w:t>
      </w:r>
      <w:r>
        <w:rPr>
          <w:sz w:val="20"/>
          <w:szCs w:val="20"/>
          <w:color w:val="auto"/>
        </w:rPr>
        <w:tab/>
      </w:r>
      <w:hyperlink r:id="rId165">
        <w:r>
          <w:rPr>
            <w:rFonts w:ascii="Times New Roman" w:cs="Times New Roman" w:eastAsia="Times New Roman" w:hAnsi="Times New Roman"/>
            <w:sz w:val="18"/>
            <w:szCs w:val="18"/>
            <w:u w:val="single" w:color="auto"/>
            <w:color w:val="0000EE"/>
          </w:rPr>
          <w:t>Amendment No. 2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Holdings, dated June 14, 2002 (incorporated by reference to Exhibit 3.9 to Icahn Enterprises’ Form 10-K for</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the year ended December 31, 2002 (SEC File No. 1-9516), filed on March 31, 2003)</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3.7</w:t>
      </w:r>
      <w:r>
        <w:rPr>
          <w:sz w:val="20"/>
          <w:szCs w:val="20"/>
          <w:color w:val="auto"/>
        </w:rPr>
        <w:tab/>
      </w:r>
      <w:hyperlink r:id="rId166">
        <w:r>
          <w:rPr>
            <w:rFonts w:ascii="Times New Roman" w:cs="Times New Roman" w:eastAsia="Times New Roman" w:hAnsi="Times New Roman"/>
            <w:sz w:val="18"/>
            <w:szCs w:val="18"/>
            <w:u w:val="single" w:color="auto"/>
            <w:color w:val="0000EE"/>
          </w:rPr>
          <w:t>Amendment No. 3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Holdings, dated June 29, 2005 (incorporated by reference to Exhibit 3.2 to Icahn Enterprises’ Form 10-Q for</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the quarter ended June 30, 2005 (SEC File No. 1-9516), filed on August 9, 2005)</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419" w:hanging="692"/>
        <w:spacing w:after="0" w:line="255"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3.8</w:t>
      </w:r>
      <w:r>
        <w:rPr>
          <w:sz w:val="20"/>
          <w:szCs w:val="20"/>
          <w:color w:val="auto"/>
        </w:rPr>
        <w:tab/>
      </w:r>
      <w:hyperlink r:id="rId167">
        <w:r>
          <w:rPr>
            <w:rFonts w:ascii="Times New Roman" w:cs="Times New Roman" w:eastAsia="Times New Roman" w:hAnsi="Times New Roman"/>
            <w:sz w:val="18"/>
            <w:szCs w:val="18"/>
            <w:u w:val="single" w:color="auto"/>
            <w:color w:val="0000EE"/>
          </w:rPr>
          <w:t>Amendment No. 4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Holdings, dated September 17, 2007 (incorporated by reference to Exhibit 3.11 to Icahn Enterprises’</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Form 10-K for the year ended December 31, 2007 (SEC File No. 1-9516), filed on March 17, 2008)</w:t>
        </w:r>
        <w:r>
          <w:rPr>
            <w:rFonts w:ascii="Times New Roman" w:cs="Times New Roman" w:eastAsia="Times New Roman" w:hAnsi="Times New Roman"/>
            <w:sz w:val="18"/>
            <w:szCs w:val="18"/>
            <w:color w:val="000000"/>
          </w:rPr>
          <w:t>.</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80" w:right="339" w:hanging="692"/>
        <w:spacing w:after="0" w:line="257"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w:t>
      </w:r>
      <w:r>
        <w:rPr>
          <w:sz w:val="20"/>
          <w:szCs w:val="20"/>
          <w:color w:val="auto"/>
        </w:rPr>
        <w:tab/>
      </w:r>
      <w:hyperlink r:id="rId169">
        <w:r>
          <w:rPr>
            <w:rFonts w:ascii="Times New Roman" w:cs="Times New Roman" w:eastAsia="Times New Roman" w:hAnsi="Times New Roman"/>
            <w:sz w:val="18"/>
            <w:szCs w:val="18"/>
            <w:u w:val="single" w:color="auto"/>
            <w:color w:val="0000EE"/>
          </w:rPr>
          <w:t>Description of securities (incorporated by reference to Exhibit 4.1 to Icahn Enterprises’ and Icahn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Enterprises Holdings’ joint Form 10-K for the year ended December 31, 2019 (SEC File Nos. 1-9516 and</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333-118021-01, respectively), filed on February 28, 2020)</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4.2</w:t>
      </w:r>
      <w:r>
        <w:rPr>
          <w:sz w:val="20"/>
          <w:szCs w:val="20"/>
          <w:color w:val="auto"/>
        </w:rPr>
        <w:tab/>
      </w:r>
      <w:hyperlink r:id="rId170">
        <w:r>
          <w:rPr>
            <w:rFonts w:ascii="Times New Roman" w:cs="Times New Roman" w:eastAsia="Times New Roman" w:hAnsi="Times New Roman"/>
            <w:sz w:val="18"/>
            <w:szCs w:val="18"/>
            <w:u w:val="single" w:color="auto"/>
            <w:color w:val="0000EE"/>
          </w:rPr>
          <w:t>Form of Transfer Application (incorporated by reference to Exhibit 4.4 to Icahn Enterprises’ Form 10-K for</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the year ended December 31, 2004 (SEC File No. 1-9516), filed on March 16, 2005)</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1080" w:right="1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4.3</w:t>
      </w:r>
      <w:r>
        <w:rPr>
          <w:sz w:val="20"/>
          <w:szCs w:val="20"/>
          <w:color w:val="auto"/>
        </w:rPr>
        <w:tab/>
      </w:r>
      <w:hyperlink r:id="rId171">
        <w:r>
          <w:rPr>
            <w:rFonts w:ascii="Times New Roman" w:cs="Times New Roman" w:eastAsia="Times New Roman" w:hAnsi="Times New Roman"/>
            <w:sz w:val="18"/>
            <w:szCs w:val="18"/>
            <w:u w:val="single" w:color="auto"/>
            <w:color w:val="0000EE"/>
          </w:rPr>
          <w:t>Specimen Depositary Receipt (incorporated by reference to Exhibit 4.3 to Icahn Enterprises’ Form 10-K for</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the year ended December 31, 2014 (SEC File No. 1-9516), filed on March 16, 2005)</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1080" w:right="2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4.4</w:t>
      </w:r>
      <w:r>
        <w:rPr>
          <w:sz w:val="20"/>
          <w:szCs w:val="20"/>
          <w:color w:val="auto"/>
        </w:rPr>
        <w:tab/>
      </w:r>
      <w:hyperlink r:id="rId172">
        <w:r>
          <w:rPr>
            <w:rFonts w:ascii="Times New Roman" w:cs="Times New Roman" w:eastAsia="Times New Roman" w:hAnsi="Times New Roman"/>
            <w:sz w:val="18"/>
            <w:szCs w:val="18"/>
            <w:u w:val="single" w:color="auto"/>
            <w:color w:val="0000EE"/>
          </w:rPr>
          <w:t>Specimen Depositary Certificate (incorporated by reference to Exhibit 4.1 to Icahn Enterprises’ Form 10-Q</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for the quarterly period ended June 30, 2016 (SEC File No. 1-9516), filed on August 4, 2016)</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1080" w:right="7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4.5</w:t>
      </w:r>
      <w:r>
        <w:rPr>
          <w:sz w:val="20"/>
          <w:szCs w:val="20"/>
          <w:color w:val="auto"/>
        </w:rPr>
        <w:tab/>
      </w:r>
      <w:hyperlink r:id="rId173">
        <w:r>
          <w:rPr>
            <w:rFonts w:ascii="Times New Roman" w:cs="Times New Roman" w:eastAsia="Times New Roman" w:hAnsi="Times New Roman"/>
            <w:sz w:val="18"/>
            <w:szCs w:val="18"/>
            <w:u w:val="single" w:color="auto"/>
            <w:color w:val="0000EE"/>
          </w:rPr>
          <w:t>Specimen Certificate representing preferred units (incorporated by reference to Exhibit 4.9 to Icahn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Enterprises’ Form S-3/A (SEC File No. 33-54767), filed on February 22, 1995)</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jc w:val="both"/>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4.6</w:t>
      </w:r>
      <w:r>
        <w:rPr>
          <w:sz w:val="20"/>
          <w:szCs w:val="20"/>
          <w:color w:val="auto"/>
        </w:rPr>
        <w:tab/>
      </w:r>
      <w:hyperlink r:id="rId174">
        <w:r>
          <w:rPr>
            <w:rFonts w:ascii="Times New Roman" w:cs="Times New Roman" w:eastAsia="Times New Roman" w:hAnsi="Times New Roman"/>
            <w:sz w:val="18"/>
            <w:szCs w:val="18"/>
            <w:u w:val="single" w:color="auto"/>
            <w:color w:val="0000EE"/>
          </w:rPr>
          <w:t>Registration Rights Agreement between Icahn Enterprises and High Coast Limited Partnership (f/k/a X LP)</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(incorporated by reference to Exhibit 10.2 to Icahn Enterprises’ Form 10-K for the year ended December 31,</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2004 (SEC File No. 1-9516), filed on March 16, 2005)</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4.7</w:t>
      </w:r>
      <w:r>
        <w:rPr>
          <w:sz w:val="20"/>
          <w:szCs w:val="20"/>
          <w:color w:val="auto"/>
        </w:rPr>
        <w:tab/>
      </w:r>
      <w:hyperlink r:id="rId175">
        <w:r>
          <w:rPr>
            <w:rFonts w:ascii="Times New Roman" w:cs="Times New Roman" w:eastAsia="Times New Roman" w:hAnsi="Times New Roman"/>
            <w:sz w:val="18"/>
            <w:szCs w:val="18"/>
            <w:u w:val="single" w:color="auto"/>
            <w:color w:val="0000EE"/>
          </w:rPr>
          <w:t>Registration Rights Agreement, dated June 30, 2005 between Icahn Enterprises and Highcrest Investors</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Corp., Amos Corp., Cyprus, LLC and Gascon Partners (incorporated by reference to Exhibit 10.6 to Icahn</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Enterprises’ Form 10-Q (SEC File No. 1-9516), filed on August 9, 2005), as amended by Amendment No. 1</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thereto, dated as of August 8, 2007 (incorporated by reference to Exhibit 10.5 to Icahn Enterprises’ Form 10-</w:t>
        </w:r>
      </w:hyperlink>
      <w:hyperlink r:id="rId175">
        <w:r>
          <w:rPr>
            <w:rFonts w:ascii="Times New Roman" w:cs="Times New Roman" w:eastAsia="Times New Roman" w:hAnsi="Times New Roman"/>
            <w:sz w:val="18"/>
            <w:szCs w:val="18"/>
            <w:u w:val="single" w:color="auto"/>
            <w:color w:val="0000EE"/>
          </w:rPr>
          <w:t>Q for the quarter ended June 30, 2007 (SEC File No. 1-9516), filed on August 9, 2007)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4.8</w:t>
      </w:r>
      <w:r>
        <w:rPr>
          <w:sz w:val="20"/>
          <w:szCs w:val="20"/>
          <w:color w:val="auto"/>
        </w:rPr>
        <w:tab/>
      </w:r>
      <w:hyperlink r:id="rId176">
        <w:r>
          <w:rPr>
            <w:rFonts w:ascii="Times New Roman" w:cs="Times New Roman" w:eastAsia="Times New Roman" w:hAnsi="Times New Roman"/>
            <w:sz w:val="18"/>
            <w:szCs w:val="18"/>
            <w:u w:val="single" w:color="auto"/>
            <w:color w:val="0000EE"/>
          </w:rPr>
          <w:t>Amended and Restated Depositary Agreement among Icahn Enterprises, Icahn Enterprises GP and Registrar</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and Transfer Company, dated as of August 23, 2013 (incorporated by reference to Exhibit 10.1 to Icahn</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Enterprises’ Form 8-K (SEC File No. 1-9516), filed on August 23, 2013)</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4.9</w:t>
      </w:r>
      <w:r>
        <w:rPr>
          <w:sz w:val="20"/>
          <w:szCs w:val="20"/>
          <w:color w:val="auto"/>
        </w:rPr>
        <w:tab/>
      </w:r>
      <w:hyperlink r:id="rId177">
        <w:r>
          <w:rPr>
            <w:rFonts w:ascii="Times New Roman" w:cs="Times New Roman" w:eastAsia="Times New Roman" w:hAnsi="Times New Roman"/>
            <w:sz w:val="18"/>
            <w:szCs w:val="18"/>
            <w:u w:val="single" w:color="auto"/>
            <w:color w:val="0000EE"/>
          </w:rPr>
          <w:t>Indenture, dated as of December 6, 2017,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Enterprises Holdings, as Guarantor, and Wilmington Trust Company, as Trustee relating to the 6.375%</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Senior Notes Due 2025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Holdings’ joint Form 8-K (SEC File Nos. 1-9516 and 333-118021-01, respectively), filed on December 6,</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2017)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4.10</w:t>
      </w:r>
      <w:r>
        <w:rPr>
          <w:sz w:val="20"/>
          <w:szCs w:val="20"/>
          <w:color w:val="auto"/>
        </w:rPr>
        <w:tab/>
      </w:r>
      <w:hyperlink r:id="rId178">
        <w:r>
          <w:rPr>
            <w:rFonts w:ascii="Times New Roman" w:cs="Times New Roman" w:eastAsia="Times New Roman" w:hAnsi="Times New Roman"/>
            <w:sz w:val="18"/>
            <w:szCs w:val="18"/>
            <w:u w:val="single" w:color="auto"/>
            <w:color w:val="0000EE"/>
          </w:rPr>
          <w:t>Indenture, dated as of May 10, 2019, among Icahn Enterprises, Icahn Enterprises Finance, Icahn Enterprises</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Holdings, as Guarantor, and Wilmington Trust Company, as Trustee relating to the 6.250% Senior Notes Due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2026 incorporated by reference to Exhibit 4.1 to Icahn Enterprises’ and Icahn Enterprises Holdings’ joint</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Form 8-K (SEC File Nos. 1-9516 and 333-118021-01, respectively), filed on May 10,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4"/>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4.11</w:t>
      </w:r>
      <w:r>
        <w:rPr>
          <w:sz w:val="20"/>
          <w:szCs w:val="20"/>
          <w:color w:val="auto"/>
        </w:rPr>
        <w:tab/>
      </w:r>
      <w:hyperlink r:id="rId179">
        <w:r>
          <w:rPr>
            <w:rFonts w:ascii="Times New Roman" w:cs="Times New Roman" w:eastAsia="Times New Roman" w:hAnsi="Times New Roman"/>
            <w:sz w:val="18"/>
            <w:szCs w:val="18"/>
            <w:u w:val="single" w:color="auto"/>
            <w:color w:val="0000EE"/>
          </w:rPr>
          <w:t>Indenture, dated as of September 6, 2019,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Enterprises Holdings, as Guarantor, and Wilmington Trust Company, as Trustee relating to the 4.750%</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Senior Notes Due 2024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Holdings’ joint Form 8-K (SEC File Nos. 1-9516 and 333-118021-01, respectively), filed on September 6,</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4.12</w:t>
      </w:r>
      <w:r>
        <w:rPr>
          <w:sz w:val="20"/>
          <w:szCs w:val="20"/>
          <w:color w:val="auto"/>
        </w:rPr>
        <w:tab/>
      </w:r>
      <w:hyperlink r:id="rId180">
        <w:r>
          <w:rPr>
            <w:rFonts w:ascii="Times New Roman" w:cs="Times New Roman" w:eastAsia="Times New Roman" w:hAnsi="Times New Roman"/>
            <w:sz w:val="18"/>
            <w:szCs w:val="18"/>
            <w:u w:val="single" w:color="auto"/>
            <w:color w:val="0000EE"/>
          </w:rPr>
          <w:t>Indenture, dated as of December 12, 2019,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Enterprises Holdings, as Guarantor, and Wilmington Trust Company, as Trustee relating to the 5.250%</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Senior Notes Due 2027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Holdings’ joint Form 8-K (SEC File Nos. 1-9516 and 333-118021-01, respectively), filed on December 12,</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4.13</w:t>
      </w:r>
      <w:r>
        <w:rPr>
          <w:sz w:val="20"/>
          <w:szCs w:val="20"/>
          <w:color w:val="auto"/>
        </w:rPr>
        <w:tab/>
      </w:r>
      <w:hyperlink r:id="rId181">
        <w:r>
          <w:rPr>
            <w:rFonts w:ascii="Times New Roman" w:cs="Times New Roman" w:eastAsia="Times New Roman" w:hAnsi="Times New Roman"/>
            <w:sz w:val="18"/>
            <w:szCs w:val="18"/>
            <w:u w:val="single" w:color="auto"/>
            <w:color w:val="0000EE"/>
          </w:rPr>
          <w:t>Indenture, dated as of January 19, 2021,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Enterprises Holdings, as Guarantor, and Wilmington Trust Company, as Trustee relating to the 4.375%</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Senior Notes Due 2029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Holdings’ joint Form 8-K (SEC File Nos. 1-9516 and 333-118021-01, respectively), filed on January 19,</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43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4.14</w:t>
      </w:r>
      <w:r>
        <w:rPr>
          <w:sz w:val="20"/>
          <w:szCs w:val="20"/>
          <w:color w:val="auto"/>
        </w:rPr>
        <w:tab/>
      </w:r>
      <w:hyperlink r:id="rId182">
        <w:r>
          <w:rPr>
            <w:rFonts w:ascii="Times New Roman" w:cs="Times New Roman" w:eastAsia="Times New Roman" w:hAnsi="Times New Roman"/>
            <w:sz w:val="18"/>
            <w:szCs w:val="18"/>
            <w:u w:val="single" w:color="auto"/>
            <w:color w:val="0000EE"/>
          </w:rPr>
          <w:t>Shareholders Agreement, dated as of October 1, 2018, by and among Icahn Enterprises L.P., Icahn</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Enterprises Holdings L.P., American Entertainment Properties Corp. and Tenneco Inc. (incorporated by</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reference to Exhibit 4.1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Nos. 1-9516 and 333-118021-01, respectively) file October 2,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90" w:lineRule="auto"/>
        <w:tabs>
          <w:tab w:leader="none" w:pos="1060" w:val="left"/>
        </w:tabs>
        <w:rPr>
          <w:rFonts w:ascii="Times New Roman" w:cs="Times New Roman" w:eastAsia="Times New Roman" w:hAnsi="Times New Roman"/>
          <w:sz w:val="17"/>
          <w:szCs w:val="17"/>
          <w:color w:val="0000EE"/>
        </w:rPr>
      </w:pPr>
      <w:r>
        <w:rPr>
          <w:rFonts w:ascii="Times New Roman" w:cs="Times New Roman" w:eastAsia="Times New Roman" w:hAnsi="Times New Roman"/>
          <w:sz w:val="18"/>
          <w:szCs w:val="18"/>
          <w:color w:val="auto"/>
        </w:rPr>
        <w:t>10.1</w:t>
      </w:r>
      <w:r>
        <w:rPr>
          <w:sz w:val="20"/>
          <w:szCs w:val="20"/>
          <w:color w:val="auto"/>
        </w:rPr>
        <w:tab/>
      </w:r>
      <w:hyperlink r:id="rId183">
        <w:r>
          <w:rPr>
            <w:rFonts w:ascii="Times New Roman" w:cs="Times New Roman" w:eastAsia="Times New Roman" w:hAnsi="Times New Roman"/>
            <w:sz w:val="17"/>
            <w:szCs w:val="17"/>
            <w:u w:val="single" w:color="auto"/>
            <w:color w:val="0000EE"/>
          </w:rPr>
          <w:t>Amended and Restated Agency Agreement (incorporated by reference to Exhibit 10.12 to Icahn Enterprises’</w:t>
        </w:r>
      </w:hyperlink>
      <w:r>
        <w:rPr>
          <w:rFonts w:ascii="Times New Roman" w:cs="Times New Roman" w:eastAsia="Times New Roman" w:hAnsi="Times New Roman"/>
          <w:sz w:val="17"/>
          <w:szCs w:val="17"/>
          <w:u w:val="single" w:color="auto"/>
          <w:color w:val="0000EE"/>
        </w:rPr>
        <w:t xml:space="preserve"> </w:t>
      </w:r>
      <w:hyperlink r:id="rId183">
        <w:r>
          <w:rPr>
            <w:rFonts w:ascii="Times New Roman" w:cs="Times New Roman" w:eastAsia="Times New Roman" w:hAnsi="Times New Roman"/>
            <w:sz w:val="17"/>
            <w:szCs w:val="17"/>
            <w:u w:val="single" w:color="auto"/>
            <w:color w:val="0000EE"/>
          </w:rPr>
          <w:t>Form 10-K for the year ended December 31, 1994 (SEC File No. 1-9516), filed on March 31, 1995)</w:t>
        </w:r>
        <w:r>
          <w:rPr>
            <w:rFonts w:ascii="Times New Roman" w:cs="Times New Roman" w:eastAsia="Times New Roman" w:hAnsi="Times New Roman"/>
            <w:sz w:val="17"/>
            <w:szCs w:val="17"/>
            <w:color w:val="000000"/>
          </w:rPr>
          <w:t>.</w:t>
        </w:r>
      </w:hyperlink>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80" w:right="79" w:hanging="737"/>
        <w:spacing w:after="0" w:line="257"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w:t>
      </w:r>
      <w:r>
        <w:rPr>
          <w:sz w:val="20"/>
          <w:szCs w:val="20"/>
          <w:color w:val="auto"/>
        </w:rPr>
        <w:tab/>
      </w:r>
      <w:hyperlink r:id="rId185">
        <w:r>
          <w:rPr>
            <w:rFonts w:ascii="Times New Roman" w:cs="Times New Roman" w:eastAsia="Times New Roman" w:hAnsi="Times New Roman"/>
            <w:sz w:val="18"/>
            <w:szCs w:val="18"/>
            <w:u w:val="single" w:color="auto"/>
            <w:color w:val="0000EE"/>
          </w:rPr>
          <w:t>Undertaking, dated November 20, 1998, by Starfire Holding Corporation, for the benefit of Icahn Enterprises</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and its subsidiaries (incorporated by reference to Exhibit 10.42 to Icahn Enterprises’ Form 10-K for the year</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ended December 31, 2005 (SEC File No. 1-9516), filed on March 16, 2006)</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w:t>
      </w:r>
      <w:r>
        <w:rPr>
          <w:sz w:val="20"/>
          <w:szCs w:val="20"/>
          <w:color w:val="auto"/>
        </w:rPr>
        <w:tab/>
      </w:r>
      <w:hyperlink r:id="rId186">
        <w:r>
          <w:rPr>
            <w:rFonts w:ascii="Times New Roman" w:cs="Times New Roman" w:eastAsia="Times New Roman" w:hAnsi="Times New Roman"/>
            <w:sz w:val="18"/>
            <w:szCs w:val="18"/>
            <w:u w:val="single" w:color="auto"/>
            <w:color w:val="0000EE"/>
          </w:rPr>
          <w:t>Covered Affiliate and Shared Expenses Agreement by and among Icahn Enterprises, Icahn Partners LP,</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Icahn Fund Ltd., Icahn Fund II Ltd., Icahn Fund III Ltd., Icahn Partners Master Fund L.P., Icahn Partners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Master Fund II L.P., Icahn Partners Master Fund III L.P., Icahn Cayman Partners, L.P. and Icahn Partners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Master Fund II Feeder LP (incorporated by reference to Exhibit 10.4 to Icahn Enterprises’ Form 10-Q for the</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quarter ended June 30, 2007 (SEC File No. 1-9516), filed on August 9, 2007)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10.4</w:t>
      </w:r>
      <w:r>
        <w:rPr>
          <w:sz w:val="20"/>
          <w:szCs w:val="20"/>
          <w:color w:val="auto"/>
        </w:rPr>
        <w:tab/>
      </w:r>
      <w:hyperlink r:id="rId187">
        <w:r>
          <w:rPr>
            <w:rFonts w:ascii="Times New Roman" w:cs="Times New Roman" w:eastAsia="Times New Roman" w:hAnsi="Times New Roman"/>
            <w:sz w:val="18"/>
            <w:szCs w:val="18"/>
            <w:u w:val="single" w:color="auto"/>
            <w:color w:val="0000EE"/>
          </w:rPr>
          <w:t>Registration Rights Agreement, dated January 18, 2017, among Icahn Enterprises, Icahn Enterprises</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Nos. 1-9516 and 333-118021-01, respectively), filed on January 18, 2017)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10.5</w:t>
      </w:r>
      <w:r>
        <w:rPr>
          <w:sz w:val="20"/>
          <w:szCs w:val="20"/>
          <w:color w:val="auto"/>
        </w:rPr>
        <w:tab/>
      </w:r>
      <w:hyperlink r:id="rId188">
        <w:r>
          <w:rPr>
            <w:rFonts w:ascii="Times New Roman" w:cs="Times New Roman" w:eastAsia="Times New Roman" w:hAnsi="Times New Roman"/>
            <w:sz w:val="18"/>
            <w:szCs w:val="18"/>
            <w:u w:val="single" w:color="auto"/>
            <w:color w:val="0000EE"/>
          </w:rPr>
          <w:t>Registration Rights Agreement, dated December 6, 2017, among Icahn Enterprises, Icahn Enterprises</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Nos. 1-9516 and 333-118021-01, respectively), filed on December 6, 2017)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2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10.6</w:t>
      </w:r>
      <w:r>
        <w:rPr>
          <w:sz w:val="20"/>
          <w:szCs w:val="20"/>
          <w:color w:val="auto"/>
        </w:rPr>
        <w:tab/>
      </w:r>
      <w:hyperlink r:id="rId189">
        <w:r>
          <w:rPr>
            <w:rFonts w:ascii="Times New Roman" w:cs="Times New Roman" w:eastAsia="Times New Roman" w:hAnsi="Times New Roman"/>
            <w:sz w:val="18"/>
            <w:szCs w:val="18"/>
            <w:u w:val="single" w:color="auto"/>
            <w:color w:val="0000EE"/>
          </w:rPr>
          <w:t>Registration Rights Agreement, dated May 10, 2019, among Icahn Enterprises, Icahn Enterprises Finance,</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Icahn Enterprises Holdings, as Guarantor, and Jefferies LLC, as the Initial Purchaser (incorporated by</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Nos. 1-9516 and 333-118021-01, respectively), filed on May 10,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2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10.7</w:t>
      </w:r>
      <w:r>
        <w:rPr>
          <w:sz w:val="20"/>
          <w:szCs w:val="20"/>
          <w:color w:val="auto"/>
        </w:rPr>
        <w:tab/>
      </w:r>
      <w:hyperlink r:id="rId190">
        <w:r>
          <w:rPr>
            <w:rFonts w:ascii="Times New Roman" w:cs="Times New Roman" w:eastAsia="Times New Roman" w:hAnsi="Times New Roman"/>
            <w:sz w:val="18"/>
            <w:szCs w:val="18"/>
            <w:u w:val="single" w:color="auto"/>
            <w:color w:val="0000EE"/>
          </w:rPr>
          <w:t>Registration Rights Agreement, dated June 27, 2019, among Icahn Enterprises, Icahn Enterprises Finance,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Icahn Enterprises Holdings, as Guarantor, and Jefferies LLC, as the Initial Purchaser (incorporated by</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Nos. 1-9516 and 333-118021-01, respectively), filed on June 27,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10.8</w:t>
      </w:r>
      <w:r>
        <w:rPr>
          <w:sz w:val="20"/>
          <w:szCs w:val="20"/>
          <w:color w:val="auto"/>
        </w:rPr>
        <w:tab/>
      </w:r>
      <w:hyperlink r:id="rId191">
        <w:r>
          <w:rPr>
            <w:rFonts w:ascii="Times New Roman" w:cs="Times New Roman" w:eastAsia="Times New Roman" w:hAnsi="Times New Roman"/>
            <w:sz w:val="18"/>
            <w:szCs w:val="18"/>
            <w:u w:val="single" w:color="auto"/>
            <w:color w:val="0000EE"/>
          </w:rPr>
          <w:t>Registration Rights Agreement, dated September 6, 2019, among Icahn Enterprises, Icahn Enterprises</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Nos. 1-9516 and 333-118021-01, respectively), filed on September 6,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10.9</w:t>
      </w:r>
      <w:r>
        <w:rPr>
          <w:sz w:val="20"/>
          <w:szCs w:val="20"/>
          <w:color w:val="auto"/>
        </w:rPr>
        <w:tab/>
      </w:r>
      <w:hyperlink r:id="rId192">
        <w:r>
          <w:rPr>
            <w:rFonts w:ascii="Times New Roman" w:cs="Times New Roman" w:eastAsia="Times New Roman" w:hAnsi="Times New Roman"/>
            <w:sz w:val="18"/>
            <w:szCs w:val="18"/>
            <w:u w:val="single" w:color="auto"/>
            <w:color w:val="0000EE"/>
          </w:rPr>
          <w:t>Registration Rights Agreement, dated December 12, 2019, among Icahn Enterprises, Icahn Enterprises</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Nos. 1-9516 and 333-118021-01, respectively), filed on December 12,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39" w:hanging="78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10.10</w:t>
      </w:r>
      <w:r>
        <w:rPr>
          <w:sz w:val="20"/>
          <w:szCs w:val="20"/>
          <w:color w:val="auto"/>
        </w:rPr>
        <w:tab/>
      </w:r>
      <w:hyperlink r:id="rId193">
        <w:r>
          <w:rPr>
            <w:rFonts w:ascii="Times New Roman" w:cs="Times New Roman" w:eastAsia="Times New Roman" w:hAnsi="Times New Roman"/>
            <w:sz w:val="18"/>
            <w:szCs w:val="18"/>
            <w:u w:val="single" w:color="auto"/>
            <w:color w:val="0000EE"/>
          </w:rPr>
          <w:t>Registration Rights Agreement, dated January 9, 2020, among Icahn Enterprises, Icahn Enterprises Finance,</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Icahn Enterprises Holdings, as Guarantor, and Jefferies LLC, as the Initial Purchaser (incorporated by</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Nos. 1-9516 and 333-118021-01, respectively), filed on January 9, 2020)</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79"/>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10.11</w:t>
      </w:r>
      <w:r>
        <w:rPr>
          <w:sz w:val="20"/>
          <w:szCs w:val="20"/>
          <w:color w:val="auto"/>
        </w:rPr>
        <w:tab/>
      </w:r>
      <w:hyperlink r:id="rId194">
        <w:r>
          <w:rPr>
            <w:rFonts w:ascii="Times New Roman" w:cs="Times New Roman" w:eastAsia="Times New Roman" w:hAnsi="Times New Roman"/>
            <w:sz w:val="18"/>
            <w:szCs w:val="18"/>
            <w:u w:val="single" w:color="auto"/>
            <w:color w:val="0000EE"/>
          </w:rPr>
          <w:t>Registration Rights Agreement, dated January 28, 2020, among Icahn Enterprises, Icahn Enterprises</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Nos. 1-9516 and 333-118021-01, respectively), filed on January 28, 2020)</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8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10.12</w:t>
      </w:r>
      <w:r>
        <w:rPr>
          <w:sz w:val="20"/>
          <w:szCs w:val="20"/>
          <w:color w:val="auto"/>
        </w:rPr>
        <w:tab/>
      </w:r>
      <w:hyperlink r:id="rId195">
        <w:r>
          <w:rPr>
            <w:rFonts w:ascii="Times New Roman" w:cs="Times New Roman" w:eastAsia="Times New Roman" w:hAnsi="Times New Roman"/>
            <w:sz w:val="18"/>
            <w:szCs w:val="18"/>
            <w:u w:val="single" w:color="auto"/>
            <w:color w:val="0000EE"/>
          </w:rPr>
          <w:t>Registration Rights Agreement, dated January 19, 2021, among Icahn Enterprises, Icahn Enterprises</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Nos. 1-9516 and 333-118021-01, respectively), filed on January 19, 2021)</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379" w:hanging="78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10.13</w:t>
      </w:r>
      <w:r>
        <w:rPr>
          <w:sz w:val="20"/>
          <w:szCs w:val="20"/>
          <w:color w:val="auto"/>
        </w:rPr>
        <w:tab/>
      </w:r>
      <w:hyperlink r:id="rId196">
        <w:r>
          <w:rPr>
            <w:rFonts w:ascii="Times New Roman" w:cs="Times New Roman" w:eastAsia="Times New Roman" w:hAnsi="Times New Roman"/>
            <w:sz w:val="18"/>
            <w:szCs w:val="18"/>
            <w:u w:val="single" w:color="auto"/>
            <w:color w:val="0000EE"/>
          </w:rPr>
          <w:t>Manager Agreement, dated October 1, 2020, among Icahn Enterprises, Icahn Capital LP, Icahn Partners</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Master Fund LP, Brett Icahn and Isthmus LLC (incorporated by reference to Exhibit 10.1 to Icahn</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Enterprises’ and Icahn Enterprises Holdings’ joint Form 8-K (SEC File Nos. 1-9516 and 333-118021-01,</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respectively), filed on October 1, 2020)</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080" w:right="559" w:hanging="78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10.14</w:t>
      </w:r>
      <w:r>
        <w:rPr>
          <w:sz w:val="20"/>
          <w:szCs w:val="20"/>
          <w:color w:val="auto"/>
        </w:rPr>
        <w:tab/>
      </w:r>
      <w:hyperlink r:id="rId197">
        <w:r>
          <w:rPr>
            <w:rFonts w:ascii="Times New Roman" w:cs="Times New Roman" w:eastAsia="Times New Roman" w:hAnsi="Times New Roman"/>
            <w:sz w:val="18"/>
            <w:szCs w:val="18"/>
            <w:u w:val="single" w:color="auto"/>
            <w:color w:val="0000EE"/>
          </w:rPr>
          <w:t>Guaranty, dated October 1, 2020, between American Entertainment Properties Corp. and Isthmus LLC</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(incorporated by reference to Exhibit 10.2 to Icahn Enterprises’ and Icahn Enterprises Holdings’ joint</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Form 8-K (SEC File Nos. 1-9516 and 333-118021-01, respectively), filed on October 1, 2020)</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80" w:right="119" w:hanging="782"/>
        <w:spacing w:after="0" w:line="255"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10.15</w:t>
      </w:r>
      <w:r>
        <w:rPr>
          <w:sz w:val="20"/>
          <w:szCs w:val="20"/>
          <w:color w:val="auto"/>
        </w:rPr>
        <w:tab/>
      </w:r>
      <w:hyperlink r:id="rId198">
        <w:r>
          <w:rPr>
            <w:rFonts w:ascii="Times New Roman" w:cs="Times New Roman" w:eastAsia="Times New Roman" w:hAnsi="Times New Roman"/>
            <w:sz w:val="18"/>
            <w:szCs w:val="18"/>
            <w:u w:val="single" w:color="auto"/>
            <w:color w:val="0000EE"/>
          </w:rPr>
          <w:t>Restricted Unit Agreement, dated October 1, 2020, between Icahn Enterprises and Brett Icahn (incorporated</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by reference to Exhibit 10.3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Nos. 1-9516 and 333-118021-01, respectively), filed on October 1, 2020)</w:t>
        </w:r>
        <w:r>
          <w:rPr>
            <w:rFonts w:ascii="Times New Roman" w:cs="Times New Roman" w:eastAsia="Times New Roman" w:hAnsi="Times New Roman"/>
            <w:sz w:val="18"/>
            <w:szCs w:val="18"/>
            <w:color w:val="000000"/>
          </w:rPr>
          <w:t>.</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10.16</w:t>
            </w:r>
          </w:p>
        </w:tc>
        <w:tc>
          <w:tcPr>
            <w:tcW w:w="7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Deferred Unit Agreement Pursuant to the Icahn Enterprises 2017 Long-Term Incentive Plan, dated</w:t>
              </w:r>
            </w:hyperlink>
          </w:p>
        </w:tc>
        <w:tc>
          <w:tcPr>
            <w:tcW w:w="76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December 9, 2021, among Icahn Enterprises and David Willetts (incorporated by reference to Exhibit 10.19</w:t>
              </w:r>
            </w:hyperlink>
          </w:p>
        </w:tc>
      </w:tr>
      <w:tr>
        <w:trPr>
          <w:trHeight w:val="196"/>
        </w:trPr>
        <w:tc>
          <w:tcPr>
            <w:tcW w:w="920" w:type="dxa"/>
            <w:vAlign w:val="bottom"/>
          </w:tcPr>
          <w:p>
            <w:pPr>
              <w:spacing w:after="0"/>
              <w:rPr>
                <w:sz w:val="17"/>
                <w:szCs w:val="17"/>
                <w:color w:val="auto"/>
              </w:rPr>
            </w:pPr>
          </w:p>
        </w:tc>
        <w:tc>
          <w:tcPr>
            <w:tcW w:w="55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to Icahn Enterprises’ Annual Report on Form 10-K filed February 25, 2022).</w:t>
              </w:r>
            </w:hyperlink>
          </w:p>
        </w:tc>
        <w:tc>
          <w:tcPr>
            <w:tcW w:w="2220" w:type="dxa"/>
            <w:vAlign w:val="bottom"/>
            <w:tcBorders>
              <w:top w:val="single" w:sz="8" w:color="0000EE"/>
            </w:tcBorders>
            <w:gridSpan w:val="13"/>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Deferred Unit Agreement Pursuant to the Icahn Enterprises 2017 Long-Term Incentive Plan, dated</w:t>
              </w:r>
            </w:hyperlink>
          </w:p>
        </w:tc>
        <w:tc>
          <w:tcPr>
            <w:tcW w:w="76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December 9, 2021, among Icahn Enterprises and Ted Papapostolou(incorporated by reference to Exhibit</w:t>
              </w:r>
            </w:hyperlink>
          </w:p>
        </w:tc>
      </w:tr>
      <w:tr>
        <w:trPr>
          <w:trHeight w:val="196"/>
        </w:trPr>
        <w:tc>
          <w:tcPr>
            <w:tcW w:w="920" w:type="dxa"/>
            <w:vAlign w:val="bottom"/>
          </w:tcPr>
          <w:p>
            <w:pPr>
              <w:spacing w:after="0"/>
              <w:rPr>
                <w:sz w:val="17"/>
                <w:szCs w:val="17"/>
                <w:color w:val="auto"/>
              </w:rPr>
            </w:pPr>
          </w:p>
        </w:tc>
        <w:tc>
          <w:tcPr>
            <w:tcW w:w="75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0000EE"/>
                </w:rPr>
                <w:t xml:space="preserve"> to Icahn Enterprises’ Annual Report on Form 10-K filed February 25, 2022).</w:t>
              </w:r>
            </w:hyperlink>
          </w:p>
        </w:tc>
        <w:tc>
          <w:tcPr>
            <w:tcW w:w="360" w:type="dxa"/>
            <w:vAlign w:val="bottom"/>
            <w:gridSpan w:val="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78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Letter Agreement with David Willetts, dated December 9, 2021 (incorporated by reference to Exhibit 10.1 to</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Icahn Enterprises’ and Icahn Enterprises Holdings’ joint Form 8-K (SEC File Nos. 1-9516 and 333-118021-</w:t>
              </w:r>
            </w:hyperlink>
          </w:p>
        </w:tc>
      </w:tr>
      <w:tr>
        <w:trPr>
          <w:trHeight w:val="196"/>
        </w:trPr>
        <w:tc>
          <w:tcPr>
            <w:tcW w:w="920" w:type="dxa"/>
            <w:vAlign w:val="bottom"/>
          </w:tcPr>
          <w:p>
            <w:pPr>
              <w:spacing w:after="0"/>
              <w:rPr>
                <w:sz w:val="17"/>
                <w:szCs w:val="17"/>
                <w:color w:val="auto"/>
              </w:rPr>
            </w:pPr>
          </w:p>
        </w:tc>
        <w:tc>
          <w:tcPr>
            <w:tcW w:w="77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01, respectively), filed on December 13, 2021).</w:t>
              </w:r>
            </w:hyperlink>
          </w:p>
        </w:tc>
        <w:tc>
          <w:tcPr>
            <w:tcW w:w="8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6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Letter Agreement with Ted Papapostolou, dated December 9, 2021 (incorporated by reference to</w:t>
              </w:r>
            </w:hyperlink>
          </w:p>
        </w:tc>
        <w:tc>
          <w:tcPr>
            <w:tcW w:w="9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Exhibit 10.2 to Icahn Enterprises’ and Icahn Enterprises Holdings’ joint Form 8-K (SEC File Nos. 1-9516</w:t>
              </w:r>
            </w:hyperlink>
          </w:p>
        </w:tc>
        <w:tc>
          <w:tcPr>
            <w:tcW w:w="2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and 333-118021-01, respectively), filed on December 13, 2021).</w:t>
              </w:r>
            </w:hyperlink>
          </w:p>
        </w:tc>
        <w:tc>
          <w:tcPr>
            <w:tcW w:w="3220" w:type="dxa"/>
            <w:vAlign w:val="bottom"/>
            <w:gridSpan w:val="18"/>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Registration Rights Agreement, dated April 12, 2021, among Icahn Enterprises, Icahn Enterprises Finance,</w:t>
              </w:r>
            </w:hyperlink>
          </w:p>
        </w:tc>
      </w:tr>
      <w:tr>
        <w:trPr>
          <w:trHeight w:val="196"/>
        </w:trPr>
        <w:tc>
          <w:tcPr>
            <w:tcW w:w="920" w:type="dxa"/>
            <w:vAlign w:val="bottom"/>
          </w:tcPr>
          <w:p>
            <w:pPr>
              <w:spacing w:after="0"/>
              <w:rPr>
                <w:sz w:val="17"/>
                <w:szCs w:val="17"/>
                <w:color w:val="auto"/>
              </w:rPr>
            </w:pPr>
          </w:p>
        </w:tc>
        <w:tc>
          <w:tcPr>
            <w:tcW w:w="77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Icahn Enterprises Holdings, as Guarantor, and Jefferies LLC, as the Initial Purchaser (incorporated by</w:t>
              </w:r>
            </w:hyperlink>
          </w:p>
        </w:tc>
        <w:tc>
          <w:tcPr>
            <w:tcW w:w="1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reference to Exhibit 10.1 to Icahn Enterprises’ and Icahn Enterprises Holdings’ joint Form 8-K (SEC File</w:t>
              </w:r>
            </w:hyperlink>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Nos. 1-9516 and 333-118021-01, respectively), filed on April 12, 2021).</w:t>
              </w:r>
            </w:hyperlink>
          </w:p>
        </w:tc>
        <w:tc>
          <w:tcPr>
            <w:tcW w:w="2640" w:type="dxa"/>
            <w:vAlign w:val="bottom"/>
            <w:gridSpan w:val="17"/>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7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Code of Business Conduct and Ethics (incorporated by reference to Exhibit 14.1 to Icahn Enterprises’</w:t>
              </w:r>
            </w:hyperlink>
          </w:p>
        </w:tc>
        <w:tc>
          <w:tcPr>
            <w:tcW w:w="52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Form 10-Q for the quarter ended September 30, 2012 (SEC File No. 1-9516), filed on November 7, 2012)</w:t>
              </w:r>
            </w:hyperlink>
            <w:r>
              <w:rPr>
                <w:rFonts w:ascii="Times New Roman" w:cs="Times New Roman" w:eastAsia="Times New Roman" w:hAnsi="Times New Roman"/>
                <w:sz w:val="18"/>
                <w:szCs w:val="18"/>
                <w:color w:val="000000"/>
              </w:rPr>
              <w:t>.</w:t>
            </w: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6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w:t>
            </w:r>
            <w:r>
              <w:rPr>
                <w:rFonts w:ascii="Times New Roman" w:cs="Times New Roman" w:eastAsia="Times New Roman" w:hAnsi="Times New Roman"/>
                <w:sz w:val="18"/>
                <w:szCs w:val="18"/>
                <w:color w:val="000000"/>
              </w:rPr>
              <w:t>.</w:t>
            </w:r>
          </w:p>
        </w:tc>
        <w:tc>
          <w:tcPr>
            <w:tcW w:w="240" w:type="dxa"/>
            <w:vAlign w:val="bottom"/>
            <w:gridSpan w:val="7"/>
          </w:tcPr>
          <w:p>
            <w:pPr>
              <w:spacing w:after="0"/>
              <w:rPr>
                <w:sz w:val="17"/>
                <w:szCs w:val="17"/>
                <w:color w:val="auto"/>
              </w:rPr>
            </w:pPr>
          </w:p>
        </w:tc>
      </w:tr>
      <w:tr>
        <w:trPr>
          <w:trHeight w:val="223"/>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22.1</w:t>
            </w:r>
          </w:p>
        </w:tc>
        <w:tc>
          <w:tcPr>
            <w:tcW w:w="21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Subsidiary guarantor.</w:t>
            </w:r>
          </w:p>
        </w:tc>
        <w:tc>
          <w:tcPr>
            <w:tcW w:w="5740" w:type="dxa"/>
            <w:vAlign w:val="bottom"/>
            <w:gridSpan w:val="22"/>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23"/>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23.1</w:t>
            </w:r>
          </w:p>
        </w:tc>
        <w:tc>
          <w:tcPr>
            <w:tcW w:w="78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Consent of Grant Thornton LLP</w:t>
            </w:r>
            <w:r>
              <w:rPr>
                <w:rFonts w:ascii="Times New Roman" w:cs="Times New Roman" w:eastAsia="Times New Roman" w:hAnsi="Times New Roman"/>
                <w:sz w:val="18"/>
                <w:szCs w:val="18"/>
                <w:color w:val="000000"/>
              </w:rPr>
              <w:t>.</w:t>
            </w:r>
          </w:p>
        </w:tc>
      </w:tr>
      <w:tr>
        <w:trPr>
          <w:trHeight w:val="20"/>
        </w:trPr>
        <w:tc>
          <w:tcPr>
            <w:tcW w:w="92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23"/>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302(a) of the Sarbanes-Oxley Act of 2002 and</w:t>
            </w:r>
          </w:p>
        </w:tc>
      </w:tr>
      <w:tr>
        <w:trPr>
          <w:trHeight w:val="196"/>
        </w:trPr>
        <w:tc>
          <w:tcPr>
            <w:tcW w:w="920" w:type="dxa"/>
            <w:vAlign w:val="bottom"/>
          </w:tcPr>
          <w:p>
            <w:pPr>
              <w:spacing w:after="0"/>
              <w:rPr>
                <w:sz w:val="17"/>
                <w:szCs w:val="17"/>
                <w:color w:val="auto"/>
              </w:rPr>
            </w:pPr>
          </w:p>
        </w:tc>
        <w:tc>
          <w:tcPr>
            <w:tcW w:w="76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Rule 13a-14(a) of the Securities Exchange Act of 1934</w:t>
            </w:r>
            <w:r>
              <w:rPr>
                <w:rFonts w:ascii="Times New Roman" w:cs="Times New Roman" w:eastAsia="Times New Roman" w:hAnsi="Times New Roman"/>
                <w:sz w:val="18"/>
                <w:szCs w:val="18"/>
                <w:color w:val="000000"/>
              </w:rPr>
              <w:t>.</w:t>
            </w:r>
          </w:p>
        </w:tc>
        <w:tc>
          <w:tcPr>
            <w:tcW w:w="18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6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302(a) of the Sarbanes-Oxley Act of 2002 and</w:t>
            </w:r>
          </w:p>
        </w:tc>
        <w:tc>
          <w:tcPr>
            <w:tcW w:w="2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Rule 13a-14(a) of the Securities Exchange Act of 1934</w:t>
            </w:r>
            <w:r>
              <w:rPr>
                <w:rFonts w:ascii="Times New Roman" w:cs="Times New Roman" w:eastAsia="Times New Roman" w:hAnsi="Times New Roman"/>
                <w:sz w:val="18"/>
                <w:szCs w:val="18"/>
                <w:color w:val="000000"/>
              </w:rPr>
              <w:t>.</w:t>
            </w:r>
          </w:p>
        </w:tc>
      </w:tr>
      <w:tr>
        <w:trPr>
          <w:trHeight w:val="20"/>
        </w:trPr>
        <w:tc>
          <w:tcPr>
            <w:tcW w:w="920" w:type="dxa"/>
            <w:vAlign w:val="bottom"/>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920" w:type="dxa"/>
            <w:vAlign w:val="bottom"/>
            <w:gridSpan w:val="14"/>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8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Section 906 of the Sarbanes-</w:t>
            </w:r>
          </w:p>
        </w:tc>
      </w:tr>
      <w:tr>
        <w:trPr>
          <w:trHeight w:val="196"/>
        </w:trPr>
        <w:tc>
          <w:tcPr>
            <w:tcW w:w="920" w:type="dxa"/>
            <w:vAlign w:val="bottom"/>
          </w:tcPr>
          <w:p>
            <w:pPr>
              <w:spacing w:after="0"/>
              <w:rPr>
                <w:sz w:val="17"/>
                <w:szCs w:val="17"/>
                <w:color w:val="auto"/>
              </w:rPr>
            </w:pPr>
          </w:p>
        </w:tc>
        <w:tc>
          <w:tcPr>
            <w:tcW w:w="78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(18 U.S.C. 1350) and Rule 13a-14(b) of the Securities Exchange Act of 1934</w:t>
            </w:r>
            <w:r>
              <w:rPr>
                <w:rFonts w:ascii="Times New Roman" w:cs="Times New Roman" w:eastAsia="Times New Roman" w:hAnsi="Times New Roman"/>
                <w:sz w:val="18"/>
                <w:szCs w:val="18"/>
                <w:color w:val="000000"/>
              </w:rPr>
              <w:t>.</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9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gridSpan w:val="14"/>
          </w:tcPr>
          <w:p>
            <w:pPr>
              <w:spacing w:after="0"/>
              <w:rPr>
                <w:sz w:val="20"/>
                <w:szCs w:val="20"/>
                <w:color w:val="auto"/>
              </w:rPr>
            </w:pP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9" w:lineRule="exact"/>
        <w:rPr>
          <w:sz w:val="20"/>
          <w:szCs w:val="20"/>
          <w:color w:val="auto"/>
        </w:rPr>
      </w:pPr>
    </w:p>
    <w:p>
      <w:pPr>
        <w:ind w:left="1080" w:hanging="71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By:Icahn Enterprises G.P. Inc., its</w:t>
      </w:r>
    </w:p>
    <w:p>
      <w:pPr>
        <w:spacing w:after="0" w:line="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21"/>
          <w:szCs w:val="21"/>
          <w:color w:val="auto"/>
        </w:rPr>
        <w:t>/s/</w:t>
      </w:r>
      <w:r>
        <w:rPr>
          <w:rFonts w:ascii="Times New Roman" w:cs="Times New Roman" w:eastAsia="Times New Roman" w:hAnsi="Times New Roman"/>
          <w:sz w:val="18"/>
          <w:szCs w:val="18"/>
          <w:color w:val="auto"/>
        </w:rPr>
        <w:t xml:space="preserve">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18415</wp:posOffset>
            </wp:positionV>
            <wp:extent cx="26485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David Willetts</w:t>
      </w:r>
    </w:p>
    <w:p>
      <w:pPr>
        <w:spacing w:after="0" w:line="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2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20"/>
                <w:szCs w:val="20"/>
                <w:color w:val="auto"/>
              </w:rPr>
            </w:pPr>
          </w:p>
        </w:tc>
        <w:tc>
          <w:tcPr>
            <w:tcW w:w="44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Willetts</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Willetts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Ted Papapostolou</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Chief Accounting Officer and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Ted Papapostolou</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Icahn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Nevin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Nevin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Denise Barton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Denise Barton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A. Mongillo</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Mongillo</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Alvin B. Krongard</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Alvin B. Krongard</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Nancy Dunlap</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Nancy Dunlap</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20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Carl C.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75"/>
        </w:trPr>
        <w:tc>
          <w:tcPr>
            <w:tcW w:w="80" w:type="dxa"/>
            <w:vAlign w:val="bottom"/>
          </w:tcPr>
          <w:p>
            <w:pPr>
              <w:spacing w:after="0"/>
              <w:rPr>
                <w:sz w:val="24"/>
                <w:szCs w:val="24"/>
                <w:color w:val="auto"/>
              </w:rPr>
            </w:pPr>
          </w:p>
        </w:tc>
        <w:tc>
          <w:tcPr>
            <w:tcW w:w="736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7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60" w:type="dxa"/>
            <w:vAlign w:val="bottom"/>
          </w:tcPr>
          <w:p>
            <w:pPr>
              <w:spacing w:after="0"/>
              <w:rPr>
                <w:sz w:val="24"/>
                <w:szCs w:val="2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Formation</w:t>
            </w:r>
          </w:p>
        </w:tc>
      </w:tr>
      <w:tr>
        <w:trPr>
          <w:trHeight w:val="250"/>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Enterprises Holdings L.P.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American Entertainment Properties Corp.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AEP Real Estate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AEP CCR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 Net Lease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Seabury Homes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Utility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Debt HoldCo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Florida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New York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Real Estate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Cottages at New Seabury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Atlantic Coast Entertainment Holdings, Inc.</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Development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Falling Waters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Flat Pond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Hammond Ridge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Pondview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Seaside II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GH Vero Beach Development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GH Vero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Grand Harbor Golf Club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Grand Harbor North Land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Automotive Service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Automotive Group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767 Auto Leasing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Enterprises Onshore/Offshore Investors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Strategy Holding Corp.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Auto Parts Holding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BioPharma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Loop Road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Sherman Drive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Energy Holding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Ferrous Brazil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Ferrous Brazil Sub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AC Holdings LP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AC Plaza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Atlanta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Chester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TERH LP, Inc.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TTM Associates</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 Holdings I, Inc. f/k/a Trump Entertainment Resorts, Inc.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Indianapolis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Mesquite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547"/>
        </w:trPr>
        <w:tc>
          <w:tcPr>
            <w:tcW w:w="80" w:type="dxa"/>
            <w:vAlign w:val="bottom"/>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580"/>
          </w:cols>
          <w:pgMar w:left="1160" w:top="117" w:right="115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Peachtree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Valley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Viga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Golf Club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Properties L.L.C .</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Resources Management, Inc.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Real Estate Holdings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NS Beach Club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Development Monitoring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VB Community Management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Vero Beach Acquisition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Eagle Beach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Entertainment Cayman Holdings Company Ltd.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Abura Development Corporation</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Aruba</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Aruba Casino Operating Corporation VBA</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Aruba</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Aruba Resort Operating Corporation VBA</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Aruba</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Federal-Mogul Ignition Company</w:t>
            </w:r>
          </w:p>
        </w:tc>
        <w:tc>
          <w:tcPr>
            <w:tcW w:w="23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Federal-Mogul New Products Inc.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Parts Acquisition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 Gator Leasing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Enterprises Finance Corp.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Nashville Recycling,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IPH GP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Capital LP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Onshore LP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Offshore LP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Partners LP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Agency Services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Pep Boys Manny Moe &amp; Jack of Delaware, LLC (189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Pep Boys Manny Moe &amp; Jack (275 "Pep Boys" stores omitted)</w:t>
            </w:r>
          </w:p>
        </w:tc>
        <w:tc>
          <w:tcPr>
            <w:tcW w:w="23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Tire Store Holding Corp.</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10 Tire Stores, LLC (79 "Big 10 Tires"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Pep Boys - Manny, Moe &amp; Jack of Puerto Rico, Inc. (26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Carrus Supply Corporation</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Florida LLC (11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Texas LLC (4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North Carolina LLC (3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Puerto Rico LLC (6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Tennessee LLC (3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Colchester Insurance Company</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Pep Boys - Manny, Moe &amp; Jack of Delaware, Inc.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US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New York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California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Georgia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Pennsylvania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Pep Boys - Manny, Moe &amp; Jack of California (224 "Pep Boys" stores omitted)</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California</w:t>
            </w:r>
          </w:p>
        </w:tc>
      </w:tr>
      <w:tr>
        <w:trPr>
          <w:trHeight w:val="25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San Diego LLC</w:t>
            </w:r>
          </w:p>
        </w:tc>
        <w:tc>
          <w:tcPr>
            <w:tcW w:w="2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r>
      <w:tr>
        <w:trPr>
          <w:trHeight w:val="763"/>
        </w:trPr>
        <w:tc>
          <w:tcPr>
            <w:tcW w:w="40" w:type="dxa"/>
            <w:vAlign w:val="bottom"/>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108" w:right="125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Arizona LLC (14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Alameda LLC (3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Minnesota LLC (2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Illinois LLC (2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Hartford LLC (2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Massachusettes LLC (2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Michigan LLC (5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Nassau LLC (5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Washington LLC (10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Holdings,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CTEX LLC (9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CO LLC (9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AZ LLC (4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GA LLC (6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NV LLC (6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NTEX LLC (15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FL LLC (24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STEX LLC (7 "Pep Boys"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Auto Care, Inc. (36 "Precision Tune" stores omitted)</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Printing,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JAC Corporation</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Tune Auto Care,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PTAC Operating Centers,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PTW,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Washington</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Franchising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Auto Care Canada,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ACC-U-TUNE</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California</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60 Minute Tune,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Washington</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 Tune,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Miracle Industries, Inc</w:t>
            </w:r>
          </w:p>
        </w:tc>
        <w:tc>
          <w:tcPr>
            <w:tcW w:w="26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 Mexican Delaware Holding Company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Auto Care Mexico II, S. de R.l.</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Auto Care Mexico I, S. de R.l.</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Promotora de Franquicas Praxis, S.A. de C.V.</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Praxis Afinaciones Puerto Rico,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Afinaciones Puerto Rico,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Praxis Autopartes S.S. de C.V.</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Praxis Afinaciones S.A. de C.V.</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 Accessories S.A. de C.V.</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Afinaciones S.A. de C.V.</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Guadalajara S.A. de C.V.</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Occidente, S.A.</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Miracle Partners,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Building Solutions, Inc.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Auto Parts Holding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BA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AIM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Automotive Service Partners LLC</w:t>
            </w:r>
          </w:p>
        </w:tc>
        <w:tc>
          <w:tcPr>
            <w:tcW w:w="26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Delaware</w:t>
            </w:r>
          </w:p>
        </w:tc>
      </w:tr>
      <w:tr>
        <w:trPr>
          <w:trHeight w:val="763"/>
        </w:trPr>
        <w:tc>
          <w:tcPr>
            <w:tcW w:w="40" w:type="dxa"/>
            <w:vAlign w:val="bottom"/>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108" w:right="125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Auto Parts LLC (433 "Auto Plus" and 55 "Consumer Auto Parts" stores omitted)</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Clark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Gordon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Missouri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Washington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Massachusetts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New York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North Carolina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Transmissions, LLC</w:t>
            </w:r>
          </w:p>
        </w:tc>
        <w:tc>
          <w:tcPr>
            <w:tcW w:w="2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Canada, Inc.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Driveline Technical Services, LLC</w:t>
            </w:r>
          </w:p>
        </w:tc>
        <w:tc>
          <w:tcPr>
            <w:tcW w:w="2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Driveline Centers, LLC</w:t>
            </w:r>
          </w:p>
        </w:tc>
        <w:tc>
          <w:tcPr>
            <w:tcW w:w="2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Cottman Transmission Systems,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Advertising, LLC</w:t>
            </w:r>
          </w:p>
        </w:tc>
        <w:tc>
          <w:tcPr>
            <w:tcW w:w="2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Retail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Northeast LLC (3 "AAMCO" stores omitted)</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Northwest LLC (10 "AAMCO" stores omitted)</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Southeast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Southwest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Transom ADS Holdings Corp</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Driveline Systems, Inc.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Energy Inc.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Energy Holdings, Inc.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Services,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Refining &amp; Marketing,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Crude Transportation,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Terminal,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Pipeline,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GP,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Partners, LP</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Nitrogen Fertilizers,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Wynnewood Energy Company,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Wynnewood Refining Company,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Refining,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Refining, LP</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Refining GP,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GP,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LP</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Finance Corporation</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Dubuque Nitrogen Fertlizers,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Wynnewood Insurance Corporation</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Holdings, LLC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Companies, Inc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WSC Corp.</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Films, Inc.</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del Norte, S.A. de C.V.</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Servicos Viskase del Norte, S.A. de C.V.</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S.A.S.</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France</w:t>
            </w:r>
          </w:p>
        </w:tc>
      </w:tr>
      <w:tr>
        <w:trPr>
          <w:trHeight w:val="25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SpA</w:t>
            </w:r>
          </w:p>
        </w:tc>
        <w:tc>
          <w:tcPr>
            <w:tcW w:w="2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Italy</w:t>
            </w:r>
          </w:p>
        </w:tc>
      </w:tr>
      <w:tr>
        <w:trPr>
          <w:trHeight w:val="763"/>
        </w:trPr>
        <w:tc>
          <w:tcPr>
            <w:tcW w:w="40" w:type="dxa"/>
            <w:vAlign w:val="bottom"/>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108" w:right="125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Gmbh</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Polska SP.ZO.O</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Spain SL</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Spain</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Brasil Embalagens Ltda</w:t>
            </w:r>
          </w:p>
        </w:tc>
        <w:tc>
          <w:tcPr>
            <w:tcW w:w="39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Asia Pacific Corp</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Philippines</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Sales Philippines Inc.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Philippines</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Holdings, Inc.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Walsroder Casings GmbH</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CT Casings Beteiligungs GmbH</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Netherlands Holding,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(Netherlands) Coopertief</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Asia Ltd.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Pakistan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IP,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Trademarks,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Property Holdings I,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Property Holdings II,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Stores,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Sales,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WPH - Nostalgia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Lanier/Carter,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Lumberton,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Wagram,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Clemson,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Wagram Facility,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(Netherlands) B.V.</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(Bahrain) W.L.L.</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Bahrain</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(Shanghai) Inc.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Luxury Linens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Greenville,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LMP,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Opelika Lots,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Lakeview,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Transportation Center,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VSS Holding LLC</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Linens Global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Linens Group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Services Asia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Hong Kong</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Services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Services Pakistan (Private) Ltd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Pakistan</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VSS Sourcing (India) Private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India</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Services (Ningbo)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Gulf FZE</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Services Europe Limited</w:t>
            </w:r>
          </w:p>
        </w:tc>
        <w:tc>
          <w:tcPr>
            <w:tcW w:w="39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Linens Limited</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Lissadell Liddell Ireland Limited</w:t>
            </w:r>
          </w:p>
        </w:tc>
        <w:tc>
          <w:tcPr>
            <w:tcW w:w="39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Linens B.V.</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Whitaker Services</w:t>
            </w:r>
          </w:p>
        </w:tc>
        <w:tc>
          <w:tcPr>
            <w:tcW w:w="39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763"/>
        </w:trPr>
        <w:tc>
          <w:tcPr>
            <w:tcW w:w="4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108" w:right="125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HLL Linens Private Limited Company</w:t>
            </w:r>
          </w:p>
        </w:tc>
        <w:tc>
          <w:tcPr>
            <w:tcW w:w="4000" w:type="dxa"/>
            <w:vAlign w:val="bottom"/>
            <w:vMerge w:val="restart"/>
          </w:tcPr>
          <w:p>
            <w:pPr>
              <w:jc w:val="center"/>
              <w:ind w:left="19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Trading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VSS Support Global Private Limited</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Vision Support Services (Shanghai) Limited</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7"/>
              </w:rPr>
              <w:t>China</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VIVUS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Vivus Pharmaceuticals Limited</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VIVUS BV</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Netherlands</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Vivus Digital Health</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019"/>
        </w:trPr>
        <w:tc>
          <w:tcPr>
            <w:tcW w:w="4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200" w:top="108" w:right="125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w:t>
      </w:r>
    </w:p>
    <w:p>
      <w:pPr>
        <w:spacing w:after="0" w:line="200" w:lineRule="exact"/>
        <w:rPr>
          <w:sz w:val="20"/>
          <w:szCs w:val="20"/>
          <w:color w:val="auto"/>
        </w:rPr>
      </w:pPr>
    </w:p>
    <w:p>
      <w:pPr>
        <w:spacing w:after="0" w:line="29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Each of the senior unsecured notes listed below have been issued by Icahn Enterprises L.P. (“Icahn Enterprises”) and Icahn Enterprises Finance Corp. (“Icahn Enterprises Finance”), as co-issuers, and are guaranteed by Icahn Enterprises Holdings L.P. (“Icahn Enterprises Holdings”).</w:t>
      </w:r>
    </w:p>
    <w:p>
      <w:pPr>
        <w:spacing w:after="0" w:line="96"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18"/>
          <w:szCs w:val="18"/>
          <w:color w:val="auto"/>
        </w:rPr>
        <w:t>Icahn Enterprises has a 99% limited partner interest in Icahn Enterprises Holdings, which owns substantially all the assets and liabilities of, and conducts substantially all the operations of, Icahn Enterprises. Icahn Enterprises Finance is a wholly owned finance subsidiary of Icahn Enterprises.</w:t>
      </w:r>
    </w:p>
    <w:p>
      <w:pPr>
        <w:spacing w:after="0" w:line="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6.750% senior unsecured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96646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4.750% senior unsecured notes due 2024</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6.375% senior unsecured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664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6.250% senior unsecured notes due 2026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5.250% senior unsecured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664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4.375% senior unsecured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511810</wp:posOffset>
            </wp:positionV>
            <wp:extent cx="596646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p>
      <w:pPr>
        <w:sectPr>
          <w:pgSz w:w="11900" w:h="16838" w:orient="portrait"/>
          <w:cols w:equalWidth="0" w:num="1">
            <w:col w:w="9400"/>
          </w:cols>
          <w:pgMar w:left="1240" w:top="117" w:right="125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issued our reports dated February 24, 2023, with respect to the consolidated financial statements and internal control over financial reporting of Icahn Enterprises L.P. and subsidiaries included in the Annual Report of Icahn Enterprises L.P. on Form 10-K for the year ended December 31, 2022. We consent to the incorporation by reference of said reports in the Registration Statements of Icahn Enterprises L.P. and subsidiaries on Form S-3 (File No. 333-266174) and on Form S-8 (File No. 333-216934).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494665</wp:posOffset>
            </wp:positionV>
            <wp:extent cx="598360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333" w:right="1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Icahn Enterprises L.P. for the year ended December 31, 2022;</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40" w:firstLine="321"/>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David Willetts</w:t>
      </w:r>
    </w:p>
    <w:p>
      <w:pPr>
        <w:spacing w:after="0" w:line="77" w:lineRule="exact"/>
        <w:rPr>
          <w:sz w:val="20"/>
          <w:szCs w:val="20"/>
          <w:color w:val="auto"/>
        </w:rPr>
      </w:pPr>
    </w:p>
    <w:p>
      <w:pPr>
        <w:ind w:left="4120" w:right="8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Icahn Enterprises L.P. for the year ended December 31, 2022;</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40" w:firstLine="321"/>
        <w:spacing w:after="0" w:line="266"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3386455" cy="25400"/>
                    </a:xfrm>
                    <a:prstGeom prst="rect">
                      <a:avLst/>
                    </a:prstGeom>
                    <a:noFill/>
                  </pic:spPr>
                </pic:pic>
              </a:graphicData>
            </a:graphic>
          </wp:anchor>
        </w:drawing>
      </w:r>
    </w:p>
    <w:p>
      <w:pPr>
        <w:spacing w:after="0" w:line="4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77"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153" w:name="page154"/>
    <w:bookmarkEnd w:id="153"/>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Icahn Enterprises L.P., for the year ended December 31, 2022, the undersigned certify that, to the best of his knowledge, based upon a review of the Icahn Enterprises L.P. annual report on Form 10-K for the year ended December 31, 2022:</w:t>
      </w:r>
    </w:p>
    <w:p>
      <w:pPr>
        <w:spacing w:after="0" w:line="176" w:lineRule="exact"/>
        <w:rPr>
          <w:sz w:val="20"/>
          <w:szCs w:val="20"/>
          <w:color w:val="auto"/>
        </w:rPr>
      </w:pPr>
    </w:p>
    <w:p>
      <w:pPr>
        <w:ind w:right="460" w:firstLine="321"/>
        <w:spacing w:after="0" w:line="282" w:lineRule="auto"/>
        <w:tabs>
          <w:tab w:leader="none" w:pos="5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17145</wp:posOffset>
            </wp:positionV>
            <wp:extent cx="34118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David Willetts</w:t>
      </w:r>
    </w:p>
    <w:p>
      <w:pPr>
        <w:spacing w:after="0" w:line="27" w:lineRule="exact"/>
        <w:rPr>
          <w:sz w:val="20"/>
          <w:szCs w:val="20"/>
          <w:color w:val="auto"/>
        </w:rPr>
      </w:pPr>
    </w:p>
    <w:p>
      <w:pPr>
        <w:ind w:left="4080" w:right="120"/>
        <w:spacing w:after="0" w:line="234"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9"/>
    </w:lvl>
  </w:abstractNum>
  <w:abstractNum w:abstractNumId="24">
    <w:nsid w:val="8138641"/>
    <w:multiLevelType w:val="hybridMultilevel"/>
    <w:lvl w:ilvl="0">
      <w:lvlJc w:val="left"/>
      <w:lvlText w:val="%1."/>
      <w:numFmt w:val="decimal"/>
      <w:start w:val="15"/>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Roman"/>
      <w:start w:val="3"/>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04"/>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5" Type="http://schemas.openxmlformats.org/officeDocument/2006/relationships/image" Target="media/image146.png"/><Relationship Id="rId168" Type="http://schemas.openxmlformats.org/officeDocument/2006/relationships/image" Target="media/image147.png"/><Relationship Id="rId184" Type="http://schemas.openxmlformats.org/officeDocument/2006/relationships/image" Target="media/image148.png"/><Relationship Id="rId199"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49" Type="http://schemas.openxmlformats.org/officeDocument/2006/relationships/hyperlink" Target="https://www.sec.gov/ix?doc=/Archives/edgar/data/813762/000155837022002150/tmb-20211231x10k.htm" TargetMode="External"/><Relationship Id="rId154" Type="http://schemas.openxmlformats.org/officeDocument/2006/relationships/hyperlink" Target="https://www.sec.gov/Archives/edgar/data/813762/000110465916143329/a16-17984_1ex2d1.htm" TargetMode="External"/><Relationship Id="rId156" Type="http://schemas.openxmlformats.org/officeDocument/2006/relationships/hyperlink" Target="https://www.sec.gov/Archives/edgar/data/813762/000114420416140174/v449727_ex2-1.htm" TargetMode="External"/><Relationship Id="rId157" Type="http://schemas.openxmlformats.org/officeDocument/2006/relationships/hyperlink" Target="https://www.sec.gov/Archives/edgar/data/813762/000119312518112277/d554615dex21.htm" TargetMode="External"/><Relationship Id="rId158" Type="http://schemas.openxmlformats.org/officeDocument/2006/relationships/hyperlink" Target="https://www.sec.gov/Archives/edgar/data/813762/000110465918024062/a18-11003_1ex2d1.htm" TargetMode="External"/><Relationship Id="rId159" Type="http://schemas.openxmlformats.org/officeDocument/2006/relationships/hyperlink" Target="https://www.sec.gov/Archives/edgar/data/813762/000114036118040981/s002486x3_ex2-1.htm" TargetMode="External"/><Relationship Id="rId160" Type="http://schemas.openxmlformats.org/officeDocument/2006/relationships/hyperlink" Target="https://www.sec.gov/Archives/edgar/data/813762/000114420407050385/v088216_ex3-1.htm" TargetMode="External"/><Relationship Id="rId161" Type="http://schemas.openxmlformats.org/officeDocument/2006/relationships/hyperlink" Target="https://www.sec.gov/Archives/edgar/data/813762/000114420408015862/v106776_ex3-9.htm" TargetMode="External"/><Relationship Id="rId162" Type="http://schemas.openxmlformats.org/officeDocument/2006/relationships/hyperlink" Target="https://www.sec.gov/Archives/edgar/data/813762/000081376216000089/iep-ex31_amendedandrestate.htm" TargetMode="External"/><Relationship Id="rId163" Type="http://schemas.openxmlformats.org/officeDocument/2006/relationships/hyperlink" Target="https://www.sec.gov/Archives/edgar/data/813762/000095012304006078/y97041exv3w5.txt" TargetMode="External"/><Relationship Id="rId164" Type="http://schemas.openxmlformats.org/officeDocument/2006/relationships/hyperlink" Target="https://www.sec.gov/Archives/edgar/data/813762/0000897204-96-000093.txt" TargetMode="External"/><Relationship Id="rId165" Type="http://schemas.openxmlformats.org/officeDocument/2006/relationships/hyperlink" Target="https://www.sec.gov/Archives/edgar/data/813762/000095011703001233/ex3-9.txt" TargetMode="External"/><Relationship Id="rId166" Type="http://schemas.openxmlformats.org/officeDocument/2006/relationships/hyperlink" Target="https://www.sec.gov/Archives/edgar/data/813762/000095012305009643/y11364exv3w2.htm" TargetMode="External"/><Relationship Id="rId167" Type="http://schemas.openxmlformats.org/officeDocument/2006/relationships/hyperlink" Target="https://www.sec.gov/Archives/edgar/data/813762/000114420408015862/v106776_ex3-11.htm" TargetMode="External"/><Relationship Id="rId169" Type="http://schemas.openxmlformats.org/officeDocument/2006/relationships/hyperlink" Target="https://www.sec.gov/Archives/edgar/data/813762/000081376220000008/ex41123119.htm" TargetMode="External"/><Relationship Id="rId170" Type="http://schemas.openxmlformats.org/officeDocument/2006/relationships/hyperlink" Target="https://www.sec.gov/Archives/edgar/data/813762/000095012305003242/y06341exv4w4.htm" TargetMode="External"/><Relationship Id="rId171" Type="http://schemas.openxmlformats.org/officeDocument/2006/relationships/hyperlink" Target="https://www.sec.gov/Archives/edgar/data/813762/000095012305003242/y06341exv4w3.htm" TargetMode="External"/><Relationship Id="rId172" Type="http://schemas.openxmlformats.org/officeDocument/2006/relationships/hyperlink" Target="https://www.sec.gov/Archives/edgar/data/813762/000081376216000089/iep-ex41_certificatex8416.htm" TargetMode="External"/><Relationship Id="rId173" Type="http://schemas.openxmlformats.org/officeDocument/2006/relationships/hyperlink" Target="https://www.sec.gov/Archives/edgar/data/813762/0000897204-95-000016.txt" TargetMode="External"/><Relationship Id="rId174" Type="http://schemas.openxmlformats.org/officeDocument/2006/relationships/hyperlink" Target="https://www.sec.gov/Archives/edgar/data/813762/000095012305003242/y06341exv10w2.htm" TargetMode="External"/><Relationship Id="rId175" Type="http://schemas.openxmlformats.org/officeDocument/2006/relationships/hyperlink" Target="https://www.sec.gov/Archives/edgar/data/813762/000114420407041620/v083035_ex10-5.htm" TargetMode="External"/><Relationship Id="rId176" Type="http://schemas.openxmlformats.org/officeDocument/2006/relationships/hyperlink" Target="https://www.sec.gov/Archives/edgar/data/813762/000114420413047710/v353661_ex10-1.htm" TargetMode="External"/><Relationship Id="rId177" Type="http://schemas.openxmlformats.org/officeDocument/2006/relationships/hyperlink" Target="https://www.sec.gov/Archives/edgar/data/813762/000114420417062610/tv480904_ex4-1.htm" TargetMode="External"/><Relationship Id="rId178" Type="http://schemas.openxmlformats.org/officeDocument/2006/relationships/hyperlink" Target="https://www.sec.gov/Archives/edgar/data/813762/000114420419025269/tv521264_ex4-1.htm" TargetMode="External"/><Relationship Id="rId179" Type="http://schemas.openxmlformats.org/officeDocument/2006/relationships/hyperlink" Target="https://www.sec.gov/Archives/edgar/data/813762/000114420419043783/tv528967_ex4-1.htm" TargetMode="External"/><Relationship Id="rId180" Type="http://schemas.openxmlformats.org/officeDocument/2006/relationships/hyperlink" Target="https://www.sec.gov/Archives/edgar/data/813762/000110465919072211/tm1925028d1_ex4-1.htm" TargetMode="External"/><Relationship Id="rId181" Type="http://schemas.openxmlformats.org/officeDocument/2006/relationships/hyperlink" Target="https://www.sec.gov/Archives/edgar/data/813762/000110465921005325/tm213465d1_ex4-1.htm" TargetMode="External"/><Relationship Id="rId182" Type="http://schemas.openxmlformats.org/officeDocument/2006/relationships/hyperlink" Target="https://www.sec.gov/Archives/edgar/data/813762/000119312518290879/d629636dex41.htm" TargetMode="External"/><Relationship Id="rId183" Type="http://schemas.openxmlformats.org/officeDocument/2006/relationships/hyperlink" Target="https://www.sec.gov/Archives/edgar/data/813762/0000897204-95-000029.txt" TargetMode="External"/><Relationship Id="rId185" Type="http://schemas.openxmlformats.org/officeDocument/2006/relationships/hyperlink" Target="https://www.sec.gov/Archives/edgar/data/813762/000095012306003289/y18546exv10w42.htm" TargetMode="External"/><Relationship Id="rId186" Type="http://schemas.openxmlformats.org/officeDocument/2006/relationships/hyperlink" Target="https://www.sec.gov/Archives/edgar/data/813762/000114420407041620/v083035_ex10-4.htm" TargetMode="External"/><Relationship Id="rId187" Type="http://schemas.openxmlformats.org/officeDocument/2006/relationships/hyperlink" Target="https://www.sec.gov/Archives/edgar/data/813762/000114420417002748/v457095_ex10-1.htm" TargetMode="External"/><Relationship Id="rId188" Type="http://schemas.openxmlformats.org/officeDocument/2006/relationships/hyperlink" Target="https://www.sec.gov/Archives/edgar/data/813762/000114420417062610/tv480904_ex10-1.htm" TargetMode="External"/><Relationship Id="rId189" Type="http://schemas.openxmlformats.org/officeDocument/2006/relationships/hyperlink" Target="https://www.sec.gov/Archives/edgar/data/813762/000114420419025269/tv521264_ex10-1.htm" TargetMode="External"/><Relationship Id="rId190" Type="http://schemas.openxmlformats.org/officeDocument/2006/relationships/hyperlink" Target="https://www.sec.gov/Archives/edgar/data/813762/000114420419032722/tv524288_ex10-1.htm" TargetMode="External"/><Relationship Id="rId191" Type="http://schemas.openxmlformats.org/officeDocument/2006/relationships/hyperlink" Target="https://www.sec.gov/Archives/edgar/data/813762/000114420419043783/tv528967_ex10-1.htm" TargetMode="External"/><Relationship Id="rId192" Type="http://schemas.openxmlformats.org/officeDocument/2006/relationships/hyperlink" Target="https://www.sec.gov/Archives/edgar/data/813762/000110465919072211/tm1925028d1_ex10-1.htm" TargetMode="External"/><Relationship Id="rId193" Type="http://schemas.openxmlformats.org/officeDocument/2006/relationships/hyperlink" Target="https://www.sec.gov/Archives/edgar/data/813762/000110465920002683/tm201494d1_ex10-1.htm" TargetMode="External"/><Relationship Id="rId194" Type="http://schemas.openxmlformats.org/officeDocument/2006/relationships/hyperlink" Target="https://www.sec.gov/Archives/edgar/data/813762/000110465920007677/tm205861d2_ex10-1.htm" TargetMode="External"/><Relationship Id="rId195" Type="http://schemas.openxmlformats.org/officeDocument/2006/relationships/hyperlink" Target="https://www.sec.gov/Archives/edgar/data/813762/000110465921005325/tm213465d1_ex10-1.htm" TargetMode="External"/><Relationship Id="rId196" Type="http://schemas.openxmlformats.org/officeDocument/2006/relationships/hyperlink" Target="https://www.sec.gov/Archives/edgar/data/813762/000110465920111049/tm2032213d1_ex10-1.htm" TargetMode="External"/><Relationship Id="rId197" Type="http://schemas.openxmlformats.org/officeDocument/2006/relationships/hyperlink" Target="https://www.sec.gov/Archives/edgar/data/813762/000110465920111049/tm2032213d1_ex10-2.htm" TargetMode="External"/><Relationship Id="rId198" Type="http://schemas.openxmlformats.org/officeDocument/2006/relationships/hyperlink" Target="https://www.sec.gov/Archives/edgar/data/813762/000110465920111049/tm2032213d1_ex10-3.htm" TargetMode="External"/><Relationship Id="rId200" Type="http://schemas.openxmlformats.org/officeDocument/2006/relationships/hyperlink" Target="https://www.sec.gov/Archives/edgar/data/813762/000155837022002150/tmb-20211231xex10d19.htm" TargetMode="External"/><Relationship Id="rId201" Type="http://schemas.openxmlformats.org/officeDocument/2006/relationships/hyperlink" Target="https://www.sec.gov/Archives/edgar/data/813762/000155837022002150/tmb-20211231xex10d20.htm" TargetMode="External"/><Relationship Id="rId202" Type="http://schemas.openxmlformats.org/officeDocument/2006/relationships/hyperlink" Target="https://www.sec.gov/Archives/edgar/data/0000813762/000110465921149164/tm2135236d1_ex10-1.htm" TargetMode="External"/><Relationship Id="rId203" Type="http://schemas.openxmlformats.org/officeDocument/2006/relationships/hyperlink" Target="https://www.sec.gov/Archives/edgar/data/813762/000110465921149164/tm2135236d1_ex10-2.htm" TargetMode="External"/><Relationship Id="rId204" Type="http://schemas.openxmlformats.org/officeDocument/2006/relationships/hyperlink" Target="https://www.sec.gov/Archives/edgar/data/0000813762/000110465921049335/tm2112709d1_ex10-1.htm" TargetMode="External"/><Relationship Id="rId205" Type="http://schemas.openxmlformats.org/officeDocument/2006/relationships/hyperlink" Target="https://www.sec.gov/Archives/edgar/data/813762/000081376212000064/iep-ex141_93012xcodeofeth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2023-02-24T19:49:57Z</dcterms:created>
  <dcterms:modified xsi:type="dcterms:W3CDTF">2023-02-24T19:49:57Z</dcterms:modified>
</cp:coreProperties>
</file>